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5620B" w14:textId="1B10B032" w:rsidR="00B50D8D" w:rsidRPr="00341720" w:rsidRDefault="00F44EF3" w:rsidP="00341720">
      <w:pPr>
        <w:pStyle w:val="CDIDOIInformation"/>
      </w:pPr>
      <w:r>
        <w:fldChar w:fldCharType="begin"/>
      </w:r>
      <w:r>
        <w:instrText xml:space="preserve"> DOCPROPERTY  Year  \* MERGEFORMAT </w:instrText>
      </w:r>
      <w:r>
        <w:fldChar w:fldCharType="separate"/>
      </w:r>
      <w:r>
        <w:t>2024</w:t>
      </w:r>
      <w:r>
        <w:fldChar w:fldCharType="end"/>
      </w:r>
      <w:r w:rsidR="00A623E8" w:rsidRPr="00341720">
        <w:t xml:space="preserve"> • </w:t>
      </w:r>
      <w:r w:rsidR="00B50D8D" w:rsidRPr="00341720">
        <w:t xml:space="preserve">Volume </w:t>
      </w:r>
      <w:fldSimple w:instr=" DOCPROPERTY  Vol  \* MERGEFORMAT ">
        <w:r>
          <w:t>48</w:t>
        </w:r>
      </w:fldSimple>
      <w:r w:rsidR="00725C33" w:rsidRPr="00341720">
        <w:t xml:space="preserve"> </w:t>
      </w:r>
      <w:r w:rsidR="008E3F81" w:rsidRPr="00341720">
        <w:t>•</w:t>
      </w:r>
      <w:r w:rsidR="00725C33" w:rsidRPr="00341720">
        <w:t xml:space="preserve"> </w:t>
      </w:r>
      <w:fldSimple w:instr=" DOCPROPERTY  DOI  \* MERGEFORMAT ">
        <w:r w:rsidR="005D5F7C">
          <w:t>https://doi.org/10.33321/cdi.2024.48.1</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106676">
          <w:t>24/06/2024</w:t>
        </w:r>
      </w:fldSimple>
    </w:p>
    <w:p w14:paraId="0B5F2142" w14:textId="5E6FA9B2" w:rsidR="00E30C30" w:rsidRPr="005D5F7C" w:rsidRDefault="005D5F7C" w:rsidP="005D5F7C">
      <w:pPr>
        <w:pStyle w:val="Title"/>
        <w:divId w:val="935526654"/>
      </w:pPr>
      <w:r w:rsidRPr="005D5F7C">
        <w:t>Surveillance of adverse events following immunisation in Australia annual report, 2021</w:t>
      </w:r>
    </w:p>
    <w:p w14:paraId="5B8B8BC2" w14:textId="6655425C" w:rsidR="007A33B9" w:rsidRPr="0037146D" w:rsidRDefault="005D5F7C" w:rsidP="0037146D">
      <w:pPr>
        <w:pStyle w:val="Subtitle"/>
        <w:divId w:val="935526654"/>
      </w:pPr>
      <w:r w:rsidRPr="005D5F7C">
        <w:t>Catherine Glover, Lucy Deng, Claire Larter, Catherine Brogan, Olivia Richardson, Yuanfei</w:t>
      </w:r>
      <w:r>
        <w:t> </w:t>
      </w:r>
      <w:r w:rsidRPr="005D5F7C">
        <w:t>Anny</w:t>
      </w:r>
      <w:r>
        <w:t> </w:t>
      </w:r>
      <w:r w:rsidRPr="005D5F7C">
        <w:t>Huang, Elspeth Kay, Kristine Macartney and Nicholas Wood</w:t>
      </w:r>
    </w:p>
    <w:p w14:paraId="137D86D1" w14:textId="77777777" w:rsidR="0037146D" w:rsidRDefault="0037146D" w:rsidP="0037146D">
      <w:pPr>
        <w:pStyle w:val="Heading1"/>
        <w:divId w:val="935526654"/>
        <w:rPr>
          <w:lang w:val="en-GB"/>
        </w:rPr>
      </w:pPr>
      <w:r>
        <w:rPr>
          <w:lang w:val="en-GB"/>
        </w:rPr>
        <w:t>Abstract</w:t>
      </w:r>
    </w:p>
    <w:p w14:paraId="015F846A" w14:textId="77777777" w:rsidR="005D5F7C" w:rsidRPr="005D5F7C" w:rsidRDefault="005D5F7C" w:rsidP="005D5F7C">
      <w:pPr>
        <w:divId w:val="935526654"/>
        <w:rPr>
          <w:lang w:val="en-GB"/>
        </w:rPr>
      </w:pPr>
      <w:r w:rsidRPr="005D5F7C">
        <w:rPr>
          <w:lang w:val="en-GB"/>
        </w:rPr>
        <w:t>This report summarises Australia’s spontaneous surveillance data for adverse events following immunisation (AEFI) for 2021 reported to the Therapeutic Goods Administration (TGA) and describes reporting trends over the 22-year period 1 January 2000 to 31 December 2021. This report excludes AEFI reports featuring pandemic coronavirus disease 2019 (COVID-19) vaccines, which are reported separately.</w:t>
      </w:r>
    </w:p>
    <w:p w14:paraId="51A9C4A2" w14:textId="48677933" w:rsidR="00620509" w:rsidRDefault="005D5F7C" w:rsidP="005D5F7C">
      <w:pPr>
        <w:pStyle w:val="Normal-morespace"/>
        <w:divId w:val="935526654"/>
        <w:rPr>
          <w:lang w:val="en-GB"/>
        </w:rPr>
      </w:pPr>
      <w:r w:rsidRPr="005D5F7C">
        <w:rPr>
          <w:lang w:val="en-GB"/>
        </w:rPr>
        <w:t xml:space="preserve">There were 3,452 AEFI reports for non-COVID-19 vaccines administered in 2021, an annual AEFI reporting rate of 13.4 per 100,000 population compared with 14.9 per 100,000 population in 2020. This small decrease in the AEFI reporting rate in 2021 could potentially be related to an increased focus on COVID-19 vaccines and related AEFI, which are not included in this report. AEFI reporting rates for individual vaccines in 2021 were </w:t>
      </w:r>
      <w:proofErr w:type="gramStart"/>
      <w:r w:rsidRPr="005D5F7C">
        <w:rPr>
          <w:lang w:val="en-GB"/>
        </w:rPr>
        <w:t>similar to</w:t>
      </w:r>
      <w:proofErr w:type="gramEnd"/>
      <w:r w:rsidRPr="005D5F7C">
        <w:rPr>
          <w:lang w:val="en-GB"/>
        </w:rPr>
        <w:t xml:space="preserve"> 2020, as were the most commonly reported adverse events. Of the six deaths following vaccination in 2021 reported to the TGA, none were found to have a causal relationship with vaccination.</w:t>
      </w:r>
    </w:p>
    <w:p w14:paraId="2DA19699" w14:textId="0847F5AA" w:rsidR="00620509" w:rsidRPr="006D508B" w:rsidRDefault="00620509" w:rsidP="00620509">
      <w:pPr>
        <w:pStyle w:val="CDIBoxTextGreen"/>
        <w:divId w:val="935526654"/>
        <w:rPr>
          <w:lang w:val="en-GB"/>
        </w:rPr>
      </w:pPr>
      <w:r w:rsidRPr="0037146D">
        <w:rPr>
          <w:lang w:val="en-GB"/>
        </w:rPr>
        <w:t xml:space="preserve">Keywords: </w:t>
      </w:r>
      <w:r w:rsidR="009334F9" w:rsidRPr="009334F9">
        <w:rPr>
          <w:lang w:val="en-GB"/>
        </w:rPr>
        <w:t>AEFI; adverse events; vaccines; surveillance; immunisation; vaccine</w:t>
      </w:r>
    </w:p>
    <w:p w14:paraId="2B1B4353" w14:textId="44BBF83D" w:rsidR="00620509" w:rsidRDefault="005D5F7C" w:rsidP="005D5F7C">
      <w:pPr>
        <w:pStyle w:val="Heading1"/>
        <w:divId w:val="935526654"/>
        <w:rPr>
          <w:lang w:val="en-GB"/>
        </w:rPr>
      </w:pPr>
      <w:r>
        <w:rPr>
          <w:lang w:val="en-GB"/>
        </w:rPr>
        <w:t>Introduction</w:t>
      </w:r>
    </w:p>
    <w:p w14:paraId="679D3108" w14:textId="648700C6" w:rsidR="00620509" w:rsidRPr="00620509" w:rsidRDefault="005D5F7C" w:rsidP="00620509">
      <w:pPr>
        <w:divId w:val="935526654"/>
        <w:rPr>
          <w:lang w:val="en-GB"/>
        </w:rPr>
      </w:pPr>
      <w:r w:rsidRPr="005D5F7C">
        <w:rPr>
          <w:lang w:val="en-GB"/>
        </w:rPr>
        <w:t xml:space="preserve">An adverse event(s) following immunisation (AEFI) is defined as any untoward medical occurrence which follows </w:t>
      </w:r>
      <w:proofErr w:type="gramStart"/>
      <w:r w:rsidRPr="005D5F7C">
        <w:rPr>
          <w:lang w:val="en-GB"/>
        </w:rPr>
        <w:t>immunisation</w:t>
      </w:r>
      <w:proofErr w:type="gramEnd"/>
      <w:r w:rsidRPr="005D5F7C">
        <w:rPr>
          <w:lang w:val="en-GB"/>
        </w:rPr>
        <w:t xml:space="preserve"> and which does not necessarily have a causal relationship with the usage of the vaccine.</w:t>
      </w:r>
      <w:r w:rsidRPr="005D5F7C">
        <w:rPr>
          <w:vertAlign w:val="superscript"/>
          <w:lang w:val="en-GB"/>
        </w:rPr>
        <w:t>1</w:t>
      </w:r>
      <w:r w:rsidRPr="005D5F7C">
        <w:rPr>
          <w:lang w:val="en-GB"/>
        </w:rPr>
        <w:t xml:space="preserve"> The AEFI may be an unfavourable or unintended sign, abnormal laboratory finding, symptom or disease. AEFI can be caused by the vaccine(s) or can be a coincidental event. Events can be classified into the following categories:</w:t>
      </w:r>
      <w:r w:rsidRPr="005D5F7C">
        <w:rPr>
          <w:vertAlign w:val="superscript"/>
          <w:lang w:val="en-GB"/>
        </w:rPr>
        <w:t>1</w:t>
      </w:r>
    </w:p>
    <w:p w14:paraId="146EE18A"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0598C2AD" w14:textId="77777777" w:rsidR="005D5F7C" w:rsidRPr="005D5F7C" w:rsidRDefault="005D5F7C" w:rsidP="005D5F7C">
      <w:pPr>
        <w:pStyle w:val="CDIBulletsL1"/>
        <w:divId w:val="935526654"/>
      </w:pPr>
      <w:r w:rsidRPr="005D5F7C">
        <w:t xml:space="preserve">vaccine product-related </w:t>
      </w:r>
      <w:proofErr w:type="gramStart"/>
      <w:r w:rsidRPr="005D5F7C">
        <w:t>reaction;</w:t>
      </w:r>
      <w:proofErr w:type="gramEnd"/>
    </w:p>
    <w:p w14:paraId="50712530" w14:textId="77777777" w:rsidR="005D5F7C" w:rsidRPr="005D5F7C" w:rsidRDefault="005D5F7C" w:rsidP="005D5F7C">
      <w:pPr>
        <w:pStyle w:val="CDIBulletsL1"/>
        <w:divId w:val="935526654"/>
      </w:pPr>
      <w:r w:rsidRPr="005D5F7C">
        <w:t xml:space="preserve">vaccine quality defect-related </w:t>
      </w:r>
      <w:proofErr w:type="gramStart"/>
      <w:r w:rsidRPr="005D5F7C">
        <w:t>reaction;</w:t>
      </w:r>
      <w:proofErr w:type="gramEnd"/>
    </w:p>
    <w:p w14:paraId="1FAC8113" w14:textId="77777777" w:rsidR="005D5F7C" w:rsidRPr="005D5F7C" w:rsidRDefault="005D5F7C" w:rsidP="005D5F7C">
      <w:pPr>
        <w:pStyle w:val="CDIBulletsL1"/>
        <w:divId w:val="935526654"/>
      </w:pPr>
      <w:r w:rsidRPr="005D5F7C">
        <w:t xml:space="preserve">immunisation error-related </w:t>
      </w:r>
      <w:proofErr w:type="gramStart"/>
      <w:r w:rsidRPr="005D5F7C">
        <w:t>reaction;</w:t>
      </w:r>
      <w:proofErr w:type="gramEnd"/>
    </w:p>
    <w:p w14:paraId="37E07930" w14:textId="77777777" w:rsidR="005D5F7C" w:rsidRPr="005D5F7C" w:rsidRDefault="005D5F7C" w:rsidP="005D5F7C">
      <w:pPr>
        <w:pStyle w:val="CDIBulletsL1"/>
        <w:divId w:val="935526654"/>
      </w:pPr>
      <w:r w:rsidRPr="005D5F7C">
        <w:t>immunisation anxiety-related reaction; or</w:t>
      </w:r>
    </w:p>
    <w:p w14:paraId="399604A0" w14:textId="77777777" w:rsidR="005D5F7C" w:rsidRPr="005D5F7C" w:rsidRDefault="005D5F7C" w:rsidP="005D5F7C">
      <w:pPr>
        <w:pStyle w:val="CDIBulletsL1"/>
        <w:divId w:val="935526654"/>
      </w:pPr>
      <w:r w:rsidRPr="005D5F7C">
        <w:t>coincidental event.</w:t>
      </w:r>
    </w:p>
    <w:p w14:paraId="4B3C2DF7" w14:textId="77777777" w:rsidR="005D5F7C" w:rsidRPr="005D5F7C" w:rsidRDefault="005D5F7C" w:rsidP="005D5F7C">
      <w:pPr>
        <w:divId w:val="935526654"/>
        <w:rPr>
          <w:lang w:val="en-GB"/>
        </w:rPr>
      </w:pPr>
      <w:r w:rsidRPr="005D5F7C">
        <w:rPr>
          <w:lang w:val="en-GB"/>
        </w:rPr>
        <w:t>Ongoing post-marketing AEFI surveillance through a national spontaneous (passive) surveillance system is important in detecting unexpected AEFI that may not have been detected in pre-registration vaccine trials.</w:t>
      </w:r>
    </w:p>
    <w:p w14:paraId="5EBC2D47" w14:textId="77777777" w:rsidR="005D5F7C" w:rsidRPr="005D5F7C" w:rsidRDefault="005D5F7C" w:rsidP="005D5F7C">
      <w:pPr>
        <w:divId w:val="935526654"/>
        <w:rPr>
          <w:lang w:val="en-GB"/>
        </w:rPr>
      </w:pPr>
      <w:r w:rsidRPr="005D5F7C">
        <w:rPr>
          <w:lang w:val="en-GB"/>
        </w:rPr>
        <w:t>In Australia, AEFI are reported to the Therapeutic Goods Administration (TGA) by state and territory health departments, health professionals, vaccine companies and members of the public.</w:t>
      </w:r>
      <w:r w:rsidRPr="005D5F7C">
        <w:rPr>
          <w:vertAlign w:val="superscript"/>
          <w:lang w:val="en-GB"/>
        </w:rPr>
        <w:t>2</w:t>
      </w:r>
      <w:r w:rsidRPr="005D5F7C">
        <w:rPr>
          <w:lang w:val="en-GB"/>
        </w:rPr>
        <w:t xml:space="preserve"> All reported AEFI are entered into the Australian Adverse Event Management System (AEMS) database. Where the initial report contains insufficient information, the TGA may contact the reporter or relevant state or territory health department to elicit further information. The TGA continually analyses AEFI data to detect new potential safety issues, or changes to known safety issues, that may require regulatory action. Select serious adverse events are assessed using internationally consistent criteria,</w:t>
      </w:r>
      <w:r w:rsidRPr="005D5F7C">
        <w:rPr>
          <w:vertAlign w:val="superscript"/>
          <w:lang w:val="en-GB"/>
        </w:rPr>
        <w:t>3,4</w:t>
      </w:r>
      <w:r w:rsidRPr="005D5F7C">
        <w:rPr>
          <w:lang w:val="en-GB"/>
        </w:rPr>
        <w:t xml:space="preserve"> to identify whether there may be a link between the medical condition(s) involved and vaccination that indicates potential new safety information.</w:t>
      </w:r>
    </w:p>
    <w:p w14:paraId="7421E0BF" w14:textId="77777777" w:rsidR="005D5F7C" w:rsidRPr="005D5F7C" w:rsidRDefault="005D5F7C" w:rsidP="005D5F7C">
      <w:pPr>
        <w:divId w:val="935526654"/>
        <w:rPr>
          <w:lang w:val="en-GB"/>
        </w:rPr>
      </w:pPr>
      <w:r w:rsidRPr="005D5F7C">
        <w:rPr>
          <w:lang w:val="en-GB"/>
        </w:rPr>
        <w:t>Reports summarising Australian national spontaneous AEFI surveillance have been published regularly since 2003.</w:t>
      </w:r>
      <w:r w:rsidRPr="005D5F7C">
        <w:rPr>
          <w:vertAlign w:val="superscript"/>
          <w:lang w:val="en-GB"/>
        </w:rPr>
        <w:t>5–20</w:t>
      </w:r>
      <w:r w:rsidRPr="005D5F7C">
        <w:rPr>
          <w:lang w:val="en-GB"/>
        </w:rPr>
        <w:t xml:space="preserve"> Trends in reported AEFI are influenced by many factors, including changes to the National Immunisation Program (NIP), vaccine introduction and availability, media coverage, awareness campaigns, and efforts to facilitate reporting. Changes to the NIP since 2005 are summarised in Appendix A, Table A.1, and the impacts of these NIP changes on reported AEFI trends are described in previous reports.</w:t>
      </w:r>
      <w:r w:rsidRPr="005D5F7C">
        <w:rPr>
          <w:vertAlign w:val="superscript"/>
          <w:lang w:val="en-GB"/>
        </w:rPr>
        <w:t>5–19</w:t>
      </w:r>
      <w:r w:rsidRPr="005D5F7C">
        <w:rPr>
          <w:lang w:val="en-GB"/>
        </w:rPr>
        <w:t xml:space="preserve"> There were no changes to the NIP in 2021 to highlight, with the only notable change to vaccine availability being the commencement of private supply of the recombinant zoster vaccine.</w:t>
      </w:r>
    </w:p>
    <w:p w14:paraId="52B7E510" w14:textId="77777777" w:rsidR="005D5F7C" w:rsidRPr="005D5F7C" w:rsidRDefault="005D5F7C" w:rsidP="005D5F7C">
      <w:pPr>
        <w:divId w:val="935526654"/>
        <w:rPr>
          <w:lang w:val="en-GB"/>
        </w:rPr>
      </w:pPr>
      <w:r w:rsidRPr="005D5F7C">
        <w:rPr>
          <w:lang w:val="en-GB"/>
        </w:rPr>
        <w:t>This report summarises national spontaneous (passive) surveillance data for non-COVID-19 vaccine AEFI reported to the TGA. The report focuses on AEFI reported for vaccines administered in 2021 and on trends in AEFI reporting over the 22-year period 1 January 2000 – 31 December 2021.</w:t>
      </w:r>
    </w:p>
    <w:p w14:paraId="19E2497F" w14:textId="77777777" w:rsidR="00F6343B" w:rsidRDefault="00620509" w:rsidP="00620509">
      <w:pPr>
        <w:pStyle w:val="Heading1"/>
        <w:divId w:val="935526654"/>
        <w:rPr>
          <w:lang w:val="en-GB"/>
        </w:rPr>
      </w:pPr>
      <w:r>
        <w:rPr>
          <w:lang w:val="en-GB"/>
        </w:rPr>
        <w:t>Methods</w:t>
      </w:r>
    </w:p>
    <w:p w14:paraId="192A4AE1" w14:textId="16EF57ED" w:rsidR="00620509" w:rsidRDefault="005D5F7C" w:rsidP="005D5F7C">
      <w:pPr>
        <w:pStyle w:val="Heading2"/>
        <w:divId w:val="935526654"/>
        <w:rPr>
          <w:lang w:val="en-GB"/>
        </w:rPr>
      </w:pPr>
      <w:r>
        <w:rPr>
          <w:lang w:val="en-GB"/>
        </w:rPr>
        <w:t>AEFI data</w:t>
      </w:r>
    </w:p>
    <w:p w14:paraId="47470A2B" w14:textId="77777777" w:rsidR="005D5F7C" w:rsidRPr="005D5F7C" w:rsidRDefault="005D5F7C" w:rsidP="005D5F7C">
      <w:pPr>
        <w:divId w:val="935526654"/>
        <w:rPr>
          <w:lang w:val="en-GB"/>
        </w:rPr>
      </w:pPr>
      <w:r w:rsidRPr="005D5F7C">
        <w:rPr>
          <w:lang w:val="en-GB"/>
        </w:rPr>
        <w:t>De-identified data on all AEFI reported to the TGA from 1 January 2000 to 31 December 2021 and stored in the AEMS database were released to the National Centre for Immunisation Research and Surveillance (NCIRS) in May 2022. Please refer to previous reports for a detailed description of the surveillance system.</w:t>
      </w:r>
      <w:r w:rsidRPr="005D5F7C">
        <w:rPr>
          <w:vertAlign w:val="superscript"/>
          <w:lang w:val="en-GB"/>
        </w:rPr>
        <w:t>6,9</w:t>
      </w:r>
    </w:p>
    <w:p w14:paraId="0CA61B63" w14:textId="39096EC8" w:rsidR="005D5F7C" w:rsidRDefault="00A2131D" w:rsidP="00A2131D">
      <w:pPr>
        <w:pStyle w:val="Heading3"/>
        <w:divId w:val="935526654"/>
        <w:rPr>
          <w:lang w:val="en-GB"/>
        </w:rPr>
      </w:pPr>
      <w:r>
        <w:rPr>
          <w:lang w:val="en-GB"/>
        </w:rPr>
        <w:t>Vaccine data</w:t>
      </w:r>
    </w:p>
    <w:p w14:paraId="60EAE810" w14:textId="77777777" w:rsidR="00A2131D" w:rsidRPr="00A2131D" w:rsidRDefault="00A2131D" w:rsidP="00A2131D">
      <w:pPr>
        <w:divId w:val="935526654"/>
        <w:rPr>
          <w:lang w:val="en-GB"/>
        </w:rPr>
      </w:pPr>
      <w:r w:rsidRPr="00A2131D">
        <w:rPr>
          <w:lang w:val="en-GB"/>
        </w:rPr>
        <w:t>Vaccines were identified by trade name (standardised term in the TGA reference dataset), and where the trade name was not specified, the generic name (active ingredients associated with a trade name) and reported product name (product name used by the reporter). Individual vaccines were grouped by antigen and, for seasonal influenza and zoster vaccines, by type (for influenza, standard-formulation vs high-dose or adjuvanted; for zoster, live virus vs recombinant adjuvanted). Only vaccines with a role of ‘suspect’, in relation to the reported adverse event, were included in analysis. In addition, only accepted reports were included. To be accepted, the report must contain sufficient information to be valid, which includes four key elements: a reporter, a patient, one or more suspected medicines or vaccines, and one or more reaction terms. Valid reports are accepted by the TGA with a default decision type of ‘causality possible’. Reports that included both non-COVID-19 and COVID-19 vaccines as ‘suspect’ are included in the COVID-19 vaccine AEFI report</w:t>
      </w:r>
      <w:r w:rsidRPr="00A2131D">
        <w:rPr>
          <w:vertAlign w:val="superscript"/>
          <w:lang w:val="en-GB"/>
        </w:rPr>
        <w:t>21</w:t>
      </w:r>
      <w:r w:rsidRPr="00A2131D">
        <w:rPr>
          <w:lang w:val="en-GB"/>
        </w:rPr>
        <w:t xml:space="preserve"> and were excluded from this analysis.</w:t>
      </w:r>
    </w:p>
    <w:p w14:paraId="2ED59B95" w14:textId="77777777" w:rsidR="00A2131D" w:rsidRPr="00A2131D" w:rsidRDefault="00A2131D" w:rsidP="00A2131D">
      <w:pPr>
        <w:pStyle w:val="Heading3"/>
        <w:divId w:val="935526654"/>
        <w:rPr>
          <w:lang w:val="en-GB"/>
        </w:rPr>
      </w:pPr>
      <w:r w:rsidRPr="00A2131D">
        <w:rPr>
          <w:lang w:val="en-GB"/>
        </w:rPr>
        <w:t>Adverse event data</w:t>
      </w:r>
    </w:p>
    <w:p w14:paraId="53BE80F0" w14:textId="77777777" w:rsidR="00A2131D" w:rsidRPr="00A2131D" w:rsidRDefault="00A2131D" w:rsidP="00A2131D">
      <w:pPr>
        <w:divId w:val="935526654"/>
        <w:rPr>
          <w:lang w:val="en-GB"/>
        </w:rPr>
      </w:pPr>
      <w:r w:rsidRPr="00A2131D">
        <w:rPr>
          <w:lang w:val="en-GB"/>
        </w:rPr>
        <w:t xml:space="preserve">AEFI reports include reaction terms that are symptoms, signs and/or diagnoses that have been coded by TGA staff from the reporter’s description into </w:t>
      </w:r>
      <w:proofErr w:type="gramStart"/>
      <w:r w:rsidRPr="00A2131D">
        <w:rPr>
          <w:lang w:val="en-GB"/>
        </w:rPr>
        <w:t>lower level</w:t>
      </w:r>
      <w:proofErr w:type="gramEnd"/>
      <w:r w:rsidRPr="00A2131D">
        <w:rPr>
          <w:lang w:val="en-GB"/>
        </w:rPr>
        <w:t xml:space="preserve"> terms, which are mapped to associated preferred terms (PT) using the </w:t>
      </w:r>
      <w:r w:rsidRPr="00497089">
        <w:rPr>
          <w:i/>
          <w:iCs/>
        </w:rPr>
        <w:t>Medical Dictionary for Regulatory Activities</w:t>
      </w:r>
      <w:r w:rsidRPr="00A2131D">
        <w:rPr>
          <w:lang w:val="en-GB"/>
        </w:rPr>
        <w:t xml:space="preserve"> (MedDRA®).</w:t>
      </w:r>
      <w:r w:rsidRPr="00A2131D">
        <w:rPr>
          <w:vertAlign w:val="superscript"/>
          <w:lang w:val="en-GB"/>
        </w:rPr>
        <w:t>22,23</w:t>
      </w:r>
    </w:p>
    <w:p w14:paraId="4E6560E9" w14:textId="77777777" w:rsidR="00A2131D" w:rsidRPr="00A2131D" w:rsidRDefault="00A2131D" w:rsidP="00A2131D">
      <w:pPr>
        <w:divId w:val="935526654"/>
        <w:rPr>
          <w:lang w:val="en-GB"/>
        </w:rPr>
      </w:pPr>
      <w:r w:rsidRPr="00A2131D">
        <w:rPr>
          <w:lang w:val="en-GB"/>
        </w:rPr>
        <w:t>Standardised MedDRA queries (SMQ) are sets of MedDRA terms that have been grouped after extensive testing, analysis, and expert discussion to facilitate pharmacovigilance investigation.</w:t>
      </w:r>
      <w:r w:rsidRPr="00A2131D">
        <w:rPr>
          <w:vertAlign w:val="superscript"/>
          <w:lang w:val="en-GB"/>
        </w:rPr>
        <w:t>24</w:t>
      </w:r>
      <w:r w:rsidRPr="00A2131D">
        <w:rPr>
          <w:lang w:val="en-GB"/>
        </w:rPr>
        <w:t xml:space="preserve"> For this analysis, the MedDRA Browser SMQ Analysis tool was used to group related PT to their SMQ </w:t>
      </w:r>
      <w:proofErr w:type="gramStart"/>
      <w:r w:rsidRPr="00A2131D">
        <w:rPr>
          <w:lang w:val="en-GB"/>
        </w:rPr>
        <w:t>in order to</w:t>
      </w:r>
      <w:proofErr w:type="gramEnd"/>
      <w:r w:rsidRPr="00A2131D">
        <w:rPr>
          <w:lang w:val="en-GB"/>
        </w:rPr>
        <w:t xml:space="preserve"> reduce the number of unique PT under analysis while providing meaningful results. As individual PT may map to zero, one, or more than one SMQ, the term reported was chosen as described in Appendix A, Table A.2.</w:t>
      </w:r>
    </w:p>
    <w:p w14:paraId="2243AFCD" w14:textId="77777777" w:rsidR="00A2131D" w:rsidRPr="00A2131D" w:rsidRDefault="00A2131D" w:rsidP="00A2131D">
      <w:pPr>
        <w:divId w:val="935526654"/>
        <w:rPr>
          <w:lang w:val="en-GB"/>
        </w:rPr>
      </w:pPr>
      <w:r w:rsidRPr="00A2131D">
        <w:rPr>
          <w:lang w:val="en-GB"/>
        </w:rPr>
        <w:t>The PT/SMQ were numerically ranked by frequency, and the 50 most frequent PT/SMQ were reported, with ties determined using the minimum method (i.e. PT/SMQ reported the same number of times received the same minimum ranking possible).</w:t>
      </w:r>
    </w:p>
    <w:p w14:paraId="43671285" w14:textId="73CA9827" w:rsidR="005D5F7C" w:rsidRDefault="00A2131D" w:rsidP="00A2131D">
      <w:pPr>
        <w:pStyle w:val="Heading3"/>
        <w:divId w:val="935526654"/>
        <w:rPr>
          <w:lang w:val="en-GB"/>
        </w:rPr>
      </w:pPr>
      <w:r>
        <w:rPr>
          <w:lang w:val="en-GB"/>
        </w:rPr>
        <w:t>AEFI report data</w:t>
      </w:r>
    </w:p>
    <w:p w14:paraId="24D6890E" w14:textId="4C51EB59" w:rsidR="00A2131D" w:rsidRDefault="00A2131D" w:rsidP="00620509">
      <w:pPr>
        <w:divId w:val="935526654"/>
        <w:rPr>
          <w:lang w:val="en-GB"/>
        </w:rPr>
      </w:pPr>
      <w:r w:rsidRPr="00A2131D">
        <w:rPr>
          <w:lang w:val="en-GB"/>
        </w:rPr>
        <w:t>AEFI reports were defined by unique identifiers provided by the TGA. Each report was assigned a date based on the earliest vaccine date associated with the report; where a vaccine date was missing, the earliest symptom onset date was used; and where dates for both vaccine and symptom onset were missing, the received date (the date when the sender (reporter) of the case first received the minimum valid information as described above from the primary source) was used. Where the date of birth was available, it was used to calculate age at time of vaccination, symptom onset, or received date; where it was missing, the age at symptom onset provided by the TGA was used. Reports were grouped by age into &lt; 7 years; 7–17 years; 18–64 years; and ≥ 65 years. Reports with a vaccination, symptom onset, or received date (as described above) prior to 2021 were excluded from the 2021 specific analysis.</w:t>
      </w:r>
    </w:p>
    <w:p w14:paraId="2866D2BA" w14:textId="207553E6" w:rsidR="00A2131D" w:rsidRDefault="00A2131D" w:rsidP="00A2131D">
      <w:pPr>
        <w:pStyle w:val="Heading2"/>
        <w:divId w:val="935526654"/>
        <w:rPr>
          <w:lang w:val="en-GB"/>
        </w:rPr>
      </w:pPr>
      <w:r>
        <w:rPr>
          <w:lang w:val="en-GB"/>
        </w:rPr>
        <w:t>Reported deaths</w:t>
      </w:r>
    </w:p>
    <w:p w14:paraId="10B1EF88" w14:textId="77777777" w:rsidR="00A2131D" w:rsidRPr="00A2131D" w:rsidRDefault="00A2131D" w:rsidP="00A2131D">
      <w:pPr>
        <w:divId w:val="935526654"/>
        <w:rPr>
          <w:lang w:val="en-GB"/>
        </w:rPr>
      </w:pPr>
      <w:r w:rsidRPr="00A2131D">
        <w:rPr>
          <w:lang w:val="en-GB"/>
        </w:rPr>
        <w:t>All AEFI reports where a fatal outcome is reported are reviewed by the TGA. This review is designed to assess whether the medical condition(s) that caused death represent an emerging safety concern with a vaccine. For each report the TGA receives, a team of staff, including doctors and nurses, consider the strength of the evidence for a link between vaccination and the condition that caused the death, using a standardised process based on the World Health Organization (WHO) guidelines.</w:t>
      </w:r>
      <w:r w:rsidRPr="00A2131D">
        <w:rPr>
          <w:vertAlign w:val="superscript"/>
          <w:lang w:val="en-GB"/>
        </w:rPr>
        <w:t>25</w:t>
      </w:r>
      <w:r w:rsidRPr="00A2131D">
        <w:rPr>
          <w:lang w:val="en-GB"/>
        </w:rPr>
        <w:t xml:space="preserve"> When another cause for the events that resulted in death is not medically obvious, not stated, and cannot be determined from the initial report, the TGA requests further information from the reporter, which may include the results of investigations relating to the death or past medical history, post-mortem examination findings, the death certificate, and/or results of a Coronial Office investigation.</w:t>
      </w:r>
    </w:p>
    <w:p w14:paraId="07FCB4C6" w14:textId="4D41A435" w:rsidR="00A2131D" w:rsidRDefault="00A2131D" w:rsidP="00A2131D">
      <w:pPr>
        <w:pStyle w:val="Heading2"/>
        <w:divId w:val="935526654"/>
        <w:rPr>
          <w:lang w:val="en-GB"/>
        </w:rPr>
      </w:pPr>
      <w:r>
        <w:rPr>
          <w:lang w:val="en-GB"/>
        </w:rPr>
        <w:t>Serious and non-serious AEFI</w:t>
      </w:r>
    </w:p>
    <w:p w14:paraId="0E8A47E5" w14:textId="77777777" w:rsidR="00A2131D" w:rsidRPr="00A2131D" w:rsidRDefault="00A2131D" w:rsidP="00A2131D">
      <w:pPr>
        <w:divId w:val="935526654"/>
        <w:rPr>
          <w:lang w:val="en-GB"/>
        </w:rPr>
      </w:pPr>
      <w:r w:rsidRPr="00A2131D">
        <w:rPr>
          <w:lang w:val="en-GB"/>
        </w:rPr>
        <w:t>AEFI reports are coded as ‘serious’ or ‘non-</w:t>
      </w:r>
      <w:proofErr w:type="spellStart"/>
      <w:r w:rsidRPr="00A2131D">
        <w:rPr>
          <w:lang w:val="en-GB"/>
        </w:rPr>
        <w:t>serious’</w:t>
      </w:r>
      <w:proofErr w:type="spellEnd"/>
      <w:r w:rsidRPr="00A2131D">
        <w:rPr>
          <w:lang w:val="en-GB"/>
        </w:rPr>
        <w:t xml:space="preserve"> based on criteria used by the WHO</w:t>
      </w:r>
      <w:r w:rsidRPr="00A2131D">
        <w:rPr>
          <w:vertAlign w:val="superscript"/>
          <w:lang w:val="en-GB"/>
        </w:rPr>
        <w:t>3</w:t>
      </w:r>
      <w:r w:rsidRPr="00A2131D">
        <w:rPr>
          <w:lang w:val="en-GB"/>
        </w:rPr>
        <w:t xml:space="preserve"> and by the United States (US) Vaccine Adverse Events Reporting System,</w:t>
      </w:r>
      <w:r w:rsidRPr="00A2131D">
        <w:rPr>
          <w:vertAlign w:val="superscript"/>
          <w:lang w:val="en-GB"/>
        </w:rPr>
        <w:t>26</w:t>
      </w:r>
      <w:r w:rsidRPr="00A2131D">
        <w:rPr>
          <w:lang w:val="en-GB"/>
        </w:rPr>
        <w:t xml:space="preserve"> where an adverse event report is defined as ‘serious’ if it meets one or more of the following criteria:</w:t>
      </w:r>
    </w:p>
    <w:p w14:paraId="69F4C7CC" w14:textId="77777777" w:rsidR="00A2131D" w:rsidRPr="00A2131D" w:rsidRDefault="00A2131D" w:rsidP="00A2131D">
      <w:pPr>
        <w:pStyle w:val="CDIBulletsL1"/>
        <w:divId w:val="935526654"/>
      </w:pPr>
      <w:r w:rsidRPr="00A2131D">
        <w:t xml:space="preserve">results in </w:t>
      </w:r>
      <w:proofErr w:type="gramStart"/>
      <w:r w:rsidRPr="00A2131D">
        <w:t>death;</w:t>
      </w:r>
      <w:proofErr w:type="gramEnd"/>
    </w:p>
    <w:p w14:paraId="6EA1D25F" w14:textId="77777777" w:rsidR="00A2131D" w:rsidRPr="00A2131D" w:rsidRDefault="00A2131D" w:rsidP="00A2131D">
      <w:pPr>
        <w:pStyle w:val="CDIBulletsL1"/>
        <w:divId w:val="935526654"/>
      </w:pPr>
      <w:r w:rsidRPr="00A2131D">
        <w:t xml:space="preserve">is </w:t>
      </w:r>
      <w:proofErr w:type="gramStart"/>
      <w:r w:rsidRPr="00A2131D">
        <w:t>life-threatening;</w:t>
      </w:r>
      <w:proofErr w:type="gramEnd"/>
    </w:p>
    <w:p w14:paraId="51106A9D" w14:textId="77777777" w:rsidR="00A2131D" w:rsidRPr="00A2131D" w:rsidRDefault="00A2131D" w:rsidP="00A2131D">
      <w:pPr>
        <w:pStyle w:val="CDIBulletsL1"/>
        <w:divId w:val="935526654"/>
      </w:pPr>
      <w:r w:rsidRPr="00A2131D">
        <w:t xml:space="preserve">requires inpatient hospitalisation or prolongation of existing </w:t>
      </w:r>
      <w:proofErr w:type="gramStart"/>
      <w:r w:rsidRPr="00A2131D">
        <w:t>hospitalisation;</w:t>
      </w:r>
      <w:proofErr w:type="gramEnd"/>
    </w:p>
    <w:p w14:paraId="7DD6FCA5" w14:textId="77777777" w:rsidR="00A2131D" w:rsidRPr="00A2131D" w:rsidRDefault="00A2131D" w:rsidP="00A2131D">
      <w:pPr>
        <w:pStyle w:val="CDIBulletsL1"/>
        <w:divId w:val="935526654"/>
      </w:pPr>
      <w:r w:rsidRPr="00A2131D">
        <w:t>results in persistent or significant disability/</w:t>
      </w:r>
      <w:proofErr w:type="gramStart"/>
      <w:r w:rsidRPr="00A2131D">
        <w:t>incapacity;</w:t>
      </w:r>
      <w:proofErr w:type="gramEnd"/>
    </w:p>
    <w:p w14:paraId="3BA7508F" w14:textId="77777777" w:rsidR="00A2131D" w:rsidRPr="00A2131D" w:rsidRDefault="00A2131D" w:rsidP="00A2131D">
      <w:pPr>
        <w:pStyle w:val="CDIBulletsL1"/>
        <w:divId w:val="935526654"/>
      </w:pPr>
      <w:r w:rsidRPr="00A2131D">
        <w:t>is a congenital anomaly/birth defect; or</w:t>
      </w:r>
    </w:p>
    <w:p w14:paraId="1CCA594A" w14:textId="77777777" w:rsidR="00A2131D" w:rsidRPr="00A2131D" w:rsidRDefault="00A2131D" w:rsidP="00A2131D">
      <w:pPr>
        <w:pStyle w:val="CDIBulletsL1"/>
        <w:divId w:val="935526654"/>
      </w:pPr>
      <w:r w:rsidRPr="00A2131D">
        <w:t>is a medically important event or reaction.</w:t>
      </w:r>
    </w:p>
    <w:p w14:paraId="19D02F79" w14:textId="77777777" w:rsidR="00A2131D" w:rsidRPr="00A2131D" w:rsidRDefault="00A2131D" w:rsidP="00A2131D">
      <w:pPr>
        <w:divId w:val="935526654"/>
        <w:rPr>
          <w:lang w:val="en-GB"/>
        </w:rPr>
      </w:pPr>
      <w:r w:rsidRPr="00A2131D">
        <w:rPr>
          <w:lang w:val="en-GB"/>
        </w:rPr>
        <w:t>The seriousness classification is applied by Australian sponsors (vaccine companies) to vaccine AEFI reports to ensure they meet legislated requirements. For other AEFI reports submitted to the TGA, the seriousness classification either reflects the view of the reporter or may have been applied following review by the TGA.</w:t>
      </w:r>
    </w:p>
    <w:p w14:paraId="65BD2064" w14:textId="426888BB" w:rsidR="00A2131D" w:rsidRDefault="00A2131D" w:rsidP="00A2131D">
      <w:pPr>
        <w:pStyle w:val="Heading2"/>
        <w:divId w:val="935526654"/>
        <w:rPr>
          <w:lang w:val="en-GB"/>
        </w:rPr>
      </w:pPr>
      <w:r>
        <w:rPr>
          <w:lang w:val="en-GB"/>
        </w:rPr>
        <w:t>Data analysis</w:t>
      </w:r>
    </w:p>
    <w:p w14:paraId="217E3BBE" w14:textId="77777777" w:rsidR="00A2131D" w:rsidRPr="00A2131D" w:rsidRDefault="00A2131D" w:rsidP="00A2131D">
      <w:pPr>
        <w:divId w:val="935526654"/>
        <w:rPr>
          <w:lang w:val="en-GB"/>
        </w:rPr>
      </w:pPr>
      <w:r w:rsidRPr="00A2131D">
        <w:rPr>
          <w:lang w:val="en-GB"/>
        </w:rPr>
        <w:t>All data cleaning and analyses were performed using R version 4.0.3. Average annual population-based AEFI reporting rates were calculated for each state and territory, and by age group, using June 2021 population estimates obtained from the Australian Bureau of Statistics.</w:t>
      </w:r>
      <w:r w:rsidRPr="00A2131D">
        <w:rPr>
          <w:vertAlign w:val="superscript"/>
          <w:lang w:val="en-GB"/>
        </w:rPr>
        <w:t>27</w:t>
      </w:r>
      <w:r w:rsidRPr="00A2131D">
        <w:rPr>
          <w:lang w:val="en-GB"/>
        </w:rPr>
        <w:t xml:space="preserve"> The AEFI reporting rates per 100,000 administered doses were estimated where information was available on the number of doses administered. The number of administered doses of each of the vaccines given was obtained from the Australian Immunisation Register (AIR), a national population-based register.</w:t>
      </w:r>
      <w:r w:rsidRPr="00A2131D">
        <w:rPr>
          <w:vertAlign w:val="superscript"/>
          <w:lang w:val="en-GB"/>
        </w:rPr>
        <w:t>28</w:t>
      </w:r>
      <w:r w:rsidRPr="00A2131D">
        <w:rPr>
          <w:lang w:val="en-GB"/>
        </w:rPr>
        <w:t xml:space="preserve"> Confidence intervals presented are 95% exact binomial confidence intervals (95% CI) for proportions. Reporting rates per 100,000 population were used in preference to </w:t>
      </w:r>
      <w:proofErr w:type="gramStart"/>
      <w:r w:rsidRPr="00A2131D">
        <w:rPr>
          <w:lang w:val="en-GB"/>
        </w:rPr>
        <w:t>reporting</w:t>
      </w:r>
      <w:proofErr w:type="gramEnd"/>
      <w:r w:rsidRPr="00A2131D">
        <w:rPr>
          <w:lang w:val="en-GB"/>
        </w:rPr>
        <w:t xml:space="preserve"> rates per 100,000 doses to compare between years, due to incomplete recording in the AIR of non-COVID-19 vaccines administered.</w:t>
      </w:r>
    </w:p>
    <w:p w14:paraId="02C6B9C6" w14:textId="77777777" w:rsidR="00A2131D" w:rsidRPr="00A2131D" w:rsidRDefault="00A2131D" w:rsidP="00A2131D">
      <w:pPr>
        <w:divId w:val="935526654"/>
        <w:rPr>
          <w:lang w:val="en-GB"/>
        </w:rPr>
      </w:pPr>
      <w:r w:rsidRPr="00A2131D">
        <w:rPr>
          <w:lang w:val="en-GB"/>
        </w:rPr>
        <w:t>AEFI reports following COVID-19 vaccination are analysed and presented in a separate report.</w:t>
      </w:r>
    </w:p>
    <w:p w14:paraId="179E8C8E" w14:textId="47F50439" w:rsidR="00A2131D" w:rsidRDefault="00A2131D" w:rsidP="00A2131D">
      <w:pPr>
        <w:pStyle w:val="Heading2"/>
        <w:divId w:val="935526654"/>
        <w:rPr>
          <w:lang w:val="en-GB"/>
        </w:rPr>
      </w:pPr>
      <w:r>
        <w:rPr>
          <w:lang w:val="en-GB"/>
        </w:rPr>
        <w:t>Notes on interpretation</w:t>
      </w:r>
    </w:p>
    <w:p w14:paraId="79469403" w14:textId="77777777" w:rsidR="00A2131D" w:rsidRPr="00A2131D" w:rsidRDefault="00A2131D" w:rsidP="00A2131D">
      <w:pPr>
        <w:divId w:val="935526654"/>
        <w:rPr>
          <w:lang w:val="en-GB"/>
        </w:rPr>
      </w:pPr>
      <w:r w:rsidRPr="00A2131D">
        <w:rPr>
          <w:lang w:val="en-GB"/>
        </w:rPr>
        <w:t>The data reported here are provisional, particularly for the fourth quarter of 2021, due to reporting delays and the late onset of some reported AEFI. In addition, AEFI may have been reported in 2021 for vaccinations occurring in previous years. Numbers have therefore been updated for previous years and may not match those provided in previous reports.</w:t>
      </w:r>
    </w:p>
    <w:p w14:paraId="23A942FC" w14:textId="77777777" w:rsidR="00A2131D" w:rsidRPr="00A2131D" w:rsidRDefault="00A2131D" w:rsidP="00A2131D">
      <w:pPr>
        <w:divId w:val="935526654"/>
        <w:rPr>
          <w:lang w:val="en-GB"/>
        </w:rPr>
      </w:pPr>
      <w:r w:rsidRPr="00A2131D">
        <w:rPr>
          <w:lang w:val="en-GB"/>
        </w:rPr>
        <w:t xml:space="preserve">As this report analyses data from the AEMS database, the numbers published in this report may be different to the numbers found in the </w:t>
      </w:r>
      <w:r w:rsidRPr="00497089">
        <w:rPr>
          <w:i/>
          <w:iCs/>
        </w:rPr>
        <w:t>Database of Adverse Event Notifications (DAEN) – medicines</w:t>
      </w:r>
      <w:r w:rsidRPr="00A2131D">
        <w:rPr>
          <w:lang w:val="en-GB"/>
        </w:rPr>
        <w:t>, a public online database maintained by the TGA that contains reports of adverse events for all medicines and vaccines.</w:t>
      </w:r>
      <w:r w:rsidRPr="00A2131D">
        <w:rPr>
          <w:vertAlign w:val="superscript"/>
          <w:lang w:val="en-GB"/>
        </w:rPr>
        <w:t>29</w:t>
      </w:r>
      <w:r w:rsidRPr="00A2131D">
        <w:rPr>
          <w:lang w:val="en-GB"/>
        </w:rPr>
        <w:t xml:space="preserve"> The AEMS database includes more detailed information on each AEFI report and incorporates amendments and updates to reports when additional information is made available to the TGA. As the data for this analysis was extracted from AEMS in May 2022, there may be discrepancies with the </w:t>
      </w:r>
      <w:r w:rsidRPr="00497089">
        <w:rPr>
          <w:i/>
          <w:iCs/>
        </w:rPr>
        <w:t>DAEN – medicines</w:t>
      </w:r>
      <w:r w:rsidRPr="00A2131D">
        <w:rPr>
          <w:lang w:val="en-GB"/>
        </w:rPr>
        <w:t>, which is a live database that reflects new information made available to the TGA.</w:t>
      </w:r>
    </w:p>
    <w:p w14:paraId="068766FE" w14:textId="77777777" w:rsidR="00620509" w:rsidRDefault="00620509" w:rsidP="00620509">
      <w:pPr>
        <w:pStyle w:val="Heading1"/>
        <w:divId w:val="935526654"/>
        <w:rPr>
          <w:lang w:val="en-GB"/>
        </w:rPr>
      </w:pPr>
      <w:r>
        <w:rPr>
          <w:lang w:val="en-GB"/>
        </w:rPr>
        <w:t>Results</w:t>
      </w:r>
    </w:p>
    <w:p w14:paraId="71A4E0C0" w14:textId="77777777" w:rsidR="00A2131D" w:rsidRPr="00A2131D" w:rsidRDefault="00A2131D" w:rsidP="00A2131D">
      <w:pPr>
        <w:divId w:val="935526654"/>
        <w:rPr>
          <w:lang w:val="en-GB"/>
        </w:rPr>
      </w:pPr>
      <w:r w:rsidRPr="00A2131D">
        <w:rPr>
          <w:lang w:val="en-GB"/>
        </w:rPr>
        <w:t>There were 3,452 reports in the AEMS database where the date of vaccination (or onset of adverse event or received date, if vaccination date was not reported) was between 1 January and 31 December 2021. Of reports with sex reported (N = 3,383), there were 1,927 (57.0%%) in females and 1,456 (43.0%) in males; 69 reports (2.0% of total) did not report sex. Of reports with Indigenous status reported (N = 1,715), there were 121 AEFI reports (7.1%) for people identified as Aboriginal and/or Torres Strait Islander; Indigenous status was not reported in 1,737 reports (50.3%).</w:t>
      </w:r>
    </w:p>
    <w:p w14:paraId="5D4F0E59" w14:textId="77777777" w:rsidR="00A2131D" w:rsidRPr="00A2131D" w:rsidRDefault="00A2131D" w:rsidP="00A2131D">
      <w:pPr>
        <w:divId w:val="935526654"/>
        <w:rPr>
          <w:lang w:val="en-GB"/>
        </w:rPr>
      </w:pPr>
      <w:r w:rsidRPr="00A2131D">
        <w:rPr>
          <w:lang w:val="en-GB"/>
        </w:rPr>
        <w:t>Of reports with age or date of birth reported (N = 3.321), there were 1,707 (51.4%) for children aged &lt; 7 years and 1,614 (48.6%) for people aged ≥7 years, while 131 AEFI reports (3.8% of total) did not report age information.</w:t>
      </w:r>
    </w:p>
    <w:p w14:paraId="3CE65C0D" w14:textId="77777777" w:rsidR="00A2131D" w:rsidRPr="00A2131D" w:rsidRDefault="00A2131D" w:rsidP="00A2131D">
      <w:pPr>
        <w:divId w:val="935526654"/>
        <w:rPr>
          <w:lang w:val="en-GB"/>
        </w:rPr>
      </w:pPr>
      <w:r w:rsidRPr="00A2131D">
        <w:rPr>
          <w:lang w:val="en-GB"/>
        </w:rPr>
        <w:t xml:space="preserve">The majority of AEFI reports (2,733, 79.2%) were reported by a regional pharmacovigilance centre (i.e. state or territory health department reports), while 12.4% (429) were reported by health professionals, 6.4% (221) were reported by consumers, and 1.9% (67) were reported by pharmaceutical companies. One report each (0.03%) was reported by a regulatory authority and distributor or </w:t>
      </w:r>
      <w:proofErr w:type="gramStart"/>
      <w:r w:rsidRPr="00A2131D">
        <w:rPr>
          <w:lang w:val="en-GB"/>
        </w:rPr>
        <w:t>other</w:t>
      </w:r>
      <w:proofErr w:type="gramEnd"/>
      <w:r w:rsidRPr="00A2131D">
        <w:rPr>
          <w:lang w:val="en-GB"/>
        </w:rPr>
        <w:t xml:space="preserve"> organisation.</w:t>
      </w:r>
    </w:p>
    <w:p w14:paraId="6C6631E4" w14:textId="77777777" w:rsidR="00A2131D" w:rsidRPr="00A2131D" w:rsidRDefault="00A2131D" w:rsidP="00A2131D">
      <w:pPr>
        <w:divId w:val="935526654"/>
        <w:rPr>
          <w:lang w:val="en-GB"/>
        </w:rPr>
      </w:pPr>
      <w:r w:rsidRPr="00A2131D">
        <w:rPr>
          <w:lang w:val="en-GB"/>
        </w:rPr>
        <w:t>There were 133 reports excluded from this analysis where suspect non-COVID-19 vaccines were reported together with suspect COVID-19 vaccines; these are included in the separate COVID-19 vaccine AEFI report.</w:t>
      </w:r>
    </w:p>
    <w:p w14:paraId="1386DC2B" w14:textId="38A65A94" w:rsidR="00620509" w:rsidRDefault="004246FD" w:rsidP="004246FD">
      <w:pPr>
        <w:pStyle w:val="Heading2"/>
        <w:divId w:val="935526654"/>
        <w:rPr>
          <w:lang w:val="en-GB"/>
        </w:rPr>
      </w:pPr>
      <w:r>
        <w:rPr>
          <w:lang w:val="en-GB"/>
        </w:rPr>
        <w:t>Reporting trends</w:t>
      </w:r>
    </w:p>
    <w:p w14:paraId="42A99F44" w14:textId="77777777" w:rsidR="004246FD" w:rsidRDefault="004246FD" w:rsidP="004246FD">
      <w:pPr>
        <w:divId w:val="935526654"/>
        <w:rPr>
          <w:vertAlign w:val="superscript"/>
          <w:lang w:val="en-GB"/>
        </w:rPr>
      </w:pPr>
      <w:r w:rsidRPr="004246FD">
        <w:rPr>
          <w:lang w:val="en-GB"/>
        </w:rPr>
        <w:t>The overall AEFI reporting rate for 2021 was 13.4 per 100,000 population, compared with 14.9 per 100,000 population in 2020 and 15.5 per 100,000 population in 2019. The highest reporting rate during the period 2000–2021 was observed in 2010 (17.4 per 100,000 population), due primarily to reported AEFI in children following vaccination with the pandemic and 2010 seasonal trivalent influenza vaccines (Figure 1).</w:t>
      </w:r>
      <w:r w:rsidRPr="004246FD">
        <w:rPr>
          <w:vertAlign w:val="superscript"/>
          <w:lang w:val="en-GB"/>
        </w:rPr>
        <w:t>15</w:t>
      </w:r>
    </w:p>
    <w:p w14:paraId="004FD005" w14:textId="77777777" w:rsidR="004246FD" w:rsidRPr="004246FD" w:rsidRDefault="004246FD" w:rsidP="004246FD">
      <w:pPr>
        <w:divId w:val="935526654"/>
        <w:rPr>
          <w:lang w:val="en-GB"/>
        </w:rPr>
      </w:pPr>
      <w:proofErr w:type="gramStart"/>
      <w:r w:rsidRPr="004246FD">
        <w:rPr>
          <w:lang w:val="en-GB"/>
        </w:rPr>
        <w:t>Similar to</w:t>
      </w:r>
      <w:proofErr w:type="gramEnd"/>
      <w:r w:rsidRPr="004246FD">
        <w:rPr>
          <w:lang w:val="en-GB"/>
        </w:rPr>
        <w:t xml:space="preserve"> previous years, most AEFI reports in 2021 (93.5%) were coded as non-serious (Figure 1).</w:t>
      </w:r>
      <w:r w:rsidRPr="004246FD">
        <w:rPr>
          <w:vertAlign w:val="superscript"/>
          <w:lang w:val="en-GB"/>
        </w:rPr>
        <w:t>13,14,19</w:t>
      </w:r>
      <w:r w:rsidRPr="004246FD">
        <w:rPr>
          <w:lang w:val="en-GB"/>
        </w:rPr>
        <w:t xml:space="preserve"> Figures 2–5 demonstrate variations in AEFI reports in all age groups associated with changes to the NIP. The decrease in reports in 2021, compared with 2020, was mainly attributable to a more than 15% reduction in the number of AEFI reports following 23vPPV, standard-formulation seasonal influenza vaccine, monovalent Hib vaccine, MenACWY, MMRV vaccine, and </w:t>
      </w:r>
      <w:proofErr w:type="spellStart"/>
      <w:r w:rsidRPr="004246FD">
        <w:rPr>
          <w:lang w:val="en-GB"/>
        </w:rPr>
        <w:t>DTPa</w:t>
      </w:r>
      <w:proofErr w:type="spellEnd"/>
      <w:r w:rsidRPr="004246FD">
        <w:rPr>
          <w:lang w:val="en-GB"/>
        </w:rPr>
        <w:t>-IPV. By age group, the highest numbers of AEFI reports in 2021 followed 13vPCV in children aged &lt; 7 years (Table 1, Figure 2); HPV vaccine in children and adolescents aged 7–17 years (Table 1, Figure 3); standard-formulation seasonal influenza vaccine in people aged 18–64 years (Table 1, Figure 4); and high-dose or adjuvanted seasonal influenza vaccine in people aged ≥ 65 years (Table 1, Figure 5).</w:t>
      </w:r>
    </w:p>
    <w:p w14:paraId="6D84B9E3" w14:textId="77777777" w:rsidR="004246FD" w:rsidRPr="004246FD" w:rsidRDefault="004246FD" w:rsidP="004246FD">
      <w:pPr>
        <w:divId w:val="935526654"/>
        <w:rPr>
          <w:lang w:val="en-GB"/>
        </w:rPr>
      </w:pPr>
      <w:r w:rsidRPr="004246FD">
        <w:rPr>
          <w:lang w:val="en-GB"/>
        </w:rPr>
        <w:t xml:space="preserve">The decrease in reports in 2021, compared with 2020, was mainly attributable to a more than 15% reduction in the number of AEFI reports following 23vPPV, standard-formulation seasonal influenza vaccine, monovalent Hib vaccine, MenACWY, MMRV vaccine, and </w:t>
      </w:r>
      <w:proofErr w:type="spellStart"/>
      <w:r w:rsidRPr="004246FD">
        <w:rPr>
          <w:lang w:val="en-GB"/>
        </w:rPr>
        <w:t>DTPa</w:t>
      </w:r>
      <w:proofErr w:type="spellEnd"/>
      <w:r w:rsidRPr="004246FD">
        <w:rPr>
          <w:lang w:val="en-GB"/>
        </w:rPr>
        <w:t>-IPV. By age group, the highest numbers of AEFI reports in 2021 followed 13vPCV in children aged &lt; 7 years (Table 1, Figure 2); HPV vaccine in children and adolescents aged 7–17 years (Table 1, Figure 3); standard-formulation seasonal influenza vaccine in people aged 18–64 years (Table 1, Figure 4); and high-dose or adjuvanted seasonal influenza vaccine in people aged ≥ 65 years (Table 1, Figure 5).</w:t>
      </w:r>
    </w:p>
    <w:p w14:paraId="0675E09D" w14:textId="43FFD6B9" w:rsidR="00A2131D" w:rsidRDefault="004246FD" w:rsidP="004246FD">
      <w:pPr>
        <w:pStyle w:val="CDIFigure-Table-Title"/>
        <w:divId w:val="935526654"/>
      </w:pPr>
      <w:r w:rsidRPr="004246FD">
        <w:t>Figure 1: Adverse event following immunisation reports in the Adverse Event Management System database from 2000 to 2021 (excluding COVID-19 vaccines</w:t>
      </w:r>
      <w:proofErr w:type="gramStart"/>
      <w:r w:rsidRPr="004246FD">
        <w:t>),</w:t>
      </w:r>
      <w:r w:rsidRPr="004246FD">
        <w:rPr>
          <w:rStyle w:val="Superscript"/>
        </w:rPr>
        <w:t>a</w:t>
      </w:r>
      <w:proofErr w:type="gramEnd"/>
      <w:r w:rsidRPr="004246FD">
        <w:t xml:space="preserve"> by year</w:t>
      </w:r>
    </w:p>
    <w:p w14:paraId="5070BB18" w14:textId="061C8083" w:rsidR="00A2131D" w:rsidRDefault="0074438D" w:rsidP="004246FD">
      <w:pPr>
        <w:pStyle w:val="CDIFigure-Table-ImagePlaceholder"/>
        <w:divId w:val="935526654"/>
        <w:rPr>
          <w:lang w:val="en-GB"/>
        </w:rPr>
      </w:pPr>
      <w:r>
        <w:rPr>
          <w:noProof/>
          <w:lang w:val="en-GB"/>
          <w14:ligatures w14:val="none"/>
        </w:rPr>
        <w:drawing>
          <wp:inline distT="0" distB="0" distL="0" distR="0" wp14:anchorId="0E7AE3C1" wp14:editId="08448CD4">
            <wp:extent cx="5547360" cy="4572000"/>
            <wp:effectExtent l="0" t="0" r="0" b="0"/>
            <wp:docPr id="1" name="Picture 1" descr="Figure 1 is a trend graph showing number of reported adverse events following vaccination (excluding COVID-19 vaccines) as well as overall reporting rate per 100,000 population for the last 22-year period (1 January 2000 to 31 December 2021). Excluding COVID-19 vaccines, there was a decrease in the reported events and reporting rate per 100,000 population during 2021 and the vast majority of reported events (from all reporter types) were of a non-serious 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s a trend graph showing number of reported adverse events following vaccination (excluding COVID-19 vaccines) as well as overall reporting rate per 100,000 population for the last 22-year period (1 January 2000 to 31 December 2021). Excluding COVID-19 vaccines, there was a decrease in the reported events and reporting rate per 100,000 population during 2021 and the vast majority of reported events (from all reporter types) were of a non-serious nature."/>
                    <pic:cNvPicPr/>
                  </pic:nvPicPr>
                  <pic:blipFill>
                    <a:blip r:embed="rId15">
                      <a:extLst>
                        <a:ext uri="{28A0092B-C50C-407E-A947-70E740481C1C}">
                          <a14:useLocalDpi xmlns:a14="http://schemas.microsoft.com/office/drawing/2010/main" val="0"/>
                        </a:ext>
                      </a:extLst>
                    </a:blip>
                    <a:stretch>
                      <a:fillRect/>
                    </a:stretch>
                  </pic:blipFill>
                  <pic:spPr>
                    <a:xfrm>
                      <a:off x="0" y="0"/>
                      <a:ext cx="5547360" cy="4572000"/>
                    </a:xfrm>
                    <a:prstGeom prst="rect">
                      <a:avLst/>
                    </a:prstGeom>
                  </pic:spPr>
                </pic:pic>
              </a:graphicData>
            </a:graphic>
          </wp:inline>
        </w:drawing>
      </w:r>
    </w:p>
    <w:p w14:paraId="191F6EF9" w14:textId="32726524" w:rsidR="004246FD" w:rsidRDefault="004246FD" w:rsidP="004246FD">
      <w:pPr>
        <w:pStyle w:val="CDIFigure-Table-FirstFootnote"/>
        <w:divId w:val="935526654"/>
      </w:pPr>
      <w:proofErr w:type="spellStart"/>
      <w:r w:rsidRPr="004246FD">
        <w:t>a</w:t>
      </w:r>
      <w:proofErr w:type="spellEnd"/>
      <w:r w:rsidRPr="004246FD">
        <w:tab/>
      </w:r>
      <w:proofErr w:type="gramStart"/>
      <w:r w:rsidRPr="004246FD">
        <w:t>For</w:t>
      </w:r>
      <w:proofErr w:type="gramEnd"/>
      <w:r w:rsidRPr="004246FD">
        <w:t xml:space="preserve"> reports where the date of vaccination was not recorded, the date of symptom onset or the received date (when the event was reported to the sender of the case) was used. For more details on changes to the National Immunisation Program, please refer to Appendix A, Table A.1.</w:t>
      </w:r>
    </w:p>
    <w:p w14:paraId="3658272C" w14:textId="446F4A45" w:rsidR="0074438D" w:rsidRDefault="0074438D" w:rsidP="0074438D">
      <w:pPr>
        <w:pStyle w:val="CDIFigure-Table-Titlemorespacebefore"/>
        <w:divId w:val="935526654"/>
      </w:pPr>
      <w:r w:rsidRPr="0074438D">
        <w:t>Table 1: Vaccines listed as ‘suspected’ in reports of adverse events following immunisation (AEFI) in the Adverse Event Management System database in 2021 (excluding COVID-19 vaccines), by age group</w:t>
      </w:r>
    </w:p>
    <w:tbl>
      <w:tblPr>
        <w:tblW w:w="0" w:type="auto"/>
        <w:tblInd w:w="-8" w:type="dxa"/>
        <w:tblLayout w:type="fixed"/>
        <w:tblCellMar>
          <w:left w:w="0" w:type="dxa"/>
          <w:right w:w="0" w:type="dxa"/>
        </w:tblCellMar>
        <w:tblLook w:val="0000" w:firstRow="0" w:lastRow="0" w:firstColumn="0" w:lastColumn="0" w:noHBand="0" w:noVBand="0"/>
        <w:tblCaption w:val="Table 1: Vaccines listed as ‘suspected’ in reports of adverse events following immunisation (AEFI) in the Adverse Event Management System database in 2021 (excluding COVID-19 vaccines), by age group"/>
        <w:tblDescription w:val="Table 1 shows vaccine types listed as ‘suspected’ of involvement in records of  adverse events following immunisation (excluding COVID-19 vaccines), by age group for the period 1 January to 31 December 2021. AEFI reporting rates per 100,000 vaccine doses within each age group are also listed for each vaccine type."/>
      </w:tblPr>
      <w:tblGrid>
        <w:gridCol w:w="1417"/>
        <w:gridCol w:w="1985"/>
        <w:gridCol w:w="1417"/>
        <w:gridCol w:w="1417"/>
        <w:gridCol w:w="3402"/>
      </w:tblGrid>
      <w:tr w:rsidR="008D6F06" w14:paraId="121FA701" w14:textId="77777777" w:rsidTr="0050514F">
        <w:trPr>
          <w:divId w:val="935526654"/>
          <w:trHeight w:val="20"/>
          <w:tblHeader/>
        </w:trPr>
        <w:tc>
          <w:tcPr>
            <w:tcW w:w="1417" w:type="dxa"/>
            <w:shd w:val="clear" w:color="auto" w:fill="033636" w:themeFill="text2"/>
            <w:tcMar>
              <w:top w:w="113" w:type="dxa"/>
              <w:left w:w="113" w:type="dxa"/>
              <w:bottom w:w="113" w:type="dxa"/>
              <w:right w:w="113" w:type="dxa"/>
            </w:tcMar>
            <w:vAlign w:val="center"/>
          </w:tcPr>
          <w:p w14:paraId="60D1D1E8" w14:textId="77777777" w:rsidR="008D6F06" w:rsidRDefault="008D6F06" w:rsidP="009245A5">
            <w:pPr>
              <w:pStyle w:val="CDIFigure-Table-H1Left"/>
            </w:pPr>
            <w:r>
              <w:t>Age group</w:t>
            </w:r>
          </w:p>
        </w:tc>
        <w:tc>
          <w:tcPr>
            <w:tcW w:w="1985" w:type="dxa"/>
            <w:shd w:val="clear" w:color="auto" w:fill="033636" w:themeFill="text2"/>
            <w:tcMar>
              <w:top w:w="113" w:type="dxa"/>
              <w:left w:w="113" w:type="dxa"/>
              <w:bottom w:w="113" w:type="dxa"/>
              <w:right w:w="113" w:type="dxa"/>
            </w:tcMar>
            <w:vAlign w:val="center"/>
          </w:tcPr>
          <w:p w14:paraId="6C6EA2B8" w14:textId="77777777" w:rsidR="008D6F06" w:rsidRDefault="008D6F06" w:rsidP="00EF3F9B">
            <w:pPr>
              <w:pStyle w:val="CDIFigure-Table-H1Left"/>
            </w:pPr>
            <w:proofErr w:type="spellStart"/>
            <w:r>
              <w:t>Vaccine</w:t>
            </w:r>
            <w:r>
              <w:rPr>
                <w:rStyle w:val="Superscript"/>
              </w:rPr>
              <w:t>a</w:t>
            </w:r>
            <w:proofErr w:type="spellEnd"/>
          </w:p>
        </w:tc>
        <w:tc>
          <w:tcPr>
            <w:tcW w:w="1417" w:type="dxa"/>
            <w:shd w:val="clear" w:color="auto" w:fill="033636" w:themeFill="text2"/>
            <w:tcMar>
              <w:top w:w="113" w:type="dxa"/>
              <w:left w:w="113" w:type="dxa"/>
              <w:bottom w:w="113" w:type="dxa"/>
              <w:right w:w="113" w:type="dxa"/>
            </w:tcMar>
            <w:vAlign w:val="center"/>
          </w:tcPr>
          <w:p w14:paraId="6B656D32" w14:textId="77777777" w:rsidR="008D6F06" w:rsidRDefault="008D6F06" w:rsidP="009245A5">
            <w:pPr>
              <w:pStyle w:val="CDIFigure-Table-H1"/>
            </w:pPr>
            <w:r>
              <w:t>AEFI reports (n)</w:t>
            </w:r>
            <w:r>
              <w:rPr>
                <w:rStyle w:val="Superscript"/>
              </w:rPr>
              <w:t>b</w:t>
            </w:r>
          </w:p>
        </w:tc>
        <w:tc>
          <w:tcPr>
            <w:tcW w:w="1417" w:type="dxa"/>
            <w:shd w:val="clear" w:color="auto" w:fill="033636" w:themeFill="text2"/>
            <w:tcMar>
              <w:top w:w="113" w:type="dxa"/>
              <w:left w:w="113" w:type="dxa"/>
              <w:bottom w:w="113" w:type="dxa"/>
              <w:right w:w="113" w:type="dxa"/>
            </w:tcMar>
            <w:vAlign w:val="center"/>
          </w:tcPr>
          <w:p w14:paraId="2D1AF6D9" w14:textId="77777777" w:rsidR="008D6F06" w:rsidRDefault="008D6F06" w:rsidP="009245A5">
            <w:pPr>
              <w:pStyle w:val="CDIFigure-Table-H1"/>
            </w:pPr>
            <w:r w:rsidRPr="009245A5">
              <w:t>Vaccine</w:t>
            </w:r>
            <w:r w:rsidRPr="009245A5">
              <w:br/>
            </w:r>
            <w:proofErr w:type="spellStart"/>
            <w:r w:rsidRPr="009245A5">
              <w:t>doses</w:t>
            </w:r>
            <w:r>
              <w:rPr>
                <w:rStyle w:val="Superscript"/>
              </w:rPr>
              <w:t>c</w:t>
            </w:r>
            <w:proofErr w:type="spellEnd"/>
          </w:p>
        </w:tc>
        <w:tc>
          <w:tcPr>
            <w:tcW w:w="3402" w:type="dxa"/>
            <w:shd w:val="clear" w:color="auto" w:fill="033636" w:themeFill="text2"/>
            <w:tcMar>
              <w:top w:w="113" w:type="dxa"/>
              <w:left w:w="113" w:type="dxa"/>
              <w:bottom w:w="113" w:type="dxa"/>
              <w:right w:w="113" w:type="dxa"/>
            </w:tcMar>
            <w:vAlign w:val="center"/>
          </w:tcPr>
          <w:p w14:paraId="7E7CBB05" w14:textId="77777777" w:rsidR="008D6F06" w:rsidRDefault="008D6F06" w:rsidP="009245A5">
            <w:pPr>
              <w:pStyle w:val="CDIFigure-Table-H1"/>
            </w:pPr>
            <w:r w:rsidRPr="009245A5">
              <w:t>Reporting rate per 100,000 doses</w:t>
            </w:r>
            <w:r w:rsidRPr="009245A5">
              <w:br/>
              <w:t xml:space="preserve">(95% </w:t>
            </w:r>
            <w:proofErr w:type="gramStart"/>
            <w:r w:rsidRPr="009245A5">
              <w:t>CI)</w:t>
            </w:r>
            <w:r>
              <w:rPr>
                <w:rStyle w:val="Superscript"/>
              </w:rPr>
              <w:t>d</w:t>
            </w:r>
            <w:proofErr w:type="gramEnd"/>
          </w:p>
        </w:tc>
      </w:tr>
      <w:tr w:rsidR="008D6F06" w14:paraId="270BDF35" w14:textId="77777777" w:rsidTr="002E2ACD">
        <w:trPr>
          <w:divId w:val="935526654"/>
          <w:trHeight w:val="20"/>
        </w:trPr>
        <w:tc>
          <w:tcPr>
            <w:tcW w:w="1417" w:type="dxa"/>
            <w:vMerge w:val="restart"/>
            <w:shd w:val="clear" w:color="auto" w:fill="C5FFEF" w:themeFill="background2" w:themeFillTint="33"/>
            <w:tcMar>
              <w:top w:w="113" w:type="dxa"/>
              <w:left w:w="113" w:type="dxa"/>
              <w:bottom w:w="113" w:type="dxa"/>
              <w:right w:w="113" w:type="dxa"/>
            </w:tcMar>
            <w:vAlign w:val="center"/>
          </w:tcPr>
          <w:p w14:paraId="63569253" w14:textId="77777777" w:rsidR="008D6F06" w:rsidRDefault="008D6F06" w:rsidP="002E2ACD">
            <w:pPr>
              <w:pStyle w:val="CDIFigure-Table-BodyTextLeft"/>
            </w:pPr>
            <w:r>
              <w:t>&lt; 7 years</w:t>
            </w:r>
          </w:p>
        </w:tc>
        <w:tc>
          <w:tcPr>
            <w:tcW w:w="1985" w:type="dxa"/>
            <w:shd w:val="clear" w:color="auto" w:fill="F2F2F2" w:themeFill="background1" w:themeFillShade="F2"/>
            <w:tcMar>
              <w:top w:w="113" w:type="dxa"/>
              <w:left w:w="113" w:type="dxa"/>
              <w:bottom w:w="113" w:type="dxa"/>
              <w:right w:w="113" w:type="dxa"/>
            </w:tcMar>
            <w:vAlign w:val="center"/>
          </w:tcPr>
          <w:p w14:paraId="0B386681" w14:textId="77777777" w:rsidR="008D6F06" w:rsidRDefault="008D6F06" w:rsidP="002E2ACD">
            <w:pPr>
              <w:pStyle w:val="CDIFigure-Table-BodyTextLeft"/>
            </w:pPr>
            <w:r>
              <w:t>13vPCV</w:t>
            </w:r>
          </w:p>
        </w:tc>
        <w:tc>
          <w:tcPr>
            <w:tcW w:w="1417" w:type="dxa"/>
            <w:shd w:val="clear" w:color="auto" w:fill="F2F2F2" w:themeFill="background1" w:themeFillShade="F2"/>
            <w:tcMar>
              <w:top w:w="113" w:type="dxa"/>
              <w:left w:w="113" w:type="dxa"/>
              <w:bottom w:w="113" w:type="dxa"/>
              <w:right w:w="113" w:type="dxa"/>
            </w:tcMar>
            <w:vAlign w:val="center"/>
          </w:tcPr>
          <w:p w14:paraId="0DC10901" w14:textId="77777777" w:rsidR="008D6F06" w:rsidRDefault="008D6F06" w:rsidP="008D6F06">
            <w:pPr>
              <w:pStyle w:val="CDIFigure-Table-BodyTextCentre"/>
            </w:pPr>
            <w:r>
              <w:t>510</w:t>
            </w:r>
          </w:p>
        </w:tc>
        <w:tc>
          <w:tcPr>
            <w:tcW w:w="1417" w:type="dxa"/>
            <w:shd w:val="clear" w:color="auto" w:fill="F2F2F2" w:themeFill="background1" w:themeFillShade="F2"/>
            <w:tcMar>
              <w:top w:w="113" w:type="dxa"/>
              <w:left w:w="113" w:type="dxa"/>
              <w:bottom w:w="113" w:type="dxa"/>
              <w:right w:w="113" w:type="dxa"/>
            </w:tcMar>
            <w:vAlign w:val="center"/>
          </w:tcPr>
          <w:p w14:paraId="4183304C" w14:textId="77777777" w:rsidR="008D6F06" w:rsidRDefault="008D6F06" w:rsidP="008D6F06">
            <w:pPr>
              <w:pStyle w:val="CDIFigure-Table-BodyTextCentre"/>
            </w:pPr>
            <w:r>
              <w:t>859,483</w:t>
            </w:r>
          </w:p>
        </w:tc>
        <w:tc>
          <w:tcPr>
            <w:tcW w:w="3402" w:type="dxa"/>
            <w:shd w:val="clear" w:color="auto" w:fill="F2F2F2" w:themeFill="background1" w:themeFillShade="F2"/>
            <w:tcMar>
              <w:top w:w="113" w:type="dxa"/>
              <w:left w:w="113" w:type="dxa"/>
              <w:bottom w:w="113" w:type="dxa"/>
              <w:right w:w="113" w:type="dxa"/>
            </w:tcMar>
            <w:vAlign w:val="center"/>
          </w:tcPr>
          <w:p w14:paraId="60E0B1A5" w14:textId="77777777" w:rsidR="008D6F06" w:rsidRDefault="008D6F06" w:rsidP="008D6F06">
            <w:pPr>
              <w:pStyle w:val="CDIFigure-Table-BodyTextCentre"/>
            </w:pPr>
            <w:r>
              <w:t>59.3 (54.3–64.7)</w:t>
            </w:r>
          </w:p>
        </w:tc>
      </w:tr>
      <w:tr w:rsidR="008D6F06" w14:paraId="31D2B89C" w14:textId="77777777" w:rsidTr="002E2ACD">
        <w:trPr>
          <w:divId w:val="935526654"/>
          <w:trHeight w:val="20"/>
        </w:trPr>
        <w:tc>
          <w:tcPr>
            <w:tcW w:w="1417" w:type="dxa"/>
            <w:vMerge/>
            <w:shd w:val="clear" w:color="auto" w:fill="C5FFEF" w:themeFill="background2" w:themeFillTint="33"/>
          </w:tcPr>
          <w:p w14:paraId="0D7ECD0C"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548D0233" w14:textId="77777777" w:rsidR="008D6F06" w:rsidRDefault="008D6F06" w:rsidP="002E2ACD">
            <w:pPr>
              <w:pStyle w:val="CDIFigure-Table-BodyTextLeft"/>
            </w:pPr>
            <w:proofErr w:type="spellStart"/>
            <w:r>
              <w:t>DTPa</w:t>
            </w:r>
            <w:proofErr w:type="spellEnd"/>
            <w:r>
              <w:t>-</w:t>
            </w:r>
            <w:proofErr w:type="spellStart"/>
            <w:r>
              <w:t>HepB</w:t>
            </w:r>
            <w:proofErr w:type="spellEnd"/>
            <w:r>
              <w:t>-IPV-Hib</w:t>
            </w:r>
          </w:p>
        </w:tc>
        <w:tc>
          <w:tcPr>
            <w:tcW w:w="1417" w:type="dxa"/>
            <w:shd w:val="solid" w:color="FFFFFF" w:fill="auto"/>
            <w:tcMar>
              <w:top w:w="113" w:type="dxa"/>
              <w:left w:w="113" w:type="dxa"/>
              <w:bottom w:w="113" w:type="dxa"/>
              <w:right w:w="113" w:type="dxa"/>
            </w:tcMar>
            <w:vAlign w:val="center"/>
          </w:tcPr>
          <w:p w14:paraId="409A4B40" w14:textId="77777777" w:rsidR="008D6F06" w:rsidRDefault="008D6F06" w:rsidP="008D6F06">
            <w:pPr>
              <w:pStyle w:val="CDIFigure-Table-BodyTextCentre"/>
            </w:pPr>
            <w:r>
              <w:t>429</w:t>
            </w:r>
          </w:p>
        </w:tc>
        <w:tc>
          <w:tcPr>
            <w:tcW w:w="1417" w:type="dxa"/>
            <w:shd w:val="solid" w:color="FFFFFF" w:fill="auto"/>
            <w:tcMar>
              <w:top w:w="113" w:type="dxa"/>
              <w:left w:w="113" w:type="dxa"/>
              <w:bottom w:w="113" w:type="dxa"/>
              <w:right w:w="113" w:type="dxa"/>
            </w:tcMar>
            <w:vAlign w:val="center"/>
          </w:tcPr>
          <w:p w14:paraId="7A459F3A" w14:textId="77777777" w:rsidR="008D6F06" w:rsidRDefault="008D6F06" w:rsidP="008D6F06">
            <w:pPr>
              <w:pStyle w:val="CDIFigure-Table-BodyTextCentre"/>
            </w:pPr>
            <w:r>
              <w:t>855,998</w:t>
            </w:r>
          </w:p>
        </w:tc>
        <w:tc>
          <w:tcPr>
            <w:tcW w:w="3402" w:type="dxa"/>
            <w:shd w:val="solid" w:color="FFFFFF" w:fill="auto"/>
            <w:tcMar>
              <w:top w:w="113" w:type="dxa"/>
              <w:left w:w="113" w:type="dxa"/>
              <w:bottom w:w="113" w:type="dxa"/>
              <w:right w:w="113" w:type="dxa"/>
            </w:tcMar>
            <w:vAlign w:val="center"/>
          </w:tcPr>
          <w:p w14:paraId="5BFA7120" w14:textId="77777777" w:rsidR="008D6F06" w:rsidRDefault="008D6F06" w:rsidP="008D6F06">
            <w:pPr>
              <w:pStyle w:val="CDIFigure-Table-BodyTextCentre"/>
            </w:pPr>
            <w:r>
              <w:t>50.1 (45.5–55.1)</w:t>
            </w:r>
          </w:p>
        </w:tc>
      </w:tr>
      <w:tr w:rsidR="008D6F06" w14:paraId="362C02BC" w14:textId="77777777" w:rsidTr="002E2ACD">
        <w:trPr>
          <w:divId w:val="935526654"/>
          <w:trHeight w:val="20"/>
        </w:trPr>
        <w:tc>
          <w:tcPr>
            <w:tcW w:w="1417" w:type="dxa"/>
            <w:vMerge/>
            <w:shd w:val="clear" w:color="auto" w:fill="C5FFEF" w:themeFill="background2" w:themeFillTint="33"/>
          </w:tcPr>
          <w:p w14:paraId="7C01064B"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4E5B7257" w14:textId="77777777" w:rsidR="008D6F06" w:rsidRDefault="008D6F06" w:rsidP="002E2ACD">
            <w:pPr>
              <w:pStyle w:val="CDIFigure-Table-BodyTextLeft"/>
            </w:pPr>
            <w:proofErr w:type="spellStart"/>
            <w:r>
              <w:t>DTPa</w:t>
            </w:r>
            <w:proofErr w:type="spellEnd"/>
            <w:r>
              <w:t>-IPV</w:t>
            </w:r>
          </w:p>
        </w:tc>
        <w:tc>
          <w:tcPr>
            <w:tcW w:w="1417" w:type="dxa"/>
            <w:shd w:val="clear" w:color="auto" w:fill="F2F2F2" w:themeFill="background1" w:themeFillShade="F2"/>
            <w:tcMar>
              <w:top w:w="113" w:type="dxa"/>
              <w:left w:w="113" w:type="dxa"/>
              <w:bottom w:w="113" w:type="dxa"/>
              <w:right w:w="113" w:type="dxa"/>
            </w:tcMar>
            <w:vAlign w:val="center"/>
          </w:tcPr>
          <w:p w14:paraId="253E60A1" w14:textId="77777777" w:rsidR="008D6F06" w:rsidRDefault="008D6F06" w:rsidP="008D6F06">
            <w:pPr>
              <w:pStyle w:val="CDIFigure-Table-BodyTextCentre"/>
            </w:pPr>
            <w:r>
              <w:t>389</w:t>
            </w:r>
          </w:p>
        </w:tc>
        <w:tc>
          <w:tcPr>
            <w:tcW w:w="1417" w:type="dxa"/>
            <w:shd w:val="clear" w:color="auto" w:fill="F2F2F2" w:themeFill="background1" w:themeFillShade="F2"/>
            <w:tcMar>
              <w:top w:w="113" w:type="dxa"/>
              <w:left w:w="113" w:type="dxa"/>
              <w:bottom w:w="113" w:type="dxa"/>
              <w:right w:w="113" w:type="dxa"/>
            </w:tcMar>
            <w:vAlign w:val="center"/>
          </w:tcPr>
          <w:p w14:paraId="650DBEFA" w14:textId="77777777" w:rsidR="008D6F06" w:rsidRDefault="008D6F06" w:rsidP="008D6F06">
            <w:pPr>
              <w:pStyle w:val="CDIFigure-Table-BodyTextCentre"/>
            </w:pPr>
            <w:r>
              <w:t>296,896</w:t>
            </w:r>
          </w:p>
        </w:tc>
        <w:tc>
          <w:tcPr>
            <w:tcW w:w="3402" w:type="dxa"/>
            <w:shd w:val="clear" w:color="auto" w:fill="F2F2F2" w:themeFill="background1" w:themeFillShade="F2"/>
            <w:tcMar>
              <w:top w:w="113" w:type="dxa"/>
              <w:left w:w="113" w:type="dxa"/>
              <w:bottom w:w="113" w:type="dxa"/>
              <w:right w:w="113" w:type="dxa"/>
            </w:tcMar>
            <w:vAlign w:val="center"/>
          </w:tcPr>
          <w:p w14:paraId="5B646964" w14:textId="77777777" w:rsidR="008D6F06" w:rsidRDefault="008D6F06" w:rsidP="008D6F06">
            <w:pPr>
              <w:pStyle w:val="CDIFigure-Table-BodyTextCentre"/>
            </w:pPr>
            <w:r>
              <w:t>131 (118.3–144.7)</w:t>
            </w:r>
          </w:p>
        </w:tc>
      </w:tr>
      <w:tr w:rsidR="008D6F06" w14:paraId="02B84F0D" w14:textId="77777777" w:rsidTr="002E2ACD">
        <w:trPr>
          <w:divId w:val="935526654"/>
          <w:trHeight w:val="20"/>
        </w:trPr>
        <w:tc>
          <w:tcPr>
            <w:tcW w:w="1417" w:type="dxa"/>
            <w:vMerge/>
            <w:shd w:val="clear" w:color="auto" w:fill="C5FFEF" w:themeFill="background2" w:themeFillTint="33"/>
          </w:tcPr>
          <w:p w14:paraId="5171C53B"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14A84798" w14:textId="77777777" w:rsidR="008D6F06" w:rsidRDefault="008D6F06" w:rsidP="002E2ACD">
            <w:pPr>
              <w:pStyle w:val="CDIFigure-Table-BodyTextLeft"/>
            </w:pPr>
            <w:r>
              <w:t>Rotavirus</w:t>
            </w:r>
          </w:p>
        </w:tc>
        <w:tc>
          <w:tcPr>
            <w:tcW w:w="1417" w:type="dxa"/>
            <w:shd w:val="solid" w:color="FFFFFF" w:fill="auto"/>
            <w:tcMar>
              <w:top w:w="113" w:type="dxa"/>
              <w:left w:w="113" w:type="dxa"/>
              <w:bottom w:w="113" w:type="dxa"/>
              <w:right w:w="113" w:type="dxa"/>
            </w:tcMar>
            <w:vAlign w:val="center"/>
          </w:tcPr>
          <w:p w14:paraId="16CF5FEC" w14:textId="77777777" w:rsidR="008D6F06" w:rsidRDefault="008D6F06" w:rsidP="008D6F06">
            <w:pPr>
              <w:pStyle w:val="CDIFigure-Table-BodyTextCentre"/>
            </w:pPr>
            <w:r>
              <w:t>313</w:t>
            </w:r>
          </w:p>
        </w:tc>
        <w:tc>
          <w:tcPr>
            <w:tcW w:w="1417" w:type="dxa"/>
            <w:shd w:val="solid" w:color="FFFFFF" w:fill="auto"/>
            <w:tcMar>
              <w:top w:w="113" w:type="dxa"/>
              <w:left w:w="113" w:type="dxa"/>
              <w:bottom w:w="113" w:type="dxa"/>
              <w:right w:w="113" w:type="dxa"/>
            </w:tcMar>
            <w:vAlign w:val="center"/>
          </w:tcPr>
          <w:p w14:paraId="2C9FA213" w14:textId="77777777" w:rsidR="008D6F06" w:rsidRDefault="008D6F06" w:rsidP="008D6F06">
            <w:pPr>
              <w:pStyle w:val="CDIFigure-Table-BodyTextCentre"/>
            </w:pPr>
            <w:r>
              <w:t>549,984</w:t>
            </w:r>
          </w:p>
        </w:tc>
        <w:tc>
          <w:tcPr>
            <w:tcW w:w="3402" w:type="dxa"/>
            <w:shd w:val="solid" w:color="FFFFFF" w:fill="auto"/>
            <w:tcMar>
              <w:top w:w="113" w:type="dxa"/>
              <w:left w:w="113" w:type="dxa"/>
              <w:bottom w:w="113" w:type="dxa"/>
              <w:right w:w="113" w:type="dxa"/>
            </w:tcMar>
            <w:vAlign w:val="center"/>
          </w:tcPr>
          <w:p w14:paraId="0319755E" w14:textId="77777777" w:rsidR="008D6F06" w:rsidRDefault="008D6F06" w:rsidP="008D6F06">
            <w:pPr>
              <w:pStyle w:val="CDIFigure-Table-BodyTextCentre"/>
            </w:pPr>
            <w:r>
              <w:t>56.9 (50.8–63.6)</w:t>
            </w:r>
          </w:p>
        </w:tc>
      </w:tr>
      <w:tr w:rsidR="008D6F06" w14:paraId="5C82D4F8" w14:textId="77777777" w:rsidTr="002E2ACD">
        <w:trPr>
          <w:divId w:val="935526654"/>
          <w:trHeight w:val="20"/>
        </w:trPr>
        <w:tc>
          <w:tcPr>
            <w:tcW w:w="1417" w:type="dxa"/>
            <w:vMerge/>
            <w:shd w:val="clear" w:color="auto" w:fill="C5FFEF" w:themeFill="background2" w:themeFillTint="33"/>
          </w:tcPr>
          <w:p w14:paraId="73BD462B"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3F39C30C" w14:textId="77777777" w:rsidR="008D6F06" w:rsidRDefault="008D6F06" w:rsidP="002E2ACD">
            <w:pPr>
              <w:pStyle w:val="CDIFigure-Table-BodyTextLeft"/>
            </w:pPr>
            <w:proofErr w:type="spellStart"/>
            <w:r>
              <w:t>DTPa</w:t>
            </w:r>
            <w:proofErr w:type="spellEnd"/>
          </w:p>
        </w:tc>
        <w:tc>
          <w:tcPr>
            <w:tcW w:w="1417" w:type="dxa"/>
            <w:shd w:val="clear" w:color="auto" w:fill="F2F2F2" w:themeFill="background1" w:themeFillShade="F2"/>
            <w:tcMar>
              <w:top w:w="113" w:type="dxa"/>
              <w:left w:w="113" w:type="dxa"/>
              <w:bottom w:w="113" w:type="dxa"/>
              <w:right w:w="113" w:type="dxa"/>
            </w:tcMar>
            <w:vAlign w:val="center"/>
          </w:tcPr>
          <w:p w14:paraId="25FC770E" w14:textId="77777777" w:rsidR="008D6F06" w:rsidRDefault="008D6F06" w:rsidP="008D6F06">
            <w:pPr>
              <w:pStyle w:val="CDIFigure-Table-BodyTextCentre"/>
            </w:pPr>
            <w:r>
              <w:t>263</w:t>
            </w:r>
          </w:p>
        </w:tc>
        <w:tc>
          <w:tcPr>
            <w:tcW w:w="1417" w:type="dxa"/>
            <w:shd w:val="clear" w:color="auto" w:fill="F2F2F2" w:themeFill="background1" w:themeFillShade="F2"/>
            <w:tcMar>
              <w:top w:w="113" w:type="dxa"/>
              <w:left w:w="113" w:type="dxa"/>
              <w:bottom w:w="113" w:type="dxa"/>
              <w:right w:w="113" w:type="dxa"/>
            </w:tcMar>
            <w:vAlign w:val="center"/>
          </w:tcPr>
          <w:p w14:paraId="617029CD" w14:textId="77777777" w:rsidR="008D6F06" w:rsidRDefault="008D6F06" w:rsidP="008D6F06">
            <w:pPr>
              <w:pStyle w:val="CDIFigure-Table-BodyTextCentre"/>
            </w:pPr>
            <w:r>
              <w:t>283,344</w:t>
            </w:r>
          </w:p>
        </w:tc>
        <w:tc>
          <w:tcPr>
            <w:tcW w:w="3402" w:type="dxa"/>
            <w:shd w:val="clear" w:color="auto" w:fill="F2F2F2" w:themeFill="background1" w:themeFillShade="F2"/>
            <w:tcMar>
              <w:top w:w="113" w:type="dxa"/>
              <w:left w:w="113" w:type="dxa"/>
              <w:bottom w:w="113" w:type="dxa"/>
              <w:right w:w="113" w:type="dxa"/>
            </w:tcMar>
            <w:vAlign w:val="center"/>
          </w:tcPr>
          <w:p w14:paraId="270095E2" w14:textId="77777777" w:rsidR="008D6F06" w:rsidRDefault="008D6F06" w:rsidP="008D6F06">
            <w:pPr>
              <w:pStyle w:val="CDIFigure-Table-BodyTextCentre"/>
            </w:pPr>
            <w:r>
              <w:t>92.8 (81.9–104.7)</w:t>
            </w:r>
          </w:p>
        </w:tc>
      </w:tr>
      <w:tr w:rsidR="008D6F06" w14:paraId="4AC73F98" w14:textId="77777777" w:rsidTr="002E2ACD">
        <w:trPr>
          <w:divId w:val="935526654"/>
          <w:trHeight w:val="20"/>
        </w:trPr>
        <w:tc>
          <w:tcPr>
            <w:tcW w:w="1417" w:type="dxa"/>
            <w:vMerge/>
            <w:shd w:val="clear" w:color="auto" w:fill="C5FFEF" w:themeFill="background2" w:themeFillTint="33"/>
          </w:tcPr>
          <w:p w14:paraId="22310E14"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4EF5E2E4" w14:textId="77777777" w:rsidR="008D6F06" w:rsidRDefault="008D6F06" w:rsidP="002E2ACD">
            <w:pPr>
              <w:pStyle w:val="CDIFigure-Table-BodyTextLeft"/>
            </w:pPr>
            <w:r>
              <w:t>MMR</w:t>
            </w:r>
          </w:p>
        </w:tc>
        <w:tc>
          <w:tcPr>
            <w:tcW w:w="1417" w:type="dxa"/>
            <w:shd w:val="solid" w:color="FFFFFF" w:fill="auto"/>
            <w:tcMar>
              <w:top w:w="113" w:type="dxa"/>
              <w:left w:w="113" w:type="dxa"/>
              <w:bottom w:w="113" w:type="dxa"/>
              <w:right w:w="113" w:type="dxa"/>
            </w:tcMar>
            <w:vAlign w:val="center"/>
          </w:tcPr>
          <w:p w14:paraId="4A0E258F" w14:textId="77777777" w:rsidR="008D6F06" w:rsidRDefault="008D6F06" w:rsidP="008D6F06">
            <w:pPr>
              <w:pStyle w:val="CDIFigure-Table-BodyTextCentre"/>
            </w:pPr>
            <w:r>
              <w:t>233</w:t>
            </w:r>
          </w:p>
        </w:tc>
        <w:tc>
          <w:tcPr>
            <w:tcW w:w="1417" w:type="dxa"/>
            <w:shd w:val="solid" w:color="FFFFFF" w:fill="auto"/>
            <w:tcMar>
              <w:top w:w="113" w:type="dxa"/>
              <w:left w:w="113" w:type="dxa"/>
              <w:bottom w:w="113" w:type="dxa"/>
              <w:right w:w="113" w:type="dxa"/>
            </w:tcMar>
            <w:vAlign w:val="center"/>
          </w:tcPr>
          <w:p w14:paraId="1BC3CBE6" w14:textId="77777777" w:rsidR="008D6F06" w:rsidRDefault="008D6F06" w:rsidP="008D6F06">
            <w:pPr>
              <w:pStyle w:val="CDIFigure-Table-BodyTextCentre"/>
            </w:pPr>
            <w:r>
              <w:t>284,999</w:t>
            </w:r>
          </w:p>
        </w:tc>
        <w:tc>
          <w:tcPr>
            <w:tcW w:w="3402" w:type="dxa"/>
            <w:shd w:val="solid" w:color="FFFFFF" w:fill="auto"/>
            <w:tcMar>
              <w:top w:w="113" w:type="dxa"/>
              <w:left w:w="113" w:type="dxa"/>
              <w:bottom w:w="113" w:type="dxa"/>
              <w:right w:w="113" w:type="dxa"/>
            </w:tcMar>
            <w:vAlign w:val="center"/>
          </w:tcPr>
          <w:p w14:paraId="4171EE14" w14:textId="77777777" w:rsidR="008D6F06" w:rsidRDefault="008D6F06" w:rsidP="008D6F06">
            <w:pPr>
              <w:pStyle w:val="CDIFigure-Table-BodyTextCentre"/>
            </w:pPr>
            <w:r>
              <w:t>81.8 (71.6–92.9)</w:t>
            </w:r>
          </w:p>
        </w:tc>
      </w:tr>
      <w:tr w:rsidR="008D6F06" w14:paraId="00CF51FD" w14:textId="77777777" w:rsidTr="002E2ACD">
        <w:trPr>
          <w:divId w:val="935526654"/>
          <w:trHeight w:val="20"/>
        </w:trPr>
        <w:tc>
          <w:tcPr>
            <w:tcW w:w="1417" w:type="dxa"/>
            <w:vMerge/>
            <w:shd w:val="clear" w:color="auto" w:fill="C5FFEF" w:themeFill="background2" w:themeFillTint="33"/>
          </w:tcPr>
          <w:p w14:paraId="58DF8B40"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12EDF8B5" w14:textId="77777777" w:rsidR="008D6F06" w:rsidRDefault="008D6F06" w:rsidP="002E2ACD">
            <w:pPr>
              <w:pStyle w:val="CDIFigure-Table-BodyTextLeft"/>
            </w:pPr>
            <w:r>
              <w:t>MenACWY</w:t>
            </w:r>
          </w:p>
        </w:tc>
        <w:tc>
          <w:tcPr>
            <w:tcW w:w="1417" w:type="dxa"/>
            <w:shd w:val="clear" w:color="auto" w:fill="F2F2F2" w:themeFill="background1" w:themeFillShade="F2"/>
            <w:tcMar>
              <w:top w:w="113" w:type="dxa"/>
              <w:left w:w="113" w:type="dxa"/>
              <w:bottom w:w="113" w:type="dxa"/>
              <w:right w:w="113" w:type="dxa"/>
            </w:tcMar>
            <w:vAlign w:val="center"/>
          </w:tcPr>
          <w:p w14:paraId="4E6B0527" w14:textId="77777777" w:rsidR="008D6F06" w:rsidRDefault="008D6F06" w:rsidP="008D6F06">
            <w:pPr>
              <w:pStyle w:val="CDIFigure-Table-BodyTextCentre"/>
            </w:pPr>
            <w:r>
              <w:t>221</w:t>
            </w:r>
          </w:p>
        </w:tc>
        <w:tc>
          <w:tcPr>
            <w:tcW w:w="1417" w:type="dxa"/>
            <w:shd w:val="clear" w:color="auto" w:fill="F2F2F2" w:themeFill="background1" w:themeFillShade="F2"/>
            <w:tcMar>
              <w:top w:w="113" w:type="dxa"/>
              <w:left w:w="113" w:type="dxa"/>
              <w:bottom w:w="113" w:type="dxa"/>
              <w:right w:w="113" w:type="dxa"/>
            </w:tcMar>
            <w:vAlign w:val="center"/>
          </w:tcPr>
          <w:p w14:paraId="7AB19B5B" w14:textId="77777777" w:rsidR="008D6F06" w:rsidRDefault="008D6F06" w:rsidP="008D6F06">
            <w:pPr>
              <w:pStyle w:val="CDIFigure-Table-BodyTextCentre"/>
            </w:pPr>
            <w:r>
              <w:t>298,060</w:t>
            </w:r>
          </w:p>
        </w:tc>
        <w:tc>
          <w:tcPr>
            <w:tcW w:w="3402" w:type="dxa"/>
            <w:shd w:val="clear" w:color="auto" w:fill="F2F2F2" w:themeFill="background1" w:themeFillShade="F2"/>
            <w:tcMar>
              <w:top w:w="113" w:type="dxa"/>
              <w:left w:w="113" w:type="dxa"/>
              <w:bottom w:w="113" w:type="dxa"/>
              <w:right w:w="113" w:type="dxa"/>
            </w:tcMar>
            <w:vAlign w:val="center"/>
          </w:tcPr>
          <w:p w14:paraId="0AA1EB5F" w14:textId="77777777" w:rsidR="008D6F06" w:rsidRDefault="008D6F06" w:rsidP="008D6F06">
            <w:pPr>
              <w:pStyle w:val="CDIFigure-Table-BodyTextCentre"/>
            </w:pPr>
            <w:r>
              <w:t>74.1 (64.7–84.6)</w:t>
            </w:r>
          </w:p>
        </w:tc>
      </w:tr>
      <w:tr w:rsidR="008D6F06" w14:paraId="4B31DC31" w14:textId="77777777" w:rsidTr="002E2ACD">
        <w:trPr>
          <w:divId w:val="935526654"/>
          <w:trHeight w:val="20"/>
        </w:trPr>
        <w:tc>
          <w:tcPr>
            <w:tcW w:w="1417" w:type="dxa"/>
            <w:vMerge/>
            <w:shd w:val="clear" w:color="auto" w:fill="C5FFEF" w:themeFill="background2" w:themeFillTint="33"/>
          </w:tcPr>
          <w:p w14:paraId="2C890C69"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20ADE626" w14:textId="77777777" w:rsidR="008D6F06" w:rsidRDefault="008D6F06" w:rsidP="002E2ACD">
            <w:pPr>
              <w:pStyle w:val="CDIFigure-Table-BodyTextLeft"/>
            </w:pPr>
            <w:r>
              <w:t>MenB</w:t>
            </w:r>
          </w:p>
        </w:tc>
        <w:tc>
          <w:tcPr>
            <w:tcW w:w="1417" w:type="dxa"/>
            <w:shd w:val="solid" w:color="FFFFFF" w:fill="auto"/>
            <w:tcMar>
              <w:top w:w="113" w:type="dxa"/>
              <w:left w:w="113" w:type="dxa"/>
              <w:bottom w:w="113" w:type="dxa"/>
              <w:right w:w="113" w:type="dxa"/>
            </w:tcMar>
            <w:vAlign w:val="center"/>
          </w:tcPr>
          <w:p w14:paraId="4A630227" w14:textId="77777777" w:rsidR="008D6F06" w:rsidRDefault="008D6F06" w:rsidP="008D6F06">
            <w:pPr>
              <w:pStyle w:val="CDIFigure-Table-BodyTextCentre"/>
            </w:pPr>
            <w:r>
              <w:t>219</w:t>
            </w:r>
          </w:p>
        </w:tc>
        <w:tc>
          <w:tcPr>
            <w:tcW w:w="1417" w:type="dxa"/>
            <w:shd w:val="solid" w:color="FFFFFF" w:fill="auto"/>
            <w:tcMar>
              <w:top w:w="113" w:type="dxa"/>
              <w:left w:w="113" w:type="dxa"/>
              <w:bottom w:w="113" w:type="dxa"/>
              <w:right w:w="113" w:type="dxa"/>
            </w:tcMar>
            <w:vAlign w:val="center"/>
          </w:tcPr>
          <w:p w14:paraId="53567928" w14:textId="77777777" w:rsidR="008D6F06" w:rsidRDefault="008D6F06" w:rsidP="008D6F06">
            <w:pPr>
              <w:pStyle w:val="CDIFigure-Table-BodyTextCentre"/>
            </w:pPr>
            <w:r>
              <w:t>291,858</w:t>
            </w:r>
          </w:p>
        </w:tc>
        <w:tc>
          <w:tcPr>
            <w:tcW w:w="3402" w:type="dxa"/>
            <w:shd w:val="solid" w:color="FFFFFF" w:fill="auto"/>
            <w:tcMar>
              <w:top w:w="113" w:type="dxa"/>
              <w:left w:w="113" w:type="dxa"/>
              <w:bottom w:w="113" w:type="dxa"/>
              <w:right w:w="113" w:type="dxa"/>
            </w:tcMar>
            <w:vAlign w:val="center"/>
          </w:tcPr>
          <w:p w14:paraId="3772D3BD" w14:textId="77777777" w:rsidR="008D6F06" w:rsidRDefault="008D6F06" w:rsidP="008D6F06">
            <w:pPr>
              <w:pStyle w:val="CDIFigure-Table-BodyTextCentre"/>
            </w:pPr>
            <w:r>
              <w:t>75.0 (65.4–85.7)</w:t>
            </w:r>
          </w:p>
        </w:tc>
      </w:tr>
      <w:tr w:rsidR="008D6F06" w14:paraId="266FC1AA" w14:textId="77777777" w:rsidTr="002E2ACD">
        <w:trPr>
          <w:divId w:val="935526654"/>
          <w:trHeight w:val="20"/>
        </w:trPr>
        <w:tc>
          <w:tcPr>
            <w:tcW w:w="1417" w:type="dxa"/>
            <w:vMerge/>
            <w:shd w:val="clear" w:color="auto" w:fill="C5FFEF" w:themeFill="background2" w:themeFillTint="33"/>
          </w:tcPr>
          <w:p w14:paraId="52D9182B"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6D8117B0" w14:textId="77777777" w:rsidR="008D6F06" w:rsidRDefault="008D6F06" w:rsidP="002E2ACD">
            <w:pPr>
              <w:pStyle w:val="CDIFigure-Table-BodyTextLeft"/>
            </w:pPr>
            <w:r>
              <w:t>Influenza (sf)</w:t>
            </w:r>
          </w:p>
        </w:tc>
        <w:tc>
          <w:tcPr>
            <w:tcW w:w="1417" w:type="dxa"/>
            <w:shd w:val="clear" w:color="auto" w:fill="F2F2F2" w:themeFill="background1" w:themeFillShade="F2"/>
            <w:tcMar>
              <w:top w:w="113" w:type="dxa"/>
              <w:left w:w="113" w:type="dxa"/>
              <w:bottom w:w="113" w:type="dxa"/>
              <w:right w:w="113" w:type="dxa"/>
            </w:tcMar>
            <w:vAlign w:val="center"/>
          </w:tcPr>
          <w:p w14:paraId="0C76B4A0" w14:textId="77777777" w:rsidR="008D6F06" w:rsidRDefault="008D6F06" w:rsidP="008D6F06">
            <w:pPr>
              <w:pStyle w:val="CDIFigure-Table-BodyTextCentre"/>
            </w:pPr>
            <w:r>
              <w:t>217</w:t>
            </w:r>
          </w:p>
        </w:tc>
        <w:tc>
          <w:tcPr>
            <w:tcW w:w="1417" w:type="dxa"/>
            <w:shd w:val="clear" w:color="auto" w:fill="F2F2F2" w:themeFill="background1" w:themeFillShade="F2"/>
            <w:tcMar>
              <w:top w:w="113" w:type="dxa"/>
              <w:left w:w="113" w:type="dxa"/>
              <w:bottom w:w="113" w:type="dxa"/>
              <w:right w:w="113" w:type="dxa"/>
            </w:tcMar>
            <w:vAlign w:val="center"/>
          </w:tcPr>
          <w:p w14:paraId="40FC1100" w14:textId="77777777" w:rsidR="008D6F06" w:rsidRDefault="008D6F06" w:rsidP="008D6F06">
            <w:pPr>
              <w:pStyle w:val="CDIFigure-Table-BodyTextCentre"/>
            </w:pPr>
            <w:r>
              <w:t>526,332</w:t>
            </w:r>
          </w:p>
        </w:tc>
        <w:tc>
          <w:tcPr>
            <w:tcW w:w="3402" w:type="dxa"/>
            <w:shd w:val="clear" w:color="auto" w:fill="F2F2F2" w:themeFill="background1" w:themeFillShade="F2"/>
            <w:tcMar>
              <w:top w:w="113" w:type="dxa"/>
              <w:left w:w="113" w:type="dxa"/>
              <w:bottom w:w="113" w:type="dxa"/>
              <w:right w:w="113" w:type="dxa"/>
            </w:tcMar>
            <w:vAlign w:val="center"/>
          </w:tcPr>
          <w:p w14:paraId="212513A7" w14:textId="77777777" w:rsidR="008D6F06" w:rsidRDefault="008D6F06" w:rsidP="008D6F06">
            <w:pPr>
              <w:pStyle w:val="CDIFigure-Table-BodyTextCentre"/>
            </w:pPr>
            <w:r>
              <w:t>41.2 (35.9–47.1)</w:t>
            </w:r>
          </w:p>
        </w:tc>
      </w:tr>
      <w:tr w:rsidR="008D6F06" w14:paraId="7D1177C3" w14:textId="77777777" w:rsidTr="002E2ACD">
        <w:trPr>
          <w:divId w:val="935526654"/>
          <w:trHeight w:val="20"/>
        </w:trPr>
        <w:tc>
          <w:tcPr>
            <w:tcW w:w="1417" w:type="dxa"/>
            <w:vMerge/>
            <w:shd w:val="clear" w:color="auto" w:fill="C5FFEF" w:themeFill="background2" w:themeFillTint="33"/>
          </w:tcPr>
          <w:p w14:paraId="286561FD"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546CE879" w14:textId="77777777" w:rsidR="008D6F06" w:rsidRDefault="008D6F06" w:rsidP="002E2ACD">
            <w:pPr>
              <w:pStyle w:val="CDIFigure-Table-BodyTextLeft"/>
            </w:pPr>
            <w:r>
              <w:t>MMRV</w:t>
            </w:r>
          </w:p>
        </w:tc>
        <w:tc>
          <w:tcPr>
            <w:tcW w:w="1417" w:type="dxa"/>
            <w:shd w:val="solid" w:color="FFFFFF" w:fill="auto"/>
            <w:tcMar>
              <w:top w:w="113" w:type="dxa"/>
              <w:left w:w="113" w:type="dxa"/>
              <w:bottom w:w="113" w:type="dxa"/>
              <w:right w:w="113" w:type="dxa"/>
            </w:tcMar>
            <w:vAlign w:val="center"/>
          </w:tcPr>
          <w:p w14:paraId="711F4152" w14:textId="77777777" w:rsidR="008D6F06" w:rsidRDefault="008D6F06" w:rsidP="008D6F06">
            <w:pPr>
              <w:pStyle w:val="CDIFigure-Table-BodyTextCentre"/>
            </w:pPr>
            <w:r>
              <w:t>192</w:t>
            </w:r>
          </w:p>
        </w:tc>
        <w:tc>
          <w:tcPr>
            <w:tcW w:w="1417" w:type="dxa"/>
            <w:shd w:val="solid" w:color="FFFFFF" w:fill="auto"/>
            <w:tcMar>
              <w:top w:w="113" w:type="dxa"/>
              <w:left w:w="113" w:type="dxa"/>
              <w:bottom w:w="113" w:type="dxa"/>
              <w:right w:w="113" w:type="dxa"/>
            </w:tcMar>
            <w:vAlign w:val="center"/>
          </w:tcPr>
          <w:p w14:paraId="5719DF0C" w14:textId="77777777" w:rsidR="008D6F06" w:rsidRDefault="008D6F06" w:rsidP="008D6F06">
            <w:pPr>
              <w:pStyle w:val="CDIFigure-Table-BodyTextCentre"/>
            </w:pPr>
            <w:r>
              <w:t>284,193</w:t>
            </w:r>
          </w:p>
        </w:tc>
        <w:tc>
          <w:tcPr>
            <w:tcW w:w="3402" w:type="dxa"/>
            <w:shd w:val="solid" w:color="FFFFFF" w:fill="auto"/>
            <w:tcMar>
              <w:top w:w="113" w:type="dxa"/>
              <w:left w:w="113" w:type="dxa"/>
              <w:bottom w:w="113" w:type="dxa"/>
              <w:right w:w="113" w:type="dxa"/>
            </w:tcMar>
            <w:vAlign w:val="center"/>
          </w:tcPr>
          <w:p w14:paraId="168EBDBB" w14:textId="77777777" w:rsidR="008D6F06" w:rsidRDefault="008D6F06" w:rsidP="008D6F06">
            <w:pPr>
              <w:pStyle w:val="CDIFigure-Table-BodyTextCentre"/>
            </w:pPr>
            <w:r>
              <w:t>67.6 (58.3–77.8)</w:t>
            </w:r>
          </w:p>
        </w:tc>
      </w:tr>
      <w:tr w:rsidR="008D6F06" w14:paraId="5BC2B7E3" w14:textId="77777777" w:rsidTr="002E2ACD">
        <w:trPr>
          <w:divId w:val="935526654"/>
          <w:trHeight w:val="20"/>
        </w:trPr>
        <w:tc>
          <w:tcPr>
            <w:tcW w:w="1417" w:type="dxa"/>
            <w:vMerge/>
            <w:shd w:val="clear" w:color="auto" w:fill="C5FFEF" w:themeFill="background2" w:themeFillTint="33"/>
          </w:tcPr>
          <w:p w14:paraId="222C62F6"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1BDD393B" w14:textId="77777777" w:rsidR="008D6F06" w:rsidRDefault="008D6F06" w:rsidP="002E2ACD">
            <w:pPr>
              <w:pStyle w:val="CDIFigure-Table-BodyTextLeft"/>
            </w:pPr>
            <w:r>
              <w:t>Hib</w:t>
            </w:r>
          </w:p>
        </w:tc>
        <w:tc>
          <w:tcPr>
            <w:tcW w:w="1417" w:type="dxa"/>
            <w:shd w:val="clear" w:color="auto" w:fill="F2F2F2" w:themeFill="background1" w:themeFillShade="F2"/>
            <w:tcMar>
              <w:top w:w="113" w:type="dxa"/>
              <w:left w:w="113" w:type="dxa"/>
              <w:bottom w:w="113" w:type="dxa"/>
              <w:right w:w="113" w:type="dxa"/>
            </w:tcMar>
            <w:vAlign w:val="center"/>
          </w:tcPr>
          <w:p w14:paraId="10E95950" w14:textId="77777777" w:rsidR="008D6F06" w:rsidRDefault="008D6F06" w:rsidP="008D6F06">
            <w:pPr>
              <w:pStyle w:val="CDIFigure-Table-BodyTextCentre"/>
            </w:pPr>
            <w:r>
              <w:t>186</w:t>
            </w:r>
          </w:p>
        </w:tc>
        <w:tc>
          <w:tcPr>
            <w:tcW w:w="1417" w:type="dxa"/>
            <w:shd w:val="clear" w:color="auto" w:fill="F2F2F2" w:themeFill="background1" w:themeFillShade="F2"/>
            <w:tcMar>
              <w:top w:w="113" w:type="dxa"/>
              <w:left w:w="113" w:type="dxa"/>
              <w:bottom w:w="113" w:type="dxa"/>
              <w:right w:w="113" w:type="dxa"/>
            </w:tcMar>
            <w:vAlign w:val="center"/>
          </w:tcPr>
          <w:p w14:paraId="63141379" w14:textId="77777777" w:rsidR="008D6F06" w:rsidRDefault="008D6F06" w:rsidP="008D6F06">
            <w:pPr>
              <w:pStyle w:val="CDIFigure-Table-BodyTextCentre"/>
            </w:pPr>
            <w:r>
              <w:t>283,905</w:t>
            </w:r>
          </w:p>
        </w:tc>
        <w:tc>
          <w:tcPr>
            <w:tcW w:w="3402" w:type="dxa"/>
            <w:shd w:val="clear" w:color="auto" w:fill="F2F2F2" w:themeFill="background1" w:themeFillShade="F2"/>
            <w:tcMar>
              <w:top w:w="113" w:type="dxa"/>
              <w:left w:w="113" w:type="dxa"/>
              <w:bottom w:w="113" w:type="dxa"/>
              <w:right w:w="113" w:type="dxa"/>
            </w:tcMar>
            <w:vAlign w:val="center"/>
          </w:tcPr>
          <w:p w14:paraId="143BF8C1" w14:textId="77777777" w:rsidR="008D6F06" w:rsidRDefault="008D6F06" w:rsidP="008D6F06">
            <w:pPr>
              <w:pStyle w:val="CDIFigure-Table-BodyTextCentre"/>
            </w:pPr>
            <w:r>
              <w:t>65.5 (56.4–75.6)</w:t>
            </w:r>
          </w:p>
        </w:tc>
      </w:tr>
      <w:tr w:rsidR="008D6F06" w14:paraId="78C7A69B" w14:textId="77777777" w:rsidTr="002E2ACD">
        <w:trPr>
          <w:divId w:val="935526654"/>
          <w:trHeight w:val="20"/>
        </w:trPr>
        <w:tc>
          <w:tcPr>
            <w:tcW w:w="1417" w:type="dxa"/>
            <w:vMerge/>
            <w:shd w:val="clear" w:color="auto" w:fill="C5FFEF" w:themeFill="background2" w:themeFillTint="33"/>
          </w:tcPr>
          <w:p w14:paraId="58156D02"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4903D4FF" w14:textId="77777777" w:rsidR="008D6F06" w:rsidRDefault="008D6F06" w:rsidP="002E2ACD">
            <w:pPr>
              <w:pStyle w:val="CDIFigure-Table-BodyTextLeft"/>
            </w:pPr>
            <w:r>
              <w:t>23vPPV</w:t>
            </w:r>
          </w:p>
        </w:tc>
        <w:tc>
          <w:tcPr>
            <w:tcW w:w="1417" w:type="dxa"/>
            <w:shd w:val="solid" w:color="FFFFFF" w:fill="auto"/>
            <w:tcMar>
              <w:top w:w="113" w:type="dxa"/>
              <w:left w:w="113" w:type="dxa"/>
              <w:bottom w:w="113" w:type="dxa"/>
              <w:right w:w="113" w:type="dxa"/>
            </w:tcMar>
            <w:vAlign w:val="center"/>
          </w:tcPr>
          <w:p w14:paraId="330F0A5D" w14:textId="77777777" w:rsidR="008D6F06" w:rsidRDefault="008D6F06" w:rsidP="008D6F06">
            <w:pPr>
              <w:pStyle w:val="CDIFigure-Table-BodyTextCentre"/>
            </w:pPr>
            <w:r>
              <w:t>26</w:t>
            </w:r>
          </w:p>
        </w:tc>
        <w:tc>
          <w:tcPr>
            <w:tcW w:w="1417" w:type="dxa"/>
            <w:shd w:val="solid" w:color="FFFFFF" w:fill="auto"/>
            <w:tcMar>
              <w:top w:w="113" w:type="dxa"/>
              <w:left w:w="113" w:type="dxa"/>
              <w:bottom w:w="113" w:type="dxa"/>
              <w:right w:w="113" w:type="dxa"/>
            </w:tcMar>
            <w:vAlign w:val="center"/>
          </w:tcPr>
          <w:p w14:paraId="630D4F73" w14:textId="77777777" w:rsidR="008D6F06" w:rsidRDefault="008D6F06" w:rsidP="008D6F06">
            <w:pPr>
              <w:pStyle w:val="CDIFigure-Table-BodyTextCentre"/>
            </w:pPr>
            <w:r>
              <w:t>9,368</w:t>
            </w:r>
          </w:p>
        </w:tc>
        <w:tc>
          <w:tcPr>
            <w:tcW w:w="3402" w:type="dxa"/>
            <w:shd w:val="solid" w:color="FFFFFF" w:fill="auto"/>
            <w:tcMar>
              <w:top w:w="113" w:type="dxa"/>
              <w:left w:w="113" w:type="dxa"/>
              <w:bottom w:w="113" w:type="dxa"/>
              <w:right w:w="113" w:type="dxa"/>
            </w:tcMar>
            <w:vAlign w:val="center"/>
          </w:tcPr>
          <w:p w14:paraId="10ADDB6D" w14:textId="77777777" w:rsidR="008D6F06" w:rsidRDefault="008D6F06" w:rsidP="008D6F06">
            <w:pPr>
              <w:pStyle w:val="CDIFigure-Table-BodyTextCentre"/>
            </w:pPr>
            <w:r>
              <w:t>277.5 (181.4–406.4)</w:t>
            </w:r>
          </w:p>
        </w:tc>
      </w:tr>
      <w:tr w:rsidR="008D6F06" w14:paraId="6B05C3D8" w14:textId="77777777" w:rsidTr="002E2ACD">
        <w:trPr>
          <w:divId w:val="935526654"/>
          <w:trHeight w:val="20"/>
        </w:trPr>
        <w:tc>
          <w:tcPr>
            <w:tcW w:w="1417" w:type="dxa"/>
            <w:vMerge/>
            <w:shd w:val="clear" w:color="auto" w:fill="C5FFEF" w:themeFill="background2" w:themeFillTint="33"/>
          </w:tcPr>
          <w:p w14:paraId="1E4F897D"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6C5A3994" w14:textId="77777777" w:rsidR="008D6F06" w:rsidRDefault="008D6F06" w:rsidP="002E2ACD">
            <w:pPr>
              <w:pStyle w:val="CDIFigure-Table-BodyTextLeft"/>
            </w:pPr>
            <w:proofErr w:type="spellStart"/>
            <w:r>
              <w:t>HepA</w:t>
            </w:r>
            <w:proofErr w:type="spellEnd"/>
          </w:p>
        </w:tc>
        <w:tc>
          <w:tcPr>
            <w:tcW w:w="1417" w:type="dxa"/>
            <w:shd w:val="clear" w:color="auto" w:fill="F2F2F2" w:themeFill="background1" w:themeFillShade="F2"/>
            <w:tcMar>
              <w:top w:w="113" w:type="dxa"/>
              <w:left w:w="113" w:type="dxa"/>
              <w:bottom w:w="113" w:type="dxa"/>
              <w:right w:w="113" w:type="dxa"/>
            </w:tcMar>
            <w:vAlign w:val="center"/>
          </w:tcPr>
          <w:p w14:paraId="5C5FD34E" w14:textId="77777777" w:rsidR="008D6F06" w:rsidRDefault="008D6F06" w:rsidP="008D6F06">
            <w:pPr>
              <w:pStyle w:val="CDIFigure-Table-BodyTextCentre"/>
            </w:pPr>
            <w:r>
              <w:t>7</w:t>
            </w:r>
          </w:p>
        </w:tc>
        <w:tc>
          <w:tcPr>
            <w:tcW w:w="1417" w:type="dxa"/>
            <w:shd w:val="clear" w:color="auto" w:fill="F2F2F2" w:themeFill="background1" w:themeFillShade="F2"/>
            <w:tcMar>
              <w:top w:w="113" w:type="dxa"/>
              <w:left w:w="113" w:type="dxa"/>
              <w:bottom w:w="113" w:type="dxa"/>
              <w:right w:w="113" w:type="dxa"/>
            </w:tcMar>
            <w:vAlign w:val="center"/>
          </w:tcPr>
          <w:p w14:paraId="633A50F1" w14:textId="77777777" w:rsidR="008D6F06" w:rsidRDefault="008D6F06" w:rsidP="008D6F06">
            <w:pPr>
              <w:pStyle w:val="CDIFigure-Table-BodyTextCentre"/>
            </w:pPr>
            <w:r>
              <w:t>16,027</w:t>
            </w:r>
          </w:p>
        </w:tc>
        <w:tc>
          <w:tcPr>
            <w:tcW w:w="3402" w:type="dxa"/>
            <w:shd w:val="clear" w:color="auto" w:fill="F2F2F2" w:themeFill="background1" w:themeFillShade="F2"/>
            <w:tcMar>
              <w:top w:w="113" w:type="dxa"/>
              <w:left w:w="113" w:type="dxa"/>
              <w:bottom w:w="113" w:type="dxa"/>
              <w:right w:w="113" w:type="dxa"/>
            </w:tcMar>
            <w:vAlign w:val="center"/>
          </w:tcPr>
          <w:p w14:paraId="4F40262F" w14:textId="77777777" w:rsidR="008D6F06" w:rsidRDefault="008D6F06" w:rsidP="008D6F06">
            <w:pPr>
              <w:pStyle w:val="CDIFigure-Table-BodyTextCentre"/>
            </w:pPr>
            <w:r>
              <w:t>43.7 (17.6–90.0)</w:t>
            </w:r>
          </w:p>
        </w:tc>
      </w:tr>
      <w:tr w:rsidR="008D6F06" w14:paraId="313017C9" w14:textId="77777777" w:rsidTr="002E2ACD">
        <w:trPr>
          <w:divId w:val="935526654"/>
          <w:trHeight w:val="20"/>
        </w:trPr>
        <w:tc>
          <w:tcPr>
            <w:tcW w:w="1417" w:type="dxa"/>
            <w:vMerge/>
            <w:shd w:val="clear" w:color="auto" w:fill="C5FFEF" w:themeFill="background2" w:themeFillTint="33"/>
          </w:tcPr>
          <w:p w14:paraId="57372F73"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7B2443E3" w14:textId="77777777" w:rsidR="008D6F06" w:rsidRDefault="008D6F06" w:rsidP="002E2ACD">
            <w:pPr>
              <w:pStyle w:val="CDIFigure-Table-BodyTextLeft"/>
            </w:pPr>
            <w:r>
              <w:t>Influenza (</w:t>
            </w:r>
            <w:proofErr w:type="spellStart"/>
            <w:r>
              <w:t>hd</w:t>
            </w:r>
            <w:proofErr w:type="spellEnd"/>
            <w:r>
              <w:t>/a)</w:t>
            </w:r>
          </w:p>
        </w:tc>
        <w:tc>
          <w:tcPr>
            <w:tcW w:w="1417" w:type="dxa"/>
            <w:shd w:val="solid" w:color="FFFFFF" w:fill="auto"/>
            <w:tcMar>
              <w:top w:w="113" w:type="dxa"/>
              <w:left w:w="113" w:type="dxa"/>
              <w:bottom w:w="113" w:type="dxa"/>
              <w:right w:w="113" w:type="dxa"/>
            </w:tcMar>
            <w:vAlign w:val="center"/>
          </w:tcPr>
          <w:p w14:paraId="394D57FF" w14:textId="77777777" w:rsidR="008D6F06" w:rsidRDefault="008D6F06" w:rsidP="008D6F06">
            <w:pPr>
              <w:pStyle w:val="CDIFigure-Table-BodyTextCentre"/>
            </w:pPr>
            <w:r>
              <w:t>6</w:t>
            </w:r>
          </w:p>
        </w:tc>
        <w:tc>
          <w:tcPr>
            <w:tcW w:w="1417" w:type="dxa"/>
            <w:shd w:val="solid" w:color="FFFFFF" w:fill="auto"/>
            <w:tcMar>
              <w:top w:w="113" w:type="dxa"/>
              <w:left w:w="113" w:type="dxa"/>
              <w:bottom w:w="113" w:type="dxa"/>
              <w:right w:w="113" w:type="dxa"/>
            </w:tcMar>
            <w:vAlign w:val="center"/>
          </w:tcPr>
          <w:p w14:paraId="6735A747" w14:textId="77777777" w:rsidR="008D6F06" w:rsidRDefault="008D6F06" w:rsidP="008D6F06">
            <w:pPr>
              <w:pStyle w:val="CDIFigure-Table-BodyTextCentre"/>
            </w:pPr>
            <w:r>
              <w:t>450</w:t>
            </w:r>
          </w:p>
        </w:tc>
        <w:tc>
          <w:tcPr>
            <w:tcW w:w="3402" w:type="dxa"/>
            <w:shd w:val="solid" w:color="FFFFFF" w:fill="auto"/>
            <w:tcMar>
              <w:top w:w="113" w:type="dxa"/>
              <w:left w:w="113" w:type="dxa"/>
              <w:bottom w:w="113" w:type="dxa"/>
              <w:right w:w="113" w:type="dxa"/>
            </w:tcMar>
            <w:vAlign w:val="center"/>
          </w:tcPr>
          <w:p w14:paraId="105F403D" w14:textId="77777777" w:rsidR="008D6F06" w:rsidRDefault="008D6F06" w:rsidP="008D6F06">
            <w:pPr>
              <w:pStyle w:val="CDIFigure-Table-BodyTextCentre"/>
            </w:pPr>
            <w:r>
              <w:t>1333.3 (490.8–2879.4)</w:t>
            </w:r>
          </w:p>
        </w:tc>
      </w:tr>
      <w:tr w:rsidR="008D6F06" w14:paraId="2E924779" w14:textId="77777777" w:rsidTr="002E2ACD">
        <w:trPr>
          <w:divId w:val="935526654"/>
          <w:trHeight w:val="20"/>
        </w:trPr>
        <w:tc>
          <w:tcPr>
            <w:tcW w:w="1417" w:type="dxa"/>
            <w:vMerge/>
            <w:shd w:val="clear" w:color="auto" w:fill="C5FFEF" w:themeFill="background2" w:themeFillTint="33"/>
          </w:tcPr>
          <w:p w14:paraId="1D0D59A1"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243446A3" w14:textId="77777777" w:rsidR="008D6F06" w:rsidRDefault="008D6F06" w:rsidP="002E2ACD">
            <w:pPr>
              <w:pStyle w:val="CDIFigure-Table-BodyTextLeft"/>
            </w:pPr>
            <w:proofErr w:type="spellStart"/>
            <w:r>
              <w:t>HepB</w:t>
            </w:r>
            <w:proofErr w:type="spellEnd"/>
          </w:p>
        </w:tc>
        <w:tc>
          <w:tcPr>
            <w:tcW w:w="1417" w:type="dxa"/>
            <w:shd w:val="clear" w:color="auto" w:fill="F2F2F2" w:themeFill="background1" w:themeFillShade="F2"/>
            <w:tcMar>
              <w:top w:w="113" w:type="dxa"/>
              <w:left w:w="113" w:type="dxa"/>
              <w:bottom w:w="113" w:type="dxa"/>
              <w:right w:w="113" w:type="dxa"/>
            </w:tcMar>
            <w:vAlign w:val="center"/>
          </w:tcPr>
          <w:p w14:paraId="0486AA31" w14:textId="77777777" w:rsidR="008D6F06" w:rsidRDefault="008D6F06" w:rsidP="008D6F06">
            <w:pPr>
              <w:pStyle w:val="CDIFigure-Table-BodyTextCentre"/>
            </w:pPr>
            <w:r>
              <w:t>3</w:t>
            </w:r>
          </w:p>
        </w:tc>
        <w:tc>
          <w:tcPr>
            <w:tcW w:w="1417" w:type="dxa"/>
            <w:shd w:val="clear" w:color="auto" w:fill="F2F2F2" w:themeFill="background1" w:themeFillShade="F2"/>
            <w:tcMar>
              <w:top w:w="113" w:type="dxa"/>
              <w:left w:w="113" w:type="dxa"/>
              <w:bottom w:w="113" w:type="dxa"/>
              <w:right w:w="113" w:type="dxa"/>
            </w:tcMar>
            <w:vAlign w:val="center"/>
          </w:tcPr>
          <w:p w14:paraId="3D3BDE83" w14:textId="77777777" w:rsidR="008D6F06" w:rsidRDefault="008D6F06" w:rsidP="008D6F06">
            <w:pPr>
              <w:pStyle w:val="CDIFigure-Table-BodyTextCentre"/>
            </w:pPr>
            <w:r>
              <w:t>34,740</w:t>
            </w:r>
          </w:p>
        </w:tc>
        <w:tc>
          <w:tcPr>
            <w:tcW w:w="3402" w:type="dxa"/>
            <w:shd w:val="clear" w:color="auto" w:fill="F2F2F2" w:themeFill="background1" w:themeFillShade="F2"/>
            <w:tcMar>
              <w:top w:w="113" w:type="dxa"/>
              <w:left w:w="113" w:type="dxa"/>
              <w:bottom w:w="113" w:type="dxa"/>
              <w:right w:w="113" w:type="dxa"/>
            </w:tcMar>
            <w:vAlign w:val="center"/>
          </w:tcPr>
          <w:p w14:paraId="3CD410B8" w14:textId="77777777" w:rsidR="008D6F06" w:rsidRDefault="008D6F06" w:rsidP="008D6F06">
            <w:pPr>
              <w:pStyle w:val="CDIFigure-Table-BodyTextCentre"/>
            </w:pPr>
            <w:r>
              <w:t>8.6 (1.8–25.2)</w:t>
            </w:r>
          </w:p>
        </w:tc>
      </w:tr>
      <w:tr w:rsidR="008D6F06" w14:paraId="40003B94" w14:textId="77777777" w:rsidTr="002E2ACD">
        <w:trPr>
          <w:divId w:val="935526654"/>
          <w:trHeight w:val="20"/>
        </w:trPr>
        <w:tc>
          <w:tcPr>
            <w:tcW w:w="1417" w:type="dxa"/>
            <w:vMerge/>
            <w:tcBorders>
              <w:bottom w:val="single" w:sz="4" w:space="0" w:color="033636" w:themeColor="text2"/>
            </w:tcBorders>
            <w:shd w:val="clear" w:color="auto" w:fill="C5FFEF" w:themeFill="background2" w:themeFillTint="33"/>
          </w:tcPr>
          <w:p w14:paraId="3CCCC4A0" w14:textId="77777777" w:rsidR="008D6F06" w:rsidRDefault="008D6F06" w:rsidP="002E2ACD">
            <w:pPr>
              <w:pStyle w:val="CDIFigure-Table-BodyTextLeft"/>
            </w:pPr>
          </w:p>
        </w:tc>
        <w:tc>
          <w:tcPr>
            <w:tcW w:w="1985" w:type="dxa"/>
            <w:tcBorders>
              <w:bottom w:val="single" w:sz="4" w:space="0" w:color="033636" w:themeColor="text2"/>
            </w:tcBorders>
            <w:shd w:val="solid" w:color="FFFFFF" w:fill="auto"/>
            <w:tcMar>
              <w:top w:w="113" w:type="dxa"/>
              <w:left w:w="113" w:type="dxa"/>
              <w:bottom w:w="113" w:type="dxa"/>
              <w:right w:w="113" w:type="dxa"/>
            </w:tcMar>
            <w:vAlign w:val="center"/>
          </w:tcPr>
          <w:p w14:paraId="169FF589" w14:textId="77777777" w:rsidR="008D6F06" w:rsidRDefault="008D6F06" w:rsidP="002E2ACD">
            <w:pPr>
              <w:pStyle w:val="CDIFigure-Table-BodyTextLeft"/>
            </w:pPr>
            <w:r>
              <w:t>Hib and MenC</w:t>
            </w:r>
          </w:p>
        </w:tc>
        <w:tc>
          <w:tcPr>
            <w:tcW w:w="1417" w:type="dxa"/>
            <w:tcBorders>
              <w:bottom w:val="single" w:sz="4" w:space="0" w:color="033636" w:themeColor="text2"/>
            </w:tcBorders>
            <w:shd w:val="solid" w:color="FFFFFF" w:fill="auto"/>
            <w:tcMar>
              <w:top w:w="113" w:type="dxa"/>
              <w:left w:w="113" w:type="dxa"/>
              <w:bottom w:w="113" w:type="dxa"/>
              <w:right w:w="113" w:type="dxa"/>
            </w:tcMar>
            <w:vAlign w:val="center"/>
          </w:tcPr>
          <w:p w14:paraId="119B4038" w14:textId="77777777" w:rsidR="008D6F06" w:rsidRDefault="008D6F06" w:rsidP="008D6F06">
            <w:pPr>
              <w:pStyle w:val="CDIFigure-Table-BodyTextCentre"/>
            </w:pPr>
            <w:r>
              <w:t>1</w:t>
            </w:r>
          </w:p>
        </w:tc>
        <w:tc>
          <w:tcPr>
            <w:tcW w:w="1417" w:type="dxa"/>
            <w:tcBorders>
              <w:bottom w:val="single" w:sz="4" w:space="0" w:color="033636" w:themeColor="text2"/>
            </w:tcBorders>
            <w:shd w:val="solid" w:color="FFFFFF" w:fill="auto"/>
            <w:tcMar>
              <w:top w:w="113" w:type="dxa"/>
              <w:left w:w="113" w:type="dxa"/>
              <w:bottom w:w="113" w:type="dxa"/>
              <w:right w:w="113" w:type="dxa"/>
            </w:tcMar>
            <w:vAlign w:val="center"/>
          </w:tcPr>
          <w:p w14:paraId="0BFB67B5" w14:textId="77777777" w:rsidR="008D6F06" w:rsidRDefault="008D6F06" w:rsidP="008D6F06">
            <w:pPr>
              <w:pStyle w:val="CDIFigure-Table-BodyTextCentre"/>
            </w:pPr>
            <w:r>
              <w:t>200</w:t>
            </w:r>
          </w:p>
        </w:tc>
        <w:tc>
          <w:tcPr>
            <w:tcW w:w="3402" w:type="dxa"/>
            <w:tcBorders>
              <w:bottom w:val="single" w:sz="4" w:space="0" w:color="033636" w:themeColor="text2"/>
            </w:tcBorders>
            <w:shd w:val="solid" w:color="FFFFFF" w:fill="auto"/>
            <w:tcMar>
              <w:top w:w="113" w:type="dxa"/>
              <w:left w:w="113" w:type="dxa"/>
              <w:bottom w:w="113" w:type="dxa"/>
              <w:right w:w="113" w:type="dxa"/>
            </w:tcMar>
            <w:vAlign w:val="center"/>
          </w:tcPr>
          <w:p w14:paraId="46C6498B" w14:textId="77777777" w:rsidR="008D6F06" w:rsidRDefault="008D6F06" w:rsidP="008D6F06">
            <w:pPr>
              <w:pStyle w:val="CDIFigure-Table-BodyTextCentre"/>
            </w:pPr>
            <w:r>
              <w:t>500.0 (12.7–2754.2)</w:t>
            </w:r>
          </w:p>
        </w:tc>
      </w:tr>
      <w:tr w:rsidR="00B16C0A" w14:paraId="2C26882D" w14:textId="77777777" w:rsidTr="002E2ACD">
        <w:trPr>
          <w:divId w:val="935526654"/>
          <w:trHeight w:val="20"/>
        </w:trPr>
        <w:tc>
          <w:tcPr>
            <w:tcW w:w="141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3FA6DB0" w14:textId="77777777" w:rsidR="008D6F06" w:rsidRDefault="008D6F06" w:rsidP="002E2ACD">
            <w:pPr>
              <w:pStyle w:val="CDIFigure-Table-BodyTextLeft"/>
            </w:pPr>
            <w:r>
              <w:t>7–17 years</w:t>
            </w:r>
          </w:p>
        </w:tc>
        <w:tc>
          <w:tcPr>
            <w:tcW w:w="198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4ED95F" w14:textId="77777777" w:rsidR="008D6F06" w:rsidRDefault="008D6F06" w:rsidP="002E2ACD">
            <w:pPr>
              <w:pStyle w:val="CDIFigure-Table-BodyTextLeft"/>
            </w:pPr>
            <w:r>
              <w:t>HPV</w:t>
            </w:r>
          </w:p>
        </w:tc>
        <w:tc>
          <w:tcPr>
            <w:tcW w:w="141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F5E297" w14:textId="77777777" w:rsidR="008D6F06" w:rsidRDefault="008D6F06" w:rsidP="008D6F06">
            <w:pPr>
              <w:pStyle w:val="CDIFigure-Table-BodyTextCentre"/>
            </w:pPr>
            <w:r>
              <w:t>196</w:t>
            </w:r>
          </w:p>
        </w:tc>
        <w:tc>
          <w:tcPr>
            <w:tcW w:w="141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025C7F" w14:textId="77777777" w:rsidR="008D6F06" w:rsidRDefault="008D6F06" w:rsidP="008D6F06">
            <w:pPr>
              <w:pStyle w:val="CDIFigure-Table-BodyTextCentre"/>
            </w:pPr>
            <w:r>
              <w:t>507,848</w:t>
            </w:r>
          </w:p>
        </w:tc>
        <w:tc>
          <w:tcPr>
            <w:tcW w:w="3402"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9A36356" w14:textId="77777777" w:rsidR="008D6F06" w:rsidRDefault="008D6F06" w:rsidP="008D6F06">
            <w:pPr>
              <w:pStyle w:val="CDIFigure-Table-BodyTextCentre"/>
            </w:pPr>
            <w:r>
              <w:t>38.6 (33.4–44.4)</w:t>
            </w:r>
          </w:p>
        </w:tc>
      </w:tr>
      <w:tr w:rsidR="008D6F06" w14:paraId="7B54D3C8" w14:textId="77777777" w:rsidTr="002E2ACD">
        <w:trPr>
          <w:divId w:val="935526654"/>
          <w:trHeight w:val="20"/>
        </w:trPr>
        <w:tc>
          <w:tcPr>
            <w:tcW w:w="1417" w:type="dxa"/>
            <w:vMerge/>
            <w:shd w:val="clear" w:color="auto" w:fill="C5FFEF" w:themeFill="background2" w:themeFillTint="33"/>
          </w:tcPr>
          <w:p w14:paraId="5D42E716"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6AA80E6E" w14:textId="77777777" w:rsidR="008D6F06" w:rsidRDefault="008D6F06" w:rsidP="002E2ACD">
            <w:pPr>
              <w:pStyle w:val="CDIFigure-Table-BodyTextLeft"/>
            </w:pPr>
            <w:r>
              <w:t>dTpa</w:t>
            </w:r>
          </w:p>
        </w:tc>
        <w:tc>
          <w:tcPr>
            <w:tcW w:w="1417" w:type="dxa"/>
            <w:shd w:val="solid" w:color="FFFFFF" w:fill="auto"/>
            <w:tcMar>
              <w:top w:w="113" w:type="dxa"/>
              <w:left w:w="113" w:type="dxa"/>
              <w:bottom w:w="113" w:type="dxa"/>
              <w:right w:w="113" w:type="dxa"/>
            </w:tcMar>
            <w:vAlign w:val="center"/>
          </w:tcPr>
          <w:p w14:paraId="4C3E9130" w14:textId="77777777" w:rsidR="008D6F06" w:rsidRDefault="008D6F06" w:rsidP="008D6F06">
            <w:pPr>
              <w:pStyle w:val="CDIFigure-Table-BodyTextCentre"/>
            </w:pPr>
            <w:r>
              <w:t>125</w:t>
            </w:r>
          </w:p>
        </w:tc>
        <w:tc>
          <w:tcPr>
            <w:tcW w:w="1417" w:type="dxa"/>
            <w:shd w:val="solid" w:color="FFFFFF" w:fill="auto"/>
            <w:tcMar>
              <w:top w:w="113" w:type="dxa"/>
              <w:left w:w="113" w:type="dxa"/>
              <w:bottom w:w="113" w:type="dxa"/>
              <w:right w:w="113" w:type="dxa"/>
            </w:tcMar>
            <w:vAlign w:val="center"/>
          </w:tcPr>
          <w:p w14:paraId="1754C89D" w14:textId="77777777" w:rsidR="008D6F06" w:rsidRDefault="008D6F06" w:rsidP="008D6F06">
            <w:pPr>
              <w:pStyle w:val="CDIFigure-Table-BodyTextCentre"/>
            </w:pPr>
            <w:r>
              <w:t>290,044</w:t>
            </w:r>
          </w:p>
        </w:tc>
        <w:tc>
          <w:tcPr>
            <w:tcW w:w="3402" w:type="dxa"/>
            <w:shd w:val="solid" w:color="FFFFFF" w:fill="auto"/>
            <w:tcMar>
              <w:top w:w="113" w:type="dxa"/>
              <w:left w:w="113" w:type="dxa"/>
              <w:bottom w:w="113" w:type="dxa"/>
              <w:right w:w="113" w:type="dxa"/>
            </w:tcMar>
            <w:vAlign w:val="center"/>
          </w:tcPr>
          <w:p w14:paraId="2AA0F146" w14:textId="77777777" w:rsidR="008D6F06" w:rsidRDefault="008D6F06" w:rsidP="008D6F06">
            <w:pPr>
              <w:pStyle w:val="CDIFigure-Table-BodyTextCentre"/>
            </w:pPr>
            <w:r>
              <w:t>43.1 (35.9–51.3)</w:t>
            </w:r>
          </w:p>
        </w:tc>
      </w:tr>
      <w:tr w:rsidR="008D6F06" w14:paraId="40AA5AC0" w14:textId="77777777" w:rsidTr="002E2ACD">
        <w:trPr>
          <w:divId w:val="935526654"/>
          <w:trHeight w:val="20"/>
        </w:trPr>
        <w:tc>
          <w:tcPr>
            <w:tcW w:w="1417" w:type="dxa"/>
            <w:vMerge/>
            <w:shd w:val="clear" w:color="auto" w:fill="C5FFEF" w:themeFill="background2" w:themeFillTint="33"/>
          </w:tcPr>
          <w:p w14:paraId="004D9932"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3BFAB841" w14:textId="77777777" w:rsidR="008D6F06" w:rsidRDefault="008D6F06" w:rsidP="002E2ACD">
            <w:pPr>
              <w:pStyle w:val="CDIFigure-Table-BodyTextLeft"/>
            </w:pPr>
            <w:r>
              <w:t>MenACWY</w:t>
            </w:r>
          </w:p>
        </w:tc>
        <w:tc>
          <w:tcPr>
            <w:tcW w:w="1417" w:type="dxa"/>
            <w:shd w:val="clear" w:color="auto" w:fill="F2F2F2" w:themeFill="background1" w:themeFillShade="F2"/>
            <w:tcMar>
              <w:top w:w="113" w:type="dxa"/>
              <w:left w:w="113" w:type="dxa"/>
              <w:bottom w:w="113" w:type="dxa"/>
              <w:right w:w="113" w:type="dxa"/>
            </w:tcMar>
            <w:vAlign w:val="center"/>
          </w:tcPr>
          <w:p w14:paraId="1C7B6C16" w14:textId="77777777" w:rsidR="008D6F06" w:rsidRDefault="008D6F06" w:rsidP="008D6F06">
            <w:pPr>
              <w:pStyle w:val="CDIFigure-Table-BodyTextCentre"/>
            </w:pPr>
            <w:r>
              <w:t>60</w:t>
            </w:r>
          </w:p>
        </w:tc>
        <w:tc>
          <w:tcPr>
            <w:tcW w:w="1417" w:type="dxa"/>
            <w:shd w:val="clear" w:color="auto" w:fill="F2F2F2" w:themeFill="background1" w:themeFillShade="F2"/>
            <w:tcMar>
              <w:top w:w="113" w:type="dxa"/>
              <w:left w:w="113" w:type="dxa"/>
              <w:bottom w:w="113" w:type="dxa"/>
              <w:right w:w="113" w:type="dxa"/>
            </w:tcMar>
            <w:vAlign w:val="center"/>
          </w:tcPr>
          <w:p w14:paraId="45EE3B05" w14:textId="77777777" w:rsidR="008D6F06" w:rsidRDefault="008D6F06" w:rsidP="008D6F06">
            <w:pPr>
              <w:pStyle w:val="CDIFigure-Table-BodyTextCentre"/>
            </w:pPr>
            <w:r>
              <w:t>229,005</w:t>
            </w:r>
          </w:p>
        </w:tc>
        <w:tc>
          <w:tcPr>
            <w:tcW w:w="3402" w:type="dxa"/>
            <w:shd w:val="clear" w:color="auto" w:fill="F2F2F2" w:themeFill="background1" w:themeFillShade="F2"/>
            <w:tcMar>
              <w:top w:w="113" w:type="dxa"/>
              <w:left w:w="113" w:type="dxa"/>
              <w:bottom w:w="113" w:type="dxa"/>
              <w:right w:w="113" w:type="dxa"/>
            </w:tcMar>
            <w:vAlign w:val="center"/>
          </w:tcPr>
          <w:p w14:paraId="5F5AFD0A" w14:textId="77777777" w:rsidR="008D6F06" w:rsidRDefault="008D6F06" w:rsidP="008D6F06">
            <w:pPr>
              <w:pStyle w:val="CDIFigure-Table-BodyTextCentre"/>
            </w:pPr>
            <w:r>
              <w:t>26.2 (20.0–33.7)</w:t>
            </w:r>
          </w:p>
        </w:tc>
      </w:tr>
      <w:tr w:rsidR="008D6F06" w14:paraId="0D96081C" w14:textId="77777777" w:rsidTr="002E2ACD">
        <w:trPr>
          <w:divId w:val="935526654"/>
          <w:trHeight w:val="20"/>
        </w:trPr>
        <w:tc>
          <w:tcPr>
            <w:tcW w:w="1417" w:type="dxa"/>
            <w:vMerge/>
            <w:shd w:val="clear" w:color="auto" w:fill="C5FFEF" w:themeFill="background2" w:themeFillTint="33"/>
          </w:tcPr>
          <w:p w14:paraId="626843BA"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54FB1774" w14:textId="77777777" w:rsidR="008D6F06" w:rsidRDefault="008D6F06" w:rsidP="002E2ACD">
            <w:pPr>
              <w:pStyle w:val="CDIFigure-Table-BodyTextLeft"/>
            </w:pPr>
            <w:r>
              <w:t>Influenza (sf)</w:t>
            </w:r>
          </w:p>
        </w:tc>
        <w:tc>
          <w:tcPr>
            <w:tcW w:w="1417" w:type="dxa"/>
            <w:shd w:val="solid" w:color="FFFFFF" w:fill="auto"/>
            <w:tcMar>
              <w:top w:w="113" w:type="dxa"/>
              <w:left w:w="113" w:type="dxa"/>
              <w:bottom w:w="113" w:type="dxa"/>
              <w:right w:w="113" w:type="dxa"/>
            </w:tcMar>
            <w:vAlign w:val="center"/>
          </w:tcPr>
          <w:p w14:paraId="3FBF91A9" w14:textId="77777777" w:rsidR="008D6F06" w:rsidRDefault="008D6F06" w:rsidP="008D6F06">
            <w:pPr>
              <w:pStyle w:val="CDIFigure-Table-BodyTextCentre"/>
            </w:pPr>
            <w:r>
              <w:t>51</w:t>
            </w:r>
          </w:p>
        </w:tc>
        <w:tc>
          <w:tcPr>
            <w:tcW w:w="1417" w:type="dxa"/>
            <w:shd w:val="solid" w:color="FFFFFF" w:fill="auto"/>
            <w:tcMar>
              <w:top w:w="113" w:type="dxa"/>
              <w:left w:w="113" w:type="dxa"/>
              <w:bottom w:w="113" w:type="dxa"/>
              <w:right w:w="113" w:type="dxa"/>
            </w:tcMar>
            <w:vAlign w:val="center"/>
          </w:tcPr>
          <w:p w14:paraId="3343D60A" w14:textId="77777777" w:rsidR="008D6F06" w:rsidRDefault="008D6F06" w:rsidP="008D6F06">
            <w:pPr>
              <w:pStyle w:val="CDIFigure-Table-BodyTextCentre"/>
            </w:pPr>
            <w:r>
              <w:t>507,526</w:t>
            </w:r>
          </w:p>
        </w:tc>
        <w:tc>
          <w:tcPr>
            <w:tcW w:w="3402" w:type="dxa"/>
            <w:shd w:val="solid" w:color="FFFFFF" w:fill="auto"/>
            <w:tcMar>
              <w:top w:w="113" w:type="dxa"/>
              <w:left w:w="113" w:type="dxa"/>
              <w:bottom w:w="113" w:type="dxa"/>
              <w:right w:w="113" w:type="dxa"/>
            </w:tcMar>
            <w:vAlign w:val="center"/>
          </w:tcPr>
          <w:p w14:paraId="4C7708B6" w14:textId="77777777" w:rsidR="008D6F06" w:rsidRDefault="008D6F06" w:rsidP="008D6F06">
            <w:pPr>
              <w:pStyle w:val="CDIFigure-Table-BodyTextCentre"/>
            </w:pPr>
            <w:r>
              <w:t>10.0 (7.5–13.2)</w:t>
            </w:r>
          </w:p>
        </w:tc>
      </w:tr>
      <w:tr w:rsidR="008D6F06" w14:paraId="3A635F7B" w14:textId="77777777" w:rsidTr="002E2ACD">
        <w:trPr>
          <w:divId w:val="935526654"/>
          <w:trHeight w:val="20"/>
        </w:trPr>
        <w:tc>
          <w:tcPr>
            <w:tcW w:w="1417" w:type="dxa"/>
            <w:vMerge/>
            <w:shd w:val="clear" w:color="auto" w:fill="C5FFEF" w:themeFill="background2" w:themeFillTint="33"/>
          </w:tcPr>
          <w:p w14:paraId="4FC1D36B"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59D88104" w14:textId="77777777" w:rsidR="008D6F06" w:rsidRDefault="008D6F06" w:rsidP="002E2ACD">
            <w:pPr>
              <w:pStyle w:val="CDIFigure-Table-BodyTextLeft"/>
            </w:pPr>
            <w:r>
              <w:t>MenB</w:t>
            </w:r>
          </w:p>
        </w:tc>
        <w:tc>
          <w:tcPr>
            <w:tcW w:w="1417" w:type="dxa"/>
            <w:shd w:val="clear" w:color="auto" w:fill="F2F2F2" w:themeFill="background1" w:themeFillShade="F2"/>
            <w:tcMar>
              <w:top w:w="113" w:type="dxa"/>
              <w:left w:w="113" w:type="dxa"/>
              <w:bottom w:w="113" w:type="dxa"/>
              <w:right w:w="113" w:type="dxa"/>
            </w:tcMar>
            <w:vAlign w:val="center"/>
          </w:tcPr>
          <w:p w14:paraId="61DA6BCA" w14:textId="77777777" w:rsidR="008D6F06" w:rsidRDefault="008D6F06" w:rsidP="008D6F06">
            <w:pPr>
              <w:pStyle w:val="CDIFigure-Table-BodyTextCentre"/>
            </w:pPr>
            <w:r>
              <w:t>26</w:t>
            </w:r>
          </w:p>
        </w:tc>
        <w:tc>
          <w:tcPr>
            <w:tcW w:w="1417" w:type="dxa"/>
            <w:shd w:val="clear" w:color="auto" w:fill="F2F2F2" w:themeFill="background1" w:themeFillShade="F2"/>
            <w:tcMar>
              <w:top w:w="113" w:type="dxa"/>
              <w:left w:w="113" w:type="dxa"/>
              <w:bottom w:w="113" w:type="dxa"/>
              <w:right w:w="113" w:type="dxa"/>
            </w:tcMar>
            <w:vAlign w:val="center"/>
          </w:tcPr>
          <w:p w14:paraId="13660F75" w14:textId="77777777" w:rsidR="008D6F06" w:rsidRDefault="008D6F06" w:rsidP="008D6F06">
            <w:pPr>
              <w:pStyle w:val="CDIFigure-Table-BodyTextCentre"/>
            </w:pPr>
            <w:r>
              <w:t>40,001</w:t>
            </w:r>
          </w:p>
        </w:tc>
        <w:tc>
          <w:tcPr>
            <w:tcW w:w="3402" w:type="dxa"/>
            <w:shd w:val="clear" w:color="auto" w:fill="F2F2F2" w:themeFill="background1" w:themeFillShade="F2"/>
            <w:tcMar>
              <w:top w:w="113" w:type="dxa"/>
              <w:left w:w="113" w:type="dxa"/>
              <w:bottom w:w="113" w:type="dxa"/>
              <w:right w:w="113" w:type="dxa"/>
            </w:tcMar>
            <w:vAlign w:val="center"/>
          </w:tcPr>
          <w:p w14:paraId="4D6BC4A2" w14:textId="77777777" w:rsidR="008D6F06" w:rsidRDefault="008D6F06" w:rsidP="008D6F06">
            <w:pPr>
              <w:pStyle w:val="CDIFigure-Table-BodyTextCentre"/>
            </w:pPr>
            <w:r>
              <w:t>65.0 (42.5–95.2)</w:t>
            </w:r>
          </w:p>
        </w:tc>
      </w:tr>
      <w:tr w:rsidR="008D6F06" w14:paraId="5BF733C5" w14:textId="77777777" w:rsidTr="002E2ACD">
        <w:trPr>
          <w:divId w:val="935526654"/>
          <w:trHeight w:val="20"/>
        </w:trPr>
        <w:tc>
          <w:tcPr>
            <w:tcW w:w="1417" w:type="dxa"/>
            <w:vMerge/>
            <w:shd w:val="clear" w:color="auto" w:fill="C5FFEF" w:themeFill="background2" w:themeFillTint="33"/>
          </w:tcPr>
          <w:p w14:paraId="1152C95A"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3003491A" w14:textId="77777777" w:rsidR="008D6F06" w:rsidRDefault="008D6F06" w:rsidP="002E2ACD">
            <w:pPr>
              <w:pStyle w:val="CDIFigure-Table-BodyTextLeft"/>
            </w:pPr>
            <w:r>
              <w:t>23vPPV</w:t>
            </w:r>
          </w:p>
        </w:tc>
        <w:tc>
          <w:tcPr>
            <w:tcW w:w="1417" w:type="dxa"/>
            <w:shd w:val="solid" w:color="FFFFFF" w:fill="auto"/>
            <w:tcMar>
              <w:top w:w="113" w:type="dxa"/>
              <w:left w:w="113" w:type="dxa"/>
              <w:bottom w:w="113" w:type="dxa"/>
              <w:right w:w="113" w:type="dxa"/>
            </w:tcMar>
            <w:vAlign w:val="center"/>
          </w:tcPr>
          <w:p w14:paraId="09184842" w14:textId="77777777" w:rsidR="008D6F06" w:rsidRDefault="008D6F06" w:rsidP="008D6F06">
            <w:pPr>
              <w:pStyle w:val="CDIFigure-Table-BodyTextCentre"/>
            </w:pPr>
            <w:r>
              <w:t>8</w:t>
            </w:r>
          </w:p>
        </w:tc>
        <w:tc>
          <w:tcPr>
            <w:tcW w:w="1417" w:type="dxa"/>
            <w:shd w:val="solid" w:color="FFFFFF" w:fill="auto"/>
            <w:tcMar>
              <w:top w:w="113" w:type="dxa"/>
              <w:left w:w="113" w:type="dxa"/>
              <w:bottom w:w="113" w:type="dxa"/>
              <w:right w:w="113" w:type="dxa"/>
            </w:tcMar>
            <w:vAlign w:val="center"/>
          </w:tcPr>
          <w:p w14:paraId="0398CF57" w14:textId="77777777" w:rsidR="008D6F06" w:rsidRDefault="008D6F06" w:rsidP="008D6F06">
            <w:pPr>
              <w:pStyle w:val="CDIFigure-Table-BodyTextCentre"/>
            </w:pPr>
            <w:r>
              <w:t>1,687</w:t>
            </w:r>
          </w:p>
        </w:tc>
        <w:tc>
          <w:tcPr>
            <w:tcW w:w="3402" w:type="dxa"/>
            <w:shd w:val="solid" w:color="FFFFFF" w:fill="auto"/>
            <w:tcMar>
              <w:top w:w="113" w:type="dxa"/>
              <w:left w:w="113" w:type="dxa"/>
              <w:bottom w:w="113" w:type="dxa"/>
              <w:right w:w="113" w:type="dxa"/>
            </w:tcMar>
            <w:vAlign w:val="center"/>
          </w:tcPr>
          <w:p w14:paraId="1856FB66" w14:textId="77777777" w:rsidR="008D6F06" w:rsidRDefault="008D6F06" w:rsidP="008D6F06">
            <w:pPr>
              <w:pStyle w:val="CDIFigure-Table-BodyTextCentre"/>
            </w:pPr>
            <w:r>
              <w:t>474.2 (204.9–932.2)</w:t>
            </w:r>
          </w:p>
        </w:tc>
      </w:tr>
      <w:tr w:rsidR="008D6F06" w14:paraId="5AE75984" w14:textId="77777777" w:rsidTr="002E2ACD">
        <w:trPr>
          <w:divId w:val="935526654"/>
          <w:trHeight w:val="20"/>
        </w:trPr>
        <w:tc>
          <w:tcPr>
            <w:tcW w:w="1417" w:type="dxa"/>
            <w:vMerge/>
            <w:shd w:val="clear" w:color="auto" w:fill="C5FFEF" w:themeFill="background2" w:themeFillTint="33"/>
          </w:tcPr>
          <w:p w14:paraId="358A03DA"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0AC2A2A2" w14:textId="77777777" w:rsidR="008D6F06" w:rsidRDefault="008D6F06" w:rsidP="002E2ACD">
            <w:pPr>
              <w:pStyle w:val="CDIFigure-Table-BodyTextLeft"/>
            </w:pPr>
            <w:r>
              <w:t>Influenza (</w:t>
            </w:r>
            <w:proofErr w:type="spellStart"/>
            <w:r>
              <w:t>hd</w:t>
            </w:r>
            <w:proofErr w:type="spellEnd"/>
            <w:r>
              <w:t>/a)</w:t>
            </w:r>
          </w:p>
        </w:tc>
        <w:tc>
          <w:tcPr>
            <w:tcW w:w="1417" w:type="dxa"/>
            <w:shd w:val="clear" w:color="auto" w:fill="F2F2F2" w:themeFill="background1" w:themeFillShade="F2"/>
            <w:tcMar>
              <w:top w:w="113" w:type="dxa"/>
              <w:left w:w="113" w:type="dxa"/>
              <w:bottom w:w="113" w:type="dxa"/>
              <w:right w:w="113" w:type="dxa"/>
            </w:tcMar>
            <w:vAlign w:val="center"/>
          </w:tcPr>
          <w:p w14:paraId="67E5CB8F" w14:textId="77777777" w:rsidR="008D6F06" w:rsidRDefault="008D6F06" w:rsidP="008D6F06">
            <w:pPr>
              <w:pStyle w:val="CDIFigure-Table-BodyTextCentre"/>
            </w:pPr>
            <w:r>
              <w:t>4</w:t>
            </w:r>
          </w:p>
        </w:tc>
        <w:tc>
          <w:tcPr>
            <w:tcW w:w="1417" w:type="dxa"/>
            <w:shd w:val="clear" w:color="auto" w:fill="F2F2F2" w:themeFill="background1" w:themeFillShade="F2"/>
            <w:tcMar>
              <w:top w:w="113" w:type="dxa"/>
              <w:left w:w="113" w:type="dxa"/>
              <w:bottom w:w="113" w:type="dxa"/>
              <w:right w:w="113" w:type="dxa"/>
            </w:tcMar>
            <w:vAlign w:val="center"/>
          </w:tcPr>
          <w:p w14:paraId="75BF1B51" w14:textId="77777777" w:rsidR="008D6F06" w:rsidRDefault="008D6F06" w:rsidP="008D6F06">
            <w:pPr>
              <w:pStyle w:val="CDIFigure-Table-BodyTextCentre"/>
            </w:pPr>
            <w:r>
              <w:t>1,431</w:t>
            </w:r>
          </w:p>
        </w:tc>
        <w:tc>
          <w:tcPr>
            <w:tcW w:w="3402" w:type="dxa"/>
            <w:shd w:val="clear" w:color="auto" w:fill="F2F2F2" w:themeFill="background1" w:themeFillShade="F2"/>
            <w:tcMar>
              <w:top w:w="113" w:type="dxa"/>
              <w:left w:w="113" w:type="dxa"/>
              <w:bottom w:w="113" w:type="dxa"/>
              <w:right w:w="113" w:type="dxa"/>
            </w:tcMar>
            <w:vAlign w:val="center"/>
          </w:tcPr>
          <w:p w14:paraId="3F87E19F" w14:textId="77777777" w:rsidR="008D6F06" w:rsidRDefault="008D6F06" w:rsidP="008D6F06">
            <w:pPr>
              <w:pStyle w:val="CDIFigure-Table-BodyTextCentre"/>
            </w:pPr>
            <w:r>
              <w:t>279.5 (76.2–714.1)</w:t>
            </w:r>
          </w:p>
        </w:tc>
      </w:tr>
      <w:tr w:rsidR="008D6F06" w14:paraId="11DCBE46" w14:textId="77777777" w:rsidTr="002E2ACD">
        <w:trPr>
          <w:divId w:val="935526654"/>
          <w:trHeight w:val="20"/>
        </w:trPr>
        <w:tc>
          <w:tcPr>
            <w:tcW w:w="1417" w:type="dxa"/>
            <w:vMerge/>
            <w:shd w:val="clear" w:color="auto" w:fill="C5FFEF" w:themeFill="background2" w:themeFillTint="33"/>
          </w:tcPr>
          <w:p w14:paraId="7862051A"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636AA2B7" w14:textId="77777777" w:rsidR="008D6F06" w:rsidRDefault="008D6F06" w:rsidP="002E2ACD">
            <w:pPr>
              <w:pStyle w:val="CDIFigure-Table-BodyTextLeft"/>
            </w:pPr>
            <w:proofErr w:type="spellStart"/>
            <w:r>
              <w:t>HepB</w:t>
            </w:r>
            <w:proofErr w:type="spellEnd"/>
          </w:p>
        </w:tc>
        <w:tc>
          <w:tcPr>
            <w:tcW w:w="1417" w:type="dxa"/>
            <w:shd w:val="solid" w:color="FFFFFF" w:fill="auto"/>
            <w:tcMar>
              <w:top w:w="113" w:type="dxa"/>
              <w:left w:w="113" w:type="dxa"/>
              <w:bottom w:w="113" w:type="dxa"/>
              <w:right w:w="113" w:type="dxa"/>
            </w:tcMar>
            <w:vAlign w:val="center"/>
          </w:tcPr>
          <w:p w14:paraId="0CF13275" w14:textId="77777777" w:rsidR="008D6F06" w:rsidRDefault="008D6F06" w:rsidP="008D6F06">
            <w:pPr>
              <w:pStyle w:val="CDIFigure-Table-BodyTextCentre"/>
            </w:pPr>
            <w:r>
              <w:t>4</w:t>
            </w:r>
          </w:p>
        </w:tc>
        <w:tc>
          <w:tcPr>
            <w:tcW w:w="1417" w:type="dxa"/>
            <w:shd w:val="solid" w:color="FFFFFF" w:fill="auto"/>
            <w:tcMar>
              <w:top w:w="113" w:type="dxa"/>
              <w:left w:w="113" w:type="dxa"/>
              <w:bottom w:w="113" w:type="dxa"/>
              <w:right w:w="113" w:type="dxa"/>
            </w:tcMar>
            <w:vAlign w:val="center"/>
          </w:tcPr>
          <w:p w14:paraId="1C295C2B" w14:textId="77777777" w:rsidR="008D6F06" w:rsidRDefault="008D6F06" w:rsidP="008D6F06">
            <w:pPr>
              <w:pStyle w:val="CDIFigure-Table-BodyTextCentre"/>
            </w:pPr>
            <w:r>
              <w:t>14,234</w:t>
            </w:r>
          </w:p>
        </w:tc>
        <w:tc>
          <w:tcPr>
            <w:tcW w:w="3402" w:type="dxa"/>
            <w:shd w:val="solid" w:color="FFFFFF" w:fill="auto"/>
            <w:tcMar>
              <w:top w:w="113" w:type="dxa"/>
              <w:left w:w="113" w:type="dxa"/>
              <w:bottom w:w="113" w:type="dxa"/>
              <w:right w:w="113" w:type="dxa"/>
            </w:tcMar>
            <w:vAlign w:val="center"/>
          </w:tcPr>
          <w:p w14:paraId="79C190CB" w14:textId="77777777" w:rsidR="008D6F06" w:rsidRDefault="008D6F06" w:rsidP="008D6F06">
            <w:pPr>
              <w:pStyle w:val="CDIFigure-Table-BodyTextCentre"/>
            </w:pPr>
            <w:r>
              <w:t>28.1 (7.7–71.9)</w:t>
            </w:r>
          </w:p>
        </w:tc>
      </w:tr>
      <w:tr w:rsidR="008D6F06" w14:paraId="04A59D95" w14:textId="77777777" w:rsidTr="002E2ACD">
        <w:trPr>
          <w:divId w:val="935526654"/>
          <w:trHeight w:val="20"/>
        </w:trPr>
        <w:tc>
          <w:tcPr>
            <w:tcW w:w="1417" w:type="dxa"/>
            <w:vMerge/>
            <w:shd w:val="clear" w:color="auto" w:fill="C5FFEF" w:themeFill="background2" w:themeFillTint="33"/>
          </w:tcPr>
          <w:p w14:paraId="5C7C4717"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26C01805" w14:textId="77777777" w:rsidR="008D6F06" w:rsidRDefault="008D6F06" w:rsidP="002E2ACD">
            <w:pPr>
              <w:pStyle w:val="CDIFigure-Table-BodyTextLeft"/>
            </w:pPr>
            <w:r>
              <w:t>MMR</w:t>
            </w:r>
          </w:p>
        </w:tc>
        <w:tc>
          <w:tcPr>
            <w:tcW w:w="1417" w:type="dxa"/>
            <w:shd w:val="clear" w:color="auto" w:fill="F2F2F2" w:themeFill="background1" w:themeFillShade="F2"/>
            <w:tcMar>
              <w:top w:w="113" w:type="dxa"/>
              <w:left w:w="113" w:type="dxa"/>
              <w:bottom w:w="113" w:type="dxa"/>
              <w:right w:w="113" w:type="dxa"/>
            </w:tcMar>
            <w:vAlign w:val="center"/>
          </w:tcPr>
          <w:p w14:paraId="3266496A" w14:textId="77777777" w:rsidR="008D6F06" w:rsidRDefault="008D6F06" w:rsidP="008D6F06">
            <w:pPr>
              <w:pStyle w:val="CDIFigure-Table-BodyTextCentre"/>
            </w:pPr>
            <w:r>
              <w:t>4</w:t>
            </w:r>
          </w:p>
        </w:tc>
        <w:tc>
          <w:tcPr>
            <w:tcW w:w="1417" w:type="dxa"/>
            <w:shd w:val="clear" w:color="auto" w:fill="F2F2F2" w:themeFill="background1" w:themeFillShade="F2"/>
            <w:tcMar>
              <w:top w:w="113" w:type="dxa"/>
              <w:left w:w="113" w:type="dxa"/>
              <w:bottom w:w="113" w:type="dxa"/>
              <w:right w:w="113" w:type="dxa"/>
            </w:tcMar>
            <w:vAlign w:val="center"/>
          </w:tcPr>
          <w:p w14:paraId="191B39EE" w14:textId="77777777" w:rsidR="008D6F06" w:rsidRDefault="008D6F06" w:rsidP="008D6F06">
            <w:pPr>
              <w:pStyle w:val="CDIFigure-Table-BodyTextCentre"/>
            </w:pPr>
            <w:r>
              <w:t>7,870</w:t>
            </w:r>
          </w:p>
        </w:tc>
        <w:tc>
          <w:tcPr>
            <w:tcW w:w="3402" w:type="dxa"/>
            <w:shd w:val="clear" w:color="auto" w:fill="F2F2F2" w:themeFill="background1" w:themeFillShade="F2"/>
            <w:tcMar>
              <w:top w:w="113" w:type="dxa"/>
              <w:left w:w="113" w:type="dxa"/>
              <w:bottom w:w="113" w:type="dxa"/>
              <w:right w:w="113" w:type="dxa"/>
            </w:tcMar>
            <w:vAlign w:val="center"/>
          </w:tcPr>
          <w:p w14:paraId="448A31CF" w14:textId="77777777" w:rsidR="008D6F06" w:rsidRDefault="008D6F06" w:rsidP="008D6F06">
            <w:pPr>
              <w:pStyle w:val="CDIFigure-Table-BodyTextCentre"/>
            </w:pPr>
            <w:r>
              <w:t>50.8 (13.9–130.1)</w:t>
            </w:r>
          </w:p>
        </w:tc>
      </w:tr>
      <w:tr w:rsidR="008D6F06" w14:paraId="4A561769" w14:textId="77777777" w:rsidTr="002E2ACD">
        <w:trPr>
          <w:divId w:val="935526654"/>
          <w:trHeight w:val="20"/>
        </w:trPr>
        <w:tc>
          <w:tcPr>
            <w:tcW w:w="1417" w:type="dxa"/>
            <w:vMerge/>
            <w:shd w:val="clear" w:color="auto" w:fill="C5FFEF" w:themeFill="background2" w:themeFillTint="33"/>
          </w:tcPr>
          <w:p w14:paraId="609B0643"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364C2DD4" w14:textId="77777777" w:rsidR="008D6F06" w:rsidRDefault="008D6F06" w:rsidP="002E2ACD">
            <w:pPr>
              <w:pStyle w:val="CDIFigure-Table-BodyTextLeft"/>
            </w:pPr>
            <w:r>
              <w:t>MMRV</w:t>
            </w:r>
          </w:p>
        </w:tc>
        <w:tc>
          <w:tcPr>
            <w:tcW w:w="1417" w:type="dxa"/>
            <w:shd w:val="solid" w:color="FFFFFF" w:fill="auto"/>
            <w:tcMar>
              <w:top w:w="113" w:type="dxa"/>
              <w:left w:w="113" w:type="dxa"/>
              <w:bottom w:w="113" w:type="dxa"/>
              <w:right w:w="113" w:type="dxa"/>
            </w:tcMar>
            <w:vAlign w:val="center"/>
          </w:tcPr>
          <w:p w14:paraId="2386F0AA" w14:textId="77777777" w:rsidR="008D6F06" w:rsidRDefault="008D6F06" w:rsidP="008D6F06">
            <w:pPr>
              <w:pStyle w:val="CDIFigure-Table-BodyTextCentre"/>
            </w:pPr>
            <w:r>
              <w:t>4</w:t>
            </w:r>
          </w:p>
        </w:tc>
        <w:tc>
          <w:tcPr>
            <w:tcW w:w="1417" w:type="dxa"/>
            <w:shd w:val="solid" w:color="FFFFFF" w:fill="auto"/>
            <w:tcMar>
              <w:top w:w="113" w:type="dxa"/>
              <w:left w:w="113" w:type="dxa"/>
              <w:bottom w:w="113" w:type="dxa"/>
              <w:right w:w="113" w:type="dxa"/>
            </w:tcMar>
            <w:vAlign w:val="center"/>
          </w:tcPr>
          <w:p w14:paraId="0ACB6AA6" w14:textId="77777777" w:rsidR="008D6F06" w:rsidRDefault="008D6F06" w:rsidP="008D6F06">
            <w:pPr>
              <w:pStyle w:val="CDIFigure-Table-BodyTextCentre"/>
            </w:pPr>
            <w:r>
              <w:t>3,348</w:t>
            </w:r>
          </w:p>
        </w:tc>
        <w:tc>
          <w:tcPr>
            <w:tcW w:w="3402" w:type="dxa"/>
            <w:shd w:val="solid" w:color="FFFFFF" w:fill="auto"/>
            <w:tcMar>
              <w:top w:w="113" w:type="dxa"/>
              <w:left w:w="113" w:type="dxa"/>
              <w:bottom w:w="113" w:type="dxa"/>
              <w:right w:w="113" w:type="dxa"/>
            </w:tcMar>
            <w:vAlign w:val="center"/>
          </w:tcPr>
          <w:p w14:paraId="38C72152" w14:textId="77777777" w:rsidR="008D6F06" w:rsidRDefault="008D6F06" w:rsidP="008D6F06">
            <w:pPr>
              <w:pStyle w:val="CDIFigure-Table-BodyTextCentre"/>
            </w:pPr>
            <w:r>
              <w:t>119.5 (32.6–305.6)</w:t>
            </w:r>
          </w:p>
        </w:tc>
      </w:tr>
      <w:tr w:rsidR="00B16C0A" w14:paraId="056BB4F9" w14:textId="77777777" w:rsidTr="002E2ACD">
        <w:trPr>
          <w:divId w:val="935526654"/>
          <w:trHeight w:val="20"/>
        </w:trPr>
        <w:tc>
          <w:tcPr>
            <w:tcW w:w="1417" w:type="dxa"/>
            <w:vMerge/>
            <w:tcBorders>
              <w:bottom w:val="single" w:sz="4" w:space="0" w:color="033636" w:themeColor="text2"/>
            </w:tcBorders>
            <w:shd w:val="clear" w:color="auto" w:fill="C5FFEF" w:themeFill="background2" w:themeFillTint="33"/>
          </w:tcPr>
          <w:p w14:paraId="63CD0211" w14:textId="77777777" w:rsidR="008D6F06" w:rsidRDefault="008D6F06" w:rsidP="002E2ACD">
            <w:pPr>
              <w:pStyle w:val="CDIFigure-Table-BodyTextLeft"/>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D527BB" w14:textId="77777777" w:rsidR="008D6F06" w:rsidRDefault="008D6F06" w:rsidP="002E2ACD">
            <w:pPr>
              <w:pStyle w:val="CDIFigure-Table-BodyTextLeft"/>
            </w:pPr>
            <w:r>
              <w:t>13vPCV</w:t>
            </w:r>
          </w:p>
        </w:tc>
        <w:tc>
          <w:tcPr>
            <w:tcW w:w="141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621DCD" w14:textId="77777777" w:rsidR="008D6F06" w:rsidRDefault="008D6F06" w:rsidP="008D6F06">
            <w:pPr>
              <w:pStyle w:val="CDIFigure-Table-BodyTextCentre"/>
            </w:pPr>
            <w:r>
              <w:t>2</w:t>
            </w:r>
          </w:p>
        </w:tc>
        <w:tc>
          <w:tcPr>
            <w:tcW w:w="141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1E3EC1" w14:textId="77777777" w:rsidR="008D6F06" w:rsidRDefault="008D6F06" w:rsidP="008D6F06">
            <w:pPr>
              <w:pStyle w:val="CDIFigure-Table-BodyTextCentre"/>
            </w:pPr>
            <w:r>
              <w:t>1,600</w:t>
            </w:r>
          </w:p>
        </w:tc>
        <w:tc>
          <w:tcPr>
            <w:tcW w:w="34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5A4090" w14:textId="77777777" w:rsidR="008D6F06" w:rsidRDefault="008D6F06" w:rsidP="008D6F06">
            <w:pPr>
              <w:pStyle w:val="CDIFigure-Table-BodyTextCentre"/>
            </w:pPr>
            <w:r>
              <w:t>125.0 (15.1–450.8)</w:t>
            </w:r>
          </w:p>
        </w:tc>
      </w:tr>
      <w:tr w:rsidR="008D6F06" w14:paraId="6DC071FF" w14:textId="77777777" w:rsidTr="002E2ACD">
        <w:trPr>
          <w:divId w:val="935526654"/>
          <w:trHeight w:val="20"/>
        </w:trPr>
        <w:tc>
          <w:tcPr>
            <w:tcW w:w="141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00A7413" w14:textId="77777777" w:rsidR="008D6F06" w:rsidRDefault="008D6F06" w:rsidP="002E2ACD">
            <w:pPr>
              <w:pStyle w:val="CDIFigure-Table-BodyTextLeft"/>
            </w:pPr>
            <w:r>
              <w:t>18–64 years</w:t>
            </w:r>
          </w:p>
        </w:tc>
        <w:tc>
          <w:tcPr>
            <w:tcW w:w="1985" w:type="dxa"/>
            <w:tcBorders>
              <w:top w:val="single" w:sz="4" w:space="0" w:color="033636" w:themeColor="text2"/>
            </w:tcBorders>
            <w:shd w:val="solid" w:color="FFFFFF" w:fill="auto"/>
            <w:tcMar>
              <w:top w:w="113" w:type="dxa"/>
              <w:left w:w="113" w:type="dxa"/>
              <w:bottom w:w="113" w:type="dxa"/>
              <w:right w:w="113" w:type="dxa"/>
            </w:tcMar>
            <w:vAlign w:val="center"/>
          </w:tcPr>
          <w:p w14:paraId="7C13B88B" w14:textId="77777777" w:rsidR="008D6F06" w:rsidRDefault="008D6F06" w:rsidP="002E2ACD">
            <w:pPr>
              <w:pStyle w:val="CDIFigure-Table-BodyTextLeft"/>
            </w:pPr>
            <w:r>
              <w:t>Influenza (sf)</w:t>
            </w:r>
          </w:p>
        </w:tc>
        <w:tc>
          <w:tcPr>
            <w:tcW w:w="1417" w:type="dxa"/>
            <w:tcBorders>
              <w:top w:val="single" w:sz="4" w:space="0" w:color="033636" w:themeColor="text2"/>
            </w:tcBorders>
            <w:shd w:val="solid" w:color="FFFFFF" w:fill="auto"/>
            <w:tcMar>
              <w:top w:w="113" w:type="dxa"/>
              <w:left w:w="113" w:type="dxa"/>
              <w:bottom w:w="113" w:type="dxa"/>
              <w:right w:w="113" w:type="dxa"/>
            </w:tcMar>
            <w:vAlign w:val="center"/>
          </w:tcPr>
          <w:p w14:paraId="1B9B9CD1" w14:textId="77777777" w:rsidR="008D6F06" w:rsidRDefault="008D6F06" w:rsidP="008D6F06">
            <w:pPr>
              <w:pStyle w:val="CDIFigure-Table-BodyTextCentre"/>
            </w:pPr>
            <w:r>
              <w:t>482</w:t>
            </w:r>
          </w:p>
        </w:tc>
        <w:tc>
          <w:tcPr>
            <w:tcW w:w="1417" w:type="dxa"/>
            <w:tcBorders>
              <w:top w:val="single" w:sz="4" w:space="0" w:color="033636" w:themeColor="text2"/>
            </w:tcBorders>
            <w:shd w:val="solid" w:color="FFFFFF" w:fill="auto"/>
            <w:tcMar>
              <w:top w:w="113" w:type="dxa"/>
              <w:left w:w="113" w:type="dxa"/>
              <w:bottom w:w="113" w:type="dxa"/>
              <w:right w:w="113" w:type="dxa"/>
            </w:tcMar>
            <w:vAlign w:val="center"/>
          </w:tcPr>
          <w:p w14:paraId="3BDBBC31" w14:textId="77777777" w:rsidR="008D6F06" w:rsidRDefault="008D6F06" w:rsidP="008D6F06">
            <w:pPr>
              <w:pStyle w:val="CDIFigure-Table-BodyTextCentre"/>
            </w:pPr>
            <w:r>
              <w:t>4,589,723</w:t>
            </w:r>
          </w:p>
        </w:tc>
        <w:tc>
          <w:tcPr>
            <w:tcW w:w="3402" w:type="dxa"/>
            <w:tcBorders>
              <w:top w:val="single" w:sz="4" w:space="0" w:color="033636" w:themeColor="text2"/>
            </w:tcBorders>
            <w:shd w:val="solid" w:color="FFFFFF" w:fill="auto"/>
            <w:tcMar>
              <w:top w:w="113" w:type="dxa"/>
              <w:left w:w="113" w:type="dxa"/>
              <w:bottom w:w="113" w:type="dxa"/>
              <w:right w:w="113" w:type="dxa"/>
            </w:tcMar>
            <w:vAlign w:val="center"/>
          </w:tcPr>
          <w:p w14:paraId="77CF7B77" w14:textId="77777777" w:rsidR="008D6F06" w:rsidRDefault="008D6F06" w:rsidP="008D6F06">
            <w:pPr>
              <w:pStyle w:val="CDIFigure-Table-BodyTextCentre"/>
            </w:pPr>
            <w:r>
              <w:t>10.5 (9.6–11.5)</w:t>
            </w:r>
          </w:p>
        </w:tc>
      </w:tr>
      <w:tr w:rsidR="008D6F06" w14:paraId="19FBA6E8" w14:textId="77777777" w:rsidTr="002E2ACD">
        <w:trPr>
          <w:divId w:val="935526654"/>
          <w:trHeight w:val="20"/>
        </w:trPr>
        <w:tc>
          <w:tcPr>
            <w:tcW w:w="1417" w:type="dxa"/>
            <w:vMerge/>
            <w:shd w:val="clear" w:color="auto" w:fill="C5FFEF" w:themeFill="background2" w:themeFillTint="33"/>
          </w:tcPr>
          <w:p w14:paraId="0AE247E4"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25EC99DF" w14:textId="77777777" w:rsidR="008D6F06" w:rsidRDefault="008D6F06" w:rsidP="002E2ACD">
            <w:pPr>
              <w:pStyle w:val="CDIFigure-Table-BodyTextLeft"/>
            </w:pPr>
            <w:r>
              <w:t>dTpa</w:t>
            </w:r>
          </w:p>
        </w:tc>
        <w:tc>
          <w:tcPr>
            <w:tcW w:w="1417" w:type="dxa"/>
            <w:shd w:val="clear" w:color="auto" w:fill="F2F2F2" w:themeFill="background1" w:themeFillShade="F2"/>
            <w:tcMar>
              <w:top w:w="113" w:type="dxa"/>
              <w:left w:w="113" w:type="dxa"/>
              <w:bottom w:w="113" w:type="dxa"/>
              <w:right w:w="113" w:type="dxa"/>
            </w:tcMar>
            <w:vAlign w:val="center"/>
          </w:tcPr>
          <w:p w14:paraId="00D7C1A7" w14:textId="77777777" w:rsidR="008D6F06" w:rsidRDefault="008D6F06" w:rsidP="008D6F06">
            <w:pPr>
              <w:pStyle w:val="CDIFigure-Table-BodyTextCentre"/>
            </w:pPr>
            <w:r>
              <w:t>94</w:t>
            </w:r>
          </w:p>
        </w:tc>
        <w:tc>
          <w:tcPr>
            <w:tcW w:w="1417" w:type="dxa"/>
            <w:shd w:val="clear" w:color="auto" w:fill="F2F2F2" w:themeFill="background1" w:themeFillShade="F2"/>
            <w:tcMar>
              <w:top w:w="113" w:type="dxa"/>
              <w:left w:w="113" w:type="dxa"/>
              <w:bottom w:w="113" w:type="dxa"/>
              <w:right w:w="113" w:type="dxa"/>
            </w:tcMar>
            <w:vAlign w:val="center"/>
          </w:tcPr>
          <w:p w14:paraId="702CDBA3" w14:textId="77777777" w:rsidR="008D6F06" w:rsidRDefault="008D6F06" w:rsidP="008D6F06">
            <w:pPr>
              <w:pStyle w:val="CDIFigure-Table-BodyTextCentre"/>
            </w:pPr>
            <w:r>
              <w:t>709,124</w:t>
            </w:r>
          </w:p>
        </w:tc>
        <w:tc>
          <w:tcPr>
            <w:tcW w:w="3402" w:type="dxa"/>
            <w:shd w:val="clear" w:color="auto" w:fill="F2F2F2" w:themeFill="background1" w:themeFillShade="F2"/>
            <w:tcMar>
              <w:top w:w="113" w:type="dxa"/>
              <w:left w:w="113" w:type="dxa"/>
              <w:bottom w:w="113" w:type="dxa"/>
              <w:right w:w="113" w:type="dxa"/>
            </w:tcMar>
            <w:vAlign w:val="center"/>
          </w:tcPr>
          <w:p w14:paraId="03F2F05C" w14:textId="77777777" w:rsidR="008D6F06" w:rsidRDefault="008D6F06" w:rsidP="008D6F06">
            <w:pPr>
              <w:pStyle w:val="CDIFigure-Table-BodyTextCentre"/>
            </w:pPr>
            <w:r>
              <w:t>13.3 (10.7–16.2)</w:t>
            </w:r>
          </w:p>
        </w:tc>
      </w:tr>
      <w:tr w:rsidR="008D6F06" w14:paraId="56E3BE59" w14:textId="77777777" w:rsidTr="002E2ACD">
        <w:trPr>
          <w:divId w:val="935526654"/>
          <w:trHeight w:val="20"/>
        </w:trPr>
        <w:tc>
          <w:tcPr>
            <w:tcW w:w="1417" w:type="dxa"/>
            <w:vMerge/>
            <w:shd w:val="clear" w:color="auto" w:fill="C5FFEF" w:themeFill="background2" w:themeFillTint="33"/>
          </w:tcPr>
          <w:p w14:paraId="663ECF92"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12AE0436" w14:textId="77777777" w:rsidR="008D6F06" w:rsidRDefault="008D6F06" w:rsidP="002E2ACD">
            <w:pPr>
              <w:pStyle w:val="CDIFigure-Table-BodyTextLeft"/>
            </w:pPr>
            <w:r>
              <w:t>Influenza (</w:t>
            </w:r>
            <w:proofErr w:type="spellStart"/>
            <w:r>
              <w:t>hd</w:t>
            </w:r>
            <w:proofErr w:type="spellEnd"/>
            <w:r>
              <w:t>/a)</w:t>
            </w:r>
          </w:p>
        </w:tc>
        <w:tc>
          <w:tcPr>
            <w:tcW w:w="1417" w:type="dxa"/>
            <w:shd w:val="solid" w:color="FFFFFF" w:fill="auto"/>
            <w:tcMar>
              <w:top w:w="113" w:type="dxa"/>
              <w:left w:w="113" w:type="dxa"/>
              <w:bottom w:w="113" w:type="dxa"/>
              <w:right w:w="113" w:type="dxa"/>
            </w:tcMar>
            <w:vAlign w:val="center"/>
          </w:tcPr>
          <w:p w14:paraId="38E43BDF" w14:textId="77777777" w:rsidR="008D6F06" w:rsidRDefault="008D6F06" w:rsidP="008D6F06">
            <w:pPr>
              <w:pStyle w:val="CDIFigure-Table-BodyTextCentre"/>
            </w:pPr>
            <w:r>
              <w:t>37</w:t>
            </w:r>
          </w:p>
        </w:tc>
        <w:tc>
          <w:tcPr>
            <w:tcW w:w="1417" w:type="dxa"/>
            <w:shd w:val="solid" w:color="FFFFFF" w:fill="auto"/>
            <w:tcMar>
              <w:top w:w="113" w:type="dxa"/>
              <w:left w:w="113" w:type="dxa"/>
              <w:bottom w:w="113" w:type="dxa"/>
              <w:right w:w="113" w:type="dxa"/>
            </w:tcMar>
            <w:vAlign w:val="center"/>
          </w:tcPr>
          <w:p w14:paraId="26D9B2F4" w14:textId="77777777" w:rsidR="008D6F06" w:rsidRDefault="008D6F06" w:rsidP="008D6F06">
            <w:pPr>
              <w:pStyle w:val="CDIFigure-Table-BodyTextCentre"/>
            </w:pPr>
            <w:r>
              <w:t>41,710</w:t>
            </w:r>
          </w:p>
        </w:tc>
        <w:tc>
          <w:tcPr>
            <w:tcW w:w="3402" w:type="dxa"/>
            <w:shd w:val="solid" w:color="FFFFFF" w:fill="auto"/>
            <w:tcMar>
              <w:top w:w="113" w:type="dxa"/>
              <w:left w:w="113" w:type="dxa"/>
              <w:bottom w:w="113" w:type="dxa"/>
              <w:right w:w="113" w:type="dxa"/>
            </w:tcMar>
            <w:vAlign w:val="center"/>
          </w:tcPr>
          <w:p w14:paraId="08B3056C" w14:textId="77777777" w:rsidR="008D6F06" w:rsidRDefault="008D6F06" w:rsidP="008D6F06">
            <w:pPr>
              <w:pStyle w:val="CDIFigure-Table-BodyTextCentre"/>
            </w:pPr>
            <w:r>
              <w:t>88.7 (62.5–122.3)</w:t>
            </w:r>
          </w:p>
        </w:tc>
      </w:tr>
      <w:tr w:rsidR="008D6F06" w14:paraId="46B6C50C" w14:textId="77777777" w:rsidTr="002E2ACD">
        <w:trPr>
          <w:divId w:val="935526654"/>
          <w:trHeight w:val="20"/>
        </w:trPr>
        <w:tc>
          <w:tcPr>
            <w:tcW w:w="1417" w:type="dxa"/>
            <w:vMerge/>
            <w:shd w:val="clear" w:color="auto" w:fill="C5FFEF" w:themeFill="background2" w:themeFillTint="33"/>
          </w:tcPr>
          <w:p w14:paraId="7A0A4C6C"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7822C13E" w14:textId="77777777" w:rsidR="008D6F06" w:rsidRDefault="008D6F06" w:rsidP="002E2ACD">
            <w:pPr>
              <w:pStyle w:val="CDIFigure-Table-BodyTextLeft"/>
            </w:pPr>
            <w:proofErr w:type="spellStart"/>
            <w:r>
              <w:t>HepB</w:t>
            </w:r>
            <w:proofErr w:type="spellEnd"/>
          </w:p>
        </w:tc>
        <w:tc>
          <w:tcPr>
            <w:tcW w:w="1417" w:type="dxa"/>
            <w:shd w:val="clear" w:color="auto" w:fill="F2F2F2" w:themeFill="background1" w:themeFillShade="F2"/>
            <w:tcMar>
              <w:top w:w="113" w:type="dxa"/>
              <w:left w:w="113" w:type="dxa"/>
              <w:bottom w:w="113" w:type="dxa"/>
              <w:right w:w="113" w:type="dxa"/>
            </w:tcMar>
            <w:vAlign w:val="center"/>
          </w:tcPr>
          <w:p w14:paraId="685C6B05" w14:textId="77777777" w:rsidR="008D6F06" w:rsidRDefault="008D6F06" w:rsidP="008D6F06">
            <w:pPr>
              <w:pStyle w:val="CDIFigure-Table-BodyTextCentre"/>
            </w:pPr>
            <w:r>
              <w:t>32</w:t>
            </w:r>
          </w:p>
        </w:tc>
        <w:tc>
          <w:tcPr>
            <w:tcW w:w="1417" w:type="dxa"/>
            <w:shd w:val="clear" w:color="auto" w:fill="F2F2F2" w:themeFill="background1" w:themeFillShade="F2"/>
            <w:tcMar>
              <w:top w:w="113" w:type="dxa"/>
              <w:left w:w="113" w:type="dxa"/>
              <w:bottom w:w="113" w:type="dxa"/>
              <w:right w:w="113" w:type="dxa"/>
            </w:tcMar>
            <w:vAlign w:val="center"/>
          </w:tcPr>
          <w:p w14:paraId="3C8296A1" w14:textId="77777777" w:rsidR="008D6F06" w:rsidRDefault="008D6F06" w:rsidP="008D6F06">
            <w:pPr>
              <w:pStyle w:val="CDIFigure-Table-BodyTextCentre"/>
            </w:pPr>
            <w:r>
              <w:t>210,625</w:t>
            </w:r>
          </w:p>
        </w:tc>
        <w:tc>
          <w:tcPr>
            <w:tcW w:w="3402" w:type="dxa"/>
            <w:shd w:val="clear" w:color="auto" w:fill="F2F2F2" w:themeFill="background1" w:themeFillShade="F2"/>
            <w:tcMar>
              <w:top w:w="113" w:type="dxa"/>
              <w:left w:w="113" w:type="dxa"/>
              <w:bottom w:w="113" w:type="dxa"/>
              <w:right w:w="113" w:type="dxa"/>
            </w:tcMar>
            <w:vAlign w:val="center"/>
          </w:tcPr>
          <w:p w14:paraId="78D962F8" w14:textId="77777777" w:rsidR="008D6F06" w:rsidRDefault="008D6F06" w:rsidP="008D6F06">
            <w:pPr>
              <w:pStyle w:val="CDIFigure-Table-BodyTextCentre"/>
            </w:pPr>
            <w:r>
              <w:t>15.2 (10.4–21.4)</w:t>
            </w:r>
          </w:p>
        </w:tc>
      </w:tr>
      <w:tr w:rsidR="008D6F06" w14:paraId="35E177F0" w14:textId="77777777" w:rsidTr="002E2ACD">
        <w:trPr>
          <w:divId w:val="935526654"/>
          <w:trHeight w:val="20"/>
        </w:trPr>
        <w:tc>
          <w:tcPr>
            <w:tcW w:w="1417" w:type="dxa"/>
            <w:vMerge/>
            <w:shd w:val="clear" w:color="auto" w:fill="C5FFEF" w:themeFill="background2" w:themeFillTint="33"/>
          </w:tcPr>
          <w:p w14:paraId="6CB2280F"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09B7CB54" w14:textId="77777777" w:rsidR="008D6F06" w:rsidRDefault="008D6F06" w:rsidP="002E2ACD">
            <w:pPr>
              <w:pStyle w:val="CDIFigure-Table-BodyTextLeft"/>
            </w:pPr>
            <w:r>
              <w:t>MMR</w:t>
            </w:r>
          </w:p>
        </w:tc>
        <w:tc>
          <w:tcPr>
            <w:tcW w:w="1417" w:type="dxa"/>
            <w:shd w:val="solid" w:color="FFFFFF" w:fill="auto"/>
            <w:tcMar>
              <w:top w:w="113" w:type="dxa"/>
              <w:left w:w="113" w:type="dxa"/>
              <w:bottom w:w="113" w:type="dxa"/>
              <w:right w:w="113" w:type="dxa"/>
            </w:tcMar>
            <w:vAlign w:val="center"/>
          </w:tcPr>
          <w:p w14:paraId="6AFFFD00" w14:textId="77777777" w:rsidR="008D6F06" w:rsidRDefault="008D6F06" w:rsidP="008D6F06">
            <w:pPr>
              <w:pStyle w:val="CDIFigure-Table-BodyTextCentre"/>
            </w:pPr>
            <w:r>
              <w:t>26</w:t>
            </w:r>
          </w:p>
        </w:tc>
        <w:tc>
          <w:tcPr>
            <w:tcW w:w="1417" w:type="dxa"/>
            <w:shd w:val="solid" w:color="FFFFFF" w:fill="auto"/>
            <w:tcMar>
              <w:top w:w="113" w:type="dxa"/>
              <w:left w:w="113" w:type="dxa"/>
              <w:bottom w:w="113" w:type="dxa"/>
              <w:right w:w="113" w:type="dxa"/>
            </w:tcMar>
            <w:vAlign w:val="center"/>
          </w:tcPr>
          <w:p w14:paraId="7999DEA2" w14:textId="77777777" w:rsidR="008D6F06" w:rsidRDefault="008D6F06" w:rsidP="008D6F06">
            <w:pPr>
              <w:pStyle w:val="CDIFigure-Table-BodyTextCentre"/>
            </w:pPr>
            <w:r>
              <w:t>89,679</w:t>
            </w:r>
          </w:p>
        </w:tc>
        <w:tc>
          <w:tcPr>
            <w:tcW w:w="3402" w:type="dxa"/>
            <w:shd w:val="solid" w:color="FFFFFF" w:fill="auto"/>
            <w:tcMar>
              <w:top w:w="113" w:type="dxa"/>
              <w:left w:w="113" w:type="dxa"/>
              <w:bottom w:w="113" w:type="dxa"/>
              <w:right w:w="113" w:type="dxa"/>
            </w:tcMar>
            <w:vAlign w:val="center"/>
          </w:tcPr>
          <w:p w14:paraId="1EFEF3F3" w14:textId="77777777" w:rsidR="008D6F06" w:rsidRDefault="008D6F06" w:rsidP="008D6F06">
            <w:pPr>
              <w:pStyle w:val="CDIFigure-Table-BodyTextCentre"/>
            </w:pPr>
            <w:r>
              <w:t>29.0 (18.9–42.5)</w:t>
            </w:r>
          </w:p>
        </w:tc>
      </w:tr>
      <w:tr w:rsidR="008D6F06" w14:paraId="49B7D6C9" w14:textId="77777777" w:rsidTr="002E2ACD">
        <w:trPr>
          <w:divId w:val="935526654"/>
          <w:trHeight w:val="20"/>
        </w:trPr>
        <w:tc>
          <w:tcPr>
            <w:tcW w:w="1417" w:type="dxa"/>
            <w:vMerge/>
            <w:shd w:val="clear" w:color="auto" w:fill="C5FFEF" w:themeFill="background2" w:themeFillTint="33"/>
          </w:tcPr>
          <w:p w14:paraId="25C2F0AE"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4298096B" w14:textId="77777777" w:rsidR="008D6F06" w:rsidRDefault="008D6F06" w:rsidP="002E2ACD">
            <w:pPr>
              <w:pStyle w:val="CDIFigure-Table-BodyTextLeft"/>
            </w:pPr>
            <w:r>
              <w:t>23vPPV</w:t>
            </w:r>
          </w:p>
        </w:tc>
        <w:tc>
          <w:tcPr>
            <w:tcW w:w="1417" w:type="dxa"/>
            <w:shd w:val="clear" w:color="auto" w:fill="F2F2F2" w:themeFill="background1" w:themeFillShade="F2"/>
            <w:tcMar>
              <w:top w:w="113" w:type="dxa"/>
              <w:left w:w="113" w:type="dxa"/>
              <w:bottom w:w="113" w:type="dxa"/>
              <w:right w:w="113" w:type="dxa"/>
            </w:tcMar>
            <w:vAlign w:val="center"/>
          </w:tcPr>
          <w:p w14:paraId="5DAE2F47" w14:textId="77777777" w:rsidR="008D6F06" w:rsidRDefault="008D6F06" w:rsidP="008D6F06">
            <w:pPr>
              <w:pStyle w:val="CDIFigure-Table-BodyTextCentre"/>
            </w:pPr>
            <w:r>
              <w:t>23</w:t>
            </w:r>
          </w:p>
        </w:tc>
        <w:tc>
          <w:tcPr>
            <w:tcW w:w="1417" w:type="dxa"/>
            <w:shd w:val="clear" w:color="auto" w:fill="F2F2F2" w:themeFill="background1" w:themeFillShade="F2"/>
            <w:tcMar>
              <w:top w:w="113" w:type="dxa"/>
              <w:left w:w="113" w:type="dxa"/>
              <w:bottom w:w="113" w:type="dxa"/>
              <w:right w:w="113" w:type="dxa"/>
            </w:tcMar>
            <w:vAlign w:val="center"/>
          </w:tcPr>
          <w:p w14:paraId="7E5895B9" w14:textId="77777777" w:rsidR="008D6F06" w:rsidRDefault="008D6F06" w:rsidP="008D6F06">
            <w:pPr>
              <w:pStyle w:val="CDIFigure-Table-BodyTextCentre"/>
            </w:pPr>
            <w:r>
              <w:t>12,847</w:t>
            </w:r>
          </w:p>
        </w:tc>
        <w:tc>
          <w:tcPr>
            <w:tcW w:w="3402" w:type="dxa"/>
            <w:shd w:val="clear" w:color="auto" w:fill="F2F2F2" w:themeFill="background1" w:themeFillShade="F2"/>
            <w:tcMar>
              <w:top w:w="113" w:type="dxa"/>
              <w:left w:w="113" w:type="dxa"/>
              <w:bottom w:w="113" w:type="dxa"/>
              <w:right w:w="113" w:type="dxa"/>
            </w:tcMar>
            <w:vAlign w:val="center"/>
          </w:tcPr>
          <w:p w14:paraId="2774DFBB" w14:textId="77777777" w:rsidR="008D6F06" w:rsidRDefault="008D6F06" w:rsidP="008D6F06">
            <w:pPr>
              <w:pStyle w:val="CDIFigure-Table-BodyTextCentre"/>
            </w:pPr>
            <w:r>
              <w:t>179.0 (113.5–268.5)</w:t>
            </w:r>
          </w:p>
        </w:tc>
      </w:tr>
      <w:tr w:rsidR="008D6F06" w14:paraId="72EEF504" w14:textId="77777777" w:rsidTr="002E2ACD">
        <w:trPr>
          <w:divId w:val="935526654"/>
          <w:trHeight w:val="20"/>
        </w:trPr>
        <w:tc>
          <w:tcPr>
            <w:tcW w:w="1417" w:type="dxa"/>
            <w:vMerge/>
            <w:shd w:val="clear" w:color="auto" w:fill="C5FFEF" w:themeFill="background2" w:themeFillTint="33"/>
          </w:tcPr>
          <w:p w14:paraId="2CB7AC4C"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1D5999D5" w14:textId="77777777" w:rsidR="008D6F06" w:rsidRDefault="008D6F06" w:rsidP="002E2ACD">
            <w:pPr>
              <w:pStyle w:val="CDIFigure-Table-BodyTextLeft"/>
            </w:pPr>
            <w:r>
              <w:t>HPV</w:t>
            </w:r>
          </w:p>
        </w:tc>
        <w:tc>
          <w:tcPr>
            <w:tcW w:w="1417" w:type="dxa"/>
            <w:shd w:val="solid" w:color="FFFFFF" w:fill="auto"/>
            <w:tcMar>
              <w:top w:w="113" w:type="dxa"/>
              <w:left w:w="113" w:type="dxa"/>
              <w:bottom w:w="113" w:type="dxa"/>
              <w:right w:w="113" w:type="dxa"/>
            </w:tcMar>
            <w:vAlign w:val="center"/>
          </w:tcPr>
          <w:p w14:paraId="116F3907" w14:textId="77777777" w:rsidR="008D6F06" w:rsidRDefault="008D6F06" w:rsidP="008D6F06">
            <w:pPr>
              <w:pStyle w:val="CDIFigure-Table-BodyTextCentre"/>
            </w:pPr>
            <w:r>
              <w:t>21</w:t>
            </w:r>
          </w:p>
        </w:tc>
        <w:tc>
          <w:tcPr>
            <w:tcW w:w="1417" w:type="dxa"/>
            <w:shd w:val="solid" w:color="FFFFFF" w:fill="auto"/>
            <w:tcMar>
              <w:top w:w="113" w:type="dxa"/>
              <w:left w:w="113" w:type="dxa"/>
              <w:bottom w:w="113" w:type="dxa"/>
              <w:right w:w="113" w:type="dxa"/>
            </w:tcMar>
            <w:vAlign w:val="center"/>
          </w:tcPr>
          <w:p w14:paraId="72EB814E" w14:textId="77777777" w:rsidR="008D6F06" w:rsidRDefault="008D6F06" w:rsidP="008D6F06">
            <w:pPr>
              <w:pStyle w:val="CDIFigure-Table-BodyTextCentre"/>
            </w:pPr>
            <w:r>
              <w:t>43,562</w:t>
            </w:r>
          </w:p>
        </w:tc>
        <w:tc>
          <w:tcPr>
            <w:tcW w:w="3402" w:type="dxa"/>
            <w:shd w:val="solid" w:color="FFFFFF" w:fill="auto"/>
            <w:tcMar>
              <w:top w:w="113" w:type="dxa"/>
              <w:left w:w="113" w:type="dxa"/>
              <w:bottom w:w="113" w:type="dxa"/>
              <w:right w:w="113" w:type="dxa"/>
            </w:tcMar>
            <w:vAlign w:val="center"/>
          </w:tcPr>
          <w:p w14:paraId="4FCC7D47" w14:textId="77777777" w:rsidR="008D6F06" w:rsidRDefault="008D6F06" w:rsidP="008D6F06">
            <w:pPr>
              <w:pStyle w:val="CDIFigure-Table-BodyTextCentre"/>
            </w:pPr>
            <w:r>
              <w:t>48.2 (29.8–73.7)</w:t>
            </w:r>
          </w:p>
        </w:tc>
      </w:tr>
      <w:tr w:rsidR="008D6F06" w14:paraId="4786FA76" w14:textId="77777777" w:rsidTr="002E2ACD">
        <w:trPr>
          <w:divId w:val="935526654"/>
          <w:trHeight w:val="20"/>
        </w:trPr>
        <w:tc>
          <w:tcPr>
            <w:tcW w:w="1417" w:type="dxa"/>
            <w:vMerge/>
            <w:shd w:val="clear" w:color="auto" w:fill="C5FFEF" w:themeFill="background2" w:themeFillTint="33"/>
          </w:tcPr>
          <w:p w14:paraId="543A8DB1"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655AA739" w14:textId="77777777" w:rsidR="008D6F06" w:rsidRDefault="008D6F06" w:rsidP="002E2ACD">
            <w:pPr>
              <w:pStyle w:val="CDIFigure-Table-BodyTextLeft"/>
            </w:pPr>
            <w:r>
              <w:t>Zoster (RZV)</w:t>
            </w:r>
          </w:p>
        </w:tc>
        <w:tc>
          <w:tcPr>
            <w:tcW w:w="1417" w:type="dxa"/>
            <w:shd w:val="clear" w:color="auto" w:fill="F2F2F2" w:themeFill="background1" w:themeFillShade="F2"/>
            <w:tcMar>
              <w:top w:w="113" w:type="dxa"/>
              <w:left w:w="113" w:type="dxa"/>
              <w:bottom w:w="113" w:type="dxa"/>
              <w:right w:w="113" w:type="dxa"/>
            </w:tcMar>
            <w:vAlign w:val="center"/>
          </w:tcPr>
          <w:p w14:paraId="61CE336F" w14:textId="77777777" w:rsidR="008D6F06" w:rsidRDefault="008D6F06" w:rsidP="008D6F06">
            <w:pPr>
              <w:pStyle w:val="CDIFigure-Table-BodyTextCentre"/>
            </w:pPr>
            <w:r>
              <w:t>11</w:t>
            </w:r>
          </w:p>
        </w:tc>
        <w:tc>
          <w:tcPr>
            <w:tcW w:w="1417" w:type="dxa"/>
            <w:shd w:val="clear" w:color="auto" w:fill="F2F2F2" w:themeFill="background1" w:themeFillShade="F2"/>
            <w:tcMar>
              <w:top w:w="113" w:type="dxa"/>
              <w:left w:w="113" w:type="dxa"/>
              <w:bottom w:w="113" w:type="dxa"/>
              <w:right w:w="113" w:type="dxa"/>
            </w:tcMar>
            <w:vAlign w:val="center"/>
          </w:tcPr>
          <w:p w14:paraId="3E982196" w14:textId="77777777" w:rsidR="008D6F06" w:rsidRDefault="008D6F06" w:rsidP="008D6F06">
            <w:pPr>
              <w:pStyle w:val="CDIFigure-Table-BodyTextCentre"/>
            </w:pPr>
            <w:r>
              <w:t>5,699</w:t>
            </w:r>
          </w:p>
        </w:tc>
        <w:tc>
          <w:tcPr>
            <w:tcW w:w="3402" w:type="dxa"/>
            <w:shd w:val="clear" w:color="auto" w:fill="F2F2F2" w:themeFill="background1" w:themeFillShade="F2"/>
            <w:tcMar>
              <w:top w:w="113" w:type="dxa"/>
              <w:left w:w="113" w:type="dxa"/>
              <w:bottom w:w="113" w:type="dxa"/>
              <w:right w:w="113" w:type="dxa"/>
            </w:tcMar>
            <w:vAlign w:val="center"/>
          </w:tcPr>
          <w:p w14:paraId="6D4D3F6C" w14:textId="77777777" w:rsidR="008D6F06" w:rsidRDefault="008D6F06" w:rsidP="008D6F06">
            <w:pPr>
              <w:pStyle w:val="CDIFigure-Table-BodyTextCentre"/>
            </w:pPr>
            <w:r>
              <w:t>193.0 (96.4–345.1)</w:t>
            </w:r>
          </w:p>
        </w:tc>
      </w:tr>
      <w:tr w:rsidR="008D6F06" w14:paraId="29A4E6AA" w14:textId="77777777" w:rsidTr="002E2ACD">
        <w:trPr>
          <w:divId w:val="935526654"/>
          <w:trHeight w:val="20"/>
        </w:trPr>
        <w:tc>
          <w:tcPr>
            <w:tcW w:w="1417" w:type="dxa"/>
            <w:vMerge/>
            <w:shd w:val="clear" w:color="auto" w:fill="C5FFEF" w:themeFill="background2" w:themeFillTint="33"/>
          </w:tcPr>
          <w:p w14:paraId="20434DD2"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510D39AB" w14:textId="77777777" w:rsidR="008D6F06" w:rsidRDefault="008D6F06" w:rsidP="002E2ACD">
            <w:pPr>
              <w:pStyle w:val="CDIFigure-Table-BodyTextLeft"/>
            </w:pPr>
            <w:r>
              <w:t>Zoster (ZVL)</w:t>
            </w:r>
          </w:p>
        </w:tc>
        <w:tc>
          <w:tcPr>
            <w:tcW w:w="1417" w:type="dxa"/>
            <w:shd w:val="solid" w:color="FFFFFF" w:fill="auto"/>
            <w:tcMar>
              <w:top w:w="113" w:type="dxa"/>
              <w:left w:w="113" w:type="dxa"/>
              <w:bottom w:w="113" w:type="dxa"/>
              <w:right w:w="113" w:type="dxa"/>
            </w:tcMar>
            <w:vAlign w:val="center"/>
          </w:tcPr>
          <w:p w14:paraId="036A40CC" w14:textId="77777777" w:rsidR="008D6F06" w:rsidRDefault="008D6F06" w:rsidP="008D6F06">
            <w:pPr>
              <w:pStyle w:val="CDIFigure-Table-BodyTextCentre"/>
            </w:pPr>
            <w:r>
              <w:t>9</w:t>
            </w:r>
          </w:p>
        </w:tc>
        <w:tc>
          <w:tcPr>
            <w:tcW w:w="1417" w:type="dxa"/>
            <w:shd w:val="solid" w:color="FFFFFF" w:fill="auto"/>
            <w:tcMar>
              <w:top w:w="113" w:type="dxa"/>
              <w:left w:w="113" w:type="dxa"/>
              <w:bottom w:w="113" w:type="dxa"/>
              <w:right w:w="113" w:type="dxa"/>
            </w:tcMar>
            <w:vAlign w:val="center"/>
          </w:tcPr>
          <w:p w14:paraId="1E448643" w14:textId="77777777" w:rsidR="008D6F06" w:rsidRDefault="008D6F06" w:rsidP="008D6F06">
            <w:pPr>
              <w:pStyle w:val="CDIFigure-Table-BodyTextCentre"/>
            </w:pPr>
            <w:r>
              <w:t>8,091</w:t>
            </w:r>
          </w:p>
        </w:tc>
        <w:tc>
          <w:tcPr>
            <w:tcW w:w="3402" w:type="dxa"/>
            <w:shd w:val="solid" w:color="FFFFFF" w:fill="auto"/>
            <w:tcMar>
              <w:top w:w="113" w:type="dxa"/>
              <w:left w:w="113" w:type="dxa"/>
              <w:bottom w:w="113" w:type="dxa"/>
              <w:right w:w="113" w:type="dxa"/>
            </w:tcMar>
            <w:vAlign w:val="center"/>
          </w:tcPr>
          <w:p w14:paraId="45DF7C00" w14:textId="77777777" w:rsidR="008D6F06" w:rsidRDefault="008D6F06" w:rsidP="008D6F06">
            <w:pPr>
              <w:pStyle w:val="CDIFigure-Table-BodyTextCentre"/>
            </w:pPr>
            <w:r>
              <w:t>111.2 (50.9–211.1)</w:t>
            </w:r>
          </w:p>
        </w:tc>
      </w:tr>
      <w:tr w:rsidR="008D6F06" w14:paraId="3E436BF1"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3631D95B"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316C4A7B" w14:textId="77777777" w:rsidR="008D6F06" w:rsidRDefault="008D6F06" w:rsidP="002E2ACD">
            <w:pPr>
              <w:pStyle w:val="CDIFigure-Table-BodyTextLeft"/>
            </w:pPr>
            <w:r>
              <w:t>MenACWY</w:t>
            </w:r>
          </w:p>
        </w:tc>
        <w:tc>
          <w:tcPr>
            <w:tcW w:w="1417" w:type="dxa"/>
            <w:shd w:val="clear" w:color="auto" w:fill="F2F2F2" w:themeFill="background1" w:themeFillShade="F2"/>
            <w:tcMar>
              <w:top w:w="113" w:type="dxa"/>
              <w:left w:w="113" w:type="dxa"/>
              <w:bottom w:w="113" w:type="dxa"/>
              <w:right w:w="113" w:type="dxa"/>
            </w:tcMar>
            <w:vAlign w:val="center"/>
          </w:tcPr>
          <w:p w14:paraId="22722308" w14:textId="77777777" w:rsidR="008D6F06" w:rsidRDefault="008D6F06" w:rsidP="008D6F06">
            <w:pPr>
              <w:pStyle w:val="CDIFigure-Table-BodyTextCentre"/>
            </w:pPr>
            <w:r>
              <w:t>7</w:t>
            </w:r>
          </w:p>
        </w:tc>
        <w:tc>
          <w:tcPr>
            <w:tcW w:w="1417" w:type="dxa"/>
            <w:shd w:val="clear" w:color="auto" w:fill="F2F2F2" w:themeFill="background1" w:themeFillShade="F2"/>
            <w:tcMar>
              <w:top w:w="113" w:type="dxa"/>
              <w:left w:w="113" w:type="dxa"/>
              <w:bottom w:w="113" w:type="dxa"/>
              <w:right w:w="113" w:type="dxa"/>
            </w:tcMar>
            <w:vAlign w:val="center"/>
          </w:tcPr>
          <w:p w14:paraId="0FB6B54A" w14:textId="77777777" w:rsidR="008D6F06" w:rsidRDefault="008D6F06" w:rsidP="008D6F06">
            <w:pPr>
              <w:pStyle w:val="CDIFigure-Table-BodyTextCentre"/>
            </w:pPr>
            <w:r>
              <w:t>20,278</w:t>
            </w:r>
          </w:p>
        </w:tc>
        <w:tc>
          <w:tcPr>
            <w:tcW w:w="3402" w:type="dxa"/>
            <w:shd w:val="clear" w:color="auto" w:fill="F2F2F2" w:themeFill="background1" w:themeFillShade="F2"/>
            <w:tcMar>
              <w:top w:w="113" w:type="dxa"/>
              <w:left w:w="113" w:type="dxa"/>
              <w:bottom w:w="113" w:type="dxa"/>
              <w:right w:w="113" w:type="dxa"/>
            </w:tcMar>
            <w:vAlign w:val="center"/>
          </w:tcPr>
          <w:p w14:paraId="6F558104" w14:textId="77777777" w:rsidR="008D6F06" w:rsidRDefault="008D6F06" w:rsidP="008D6F06">
            <w:pPr>
              <w:pStyle w:val="CDIFigure-Table-BodyTextCentre"/>
            </w:pPr>
            <w:r>
              <w:t>34.5 (13.9–71.1)</w:t>
            </w:r>
          </w:p>
        </w:tc>
      </w:tr>
      <w:tr w:rsidR="008D6F06" w14:paraId="5582C890"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3B90CF33"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3D69986A" w14:textId="77777777" w:rsidR="008D6F06" w:rsidRDefault="008D6F06" w:rsidP="002E2ACD">
            <w:pPr>
              <w:pStyle w:val="CDIFigure-Table-BodyTextLeft"/>
            </w:pPr>
            <w:r>
              <w:t>13vPCV</w:t>
            </w:r>
          </w:p>
        </w:tc>
        <w:tc>
          <w:tcPr>
            <w:tcW w:w="1417" w:type="dxa"/>
            <w:shd w:val="solid" w:color="FFFFFF" w:fill="auto"/>
            <w:tcMar>
              <w:top w:w="113" w:type="dxa"/>
              <w:left w:w="113" w:type="dxa"/>
              <w:bottom w:w="113" w:type="dxa"/>
              <w:right w:w="113" w:type="dxa"/>
            </w:tcMar>
            <w:vAlign w:val="center"/>
          </w:tcPr>
          <w:p w14:paraId="1708FFE3" w14:textId="77777777" w:rsidR="008D6F06" w:rsidRDefault="008D6F06" w:rsidP="008D6F06">
            <w:pPr>
              <w:pStyle w:val="CDIFigure-Table-BodyTextCentre"/>
            </w:pPr>
            <w:r>
              <w:t>7</w:t>
            </w:r>
          </w:p>
        </w:tc>
        <w:tc>
          <w:tcPr>
            <w:tcW w:w="1417" w:type="dxa"/>
            <w:shd w:val="solid" w:color="FFFFFF" w:fill="auto"/>
            <w:tcMar>
              <w:top w:w="113" w:type="dxa"/>
              <w:left w:w="113" w:type="dxa"/>
              <w:bottom w:w="113" w:type="dxa"/>
              <w:right w:w="113" w:type="dxa"/>
            </w:tcMar>
            <w:vAlign w:val="center"/>
          </w:tcPr>
          <w:p w14:paraId="4F4D7816" w14:textId="77777777" w:rsidR="008D6F06" w:rsidRDefault="008D6F06" w:rsidP="008D6F06">
            <w:pPr>
              <w:pStyle w:val="CDIFigure-Table-BodyTextCentre"/>
            </w:pPr>
            <w:r>
              <w:t>28,879</w:t>
            </w:r>
          </w:p>
        </w:tc>
        <w:tc>
          <w:tcPr>
            <w:tcW w:w="3402" w:type="dxa"/>
            <w:shd w:val="solid" w:color="FFFFFF" w:fill="auto"/>
            <w:tcMar>
              <w:top w:w="113" w:type="dxa"/>
              <w:left w:w="113" w:type="dxa"/>
              <w:bottom w:w="113" w:type="dxa"/>
              <w:right w:w="113" w:type="dxa"/>
            </w:tcMar>
            <w:vAlign w:val="center"/>
          </w:tcPr>
          <w:p w14:paraId="6A04CEEA" w14:textId="77777777" w:rsidR="008D6F06" w:rsidRDefault="008D6F06" w:rsidP="008D6F06">
            <w:pPr>
              <w:pStyle w:val="CDIFigure-Table-BodyTextCentre"/>
            </w:pPr>
            <w:r>
              <w:t>24.2 (9.7–49.9)</w:t>
            </w:r>
          </w:p>
        </w:tc>
      </w:tr>
      <w:tr w:rsidR="008D6F06" w14:paraId="52A4E73C"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15552930"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7F19C6FD" w14:textId="77777777" w:rsidR="008D6F06" w:rsidRDefault="008D6F06" w:rsidP="002E2ACD">
            <w:pPr>
              <w:pStyle w:val="CDIFigure-Table-BodyTextLeft"/>
            </w:pPr>
            <w:r>
              <w:t>MMRV</w:t>
            </w:r>
          </w:p>
        </w:tc>
        <w:tc>
          <w:tcPr>
            <w:tcW w:w="1417" w:type="dxa"/>
            <w:shd w:val="clear" w:color="auto" w:fill="F2F2F2" w:themeFill="background1" w:themeFillShade="F2"/>
            <w:tcMar>
              <w:top w:w="113" w:type="dxa"/>
              <w:left w:w="113" w:type="dxa"/>
              <w:bottom w:w="113" w:type="dxa"/>
              <w:right w:w="113" w:type="dxa"/>
            </w:tcMar>
            <w:vAlign w:val="center"/>
          </w:tcPr>
          <w:p w14:paraId="1AF3CCBA" w14:textId="77777777" w:rsidR="008D6F06" w:rsidRDefault="008D6F06" w:rsidP="008D6F06">
            <w:pPr>
              <w:pStyle w:val="CDIFigure-Table-BodyTextCentre"/>
            </w:pPr>
            <w:r>
              <w:t>6</w:t>
            </w:r>
          </w:p>
        </w:tc>
        <w:tc>
          <w:tcPr>
            <w:tcW w:w="1417" w:type="dxa"/>
            <w:shd w:val="clear" w:color="auto" w:fill="F2F2F2" w:themeFill="background1" w:themeFillShade="F2"/>
            <w:tcMar>
              <w:top w:w="113" w:type="dxa"/>
              <w:left w:w="113" w:type="dxa"/>
              <w:bottom w:w="113" w:type="dxa"/>
              <w:right w:w="113" w:type="dxa"/>
            </w:tcMar>
            <w:vAlign w:val="center"/>
          </w:tcPr>
          <w:p w14:paraId="1601B5F1" w14:textId="77777777" w:rsidR="008D6F06" w:rsidRDefault="008D6F06" w:rsidP="008D6F06">
            <w:pPr>
              <w:pStyle w:val="CDIFigure-Table-BodyTextCentre"/>
            </w:pPr>
            <w:r>
              <w:t>2,160</w:t>
            </w:r>
          </w:p>
        </w:tc>
        <w:tc>
          <w:tcPr>
            <w:tcW w:w="3402" w:type="dxa"/>
            <w:shd w:val="clear" w:color="auto" w:fill="F2F2F2" w:themeFill="background1" w:themeFillShade="F2"/>
            <w:tcMar>
              <w:top w:w="113" w:type="dxa"/>
              <w:left w:w="113" w:type="dxa"/>
              <w:bottom w:w="113" w:type="dxa"/>
              <w:right w:w="113" w:type="dxa"/>
            </w:tcMar>
            <w:vAlign w:val="center"/>
          </w:tcPr>
          <w:p w14:paraId="5AADA522" w14:textId="77777777" w:rsidR="008D6F06" w:rsidRDefault="008D6F06" w:rsidP="008D6F06">
            <w:pPr>
              <w:pStyle w:val="CDIFigure-Table-BodyTextCentre"/>
            </w:pPr>
            <w:r>
              <w:t>277.8 (102.0–603.6)</w:t>
            </w:r>
          </w:p>
        </w:tc>
      </w:tr>
      <w:tr w:rsidR="008D6F06" w14:paraId="415A905F"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1B47D97E"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2E6F7172" w14:textId="77777777" w:rsidR="008D6F06" w:rsidRDefault="008D6F06" w:rsidP="002E2ACD">
            <w:pPr>
              <w:pStyle w:val="CDIFigure-Table-BodyTextLeft"/>
            </w:pPr>
            <w:r>
              <w:t>MenB</w:t>
            </w:r>
          </w:p>
        </w:tc>
        <w:tc>
          <w:tcPr>
            <w:tcW w:w="1417" w:type="dxa"/>
            <w:shd w:val="solid" w:color="FFFFFF" w:fill="auto"/>
            <w:tcMar>
              <w:top w:w="113" w:type="dxa"/>
              <w:left w:w="113" w:type="dxa"/>
              <w:bottom w:w="113" w:type="dxa"/>
              <w:right w:w="113" w:type="dxa"/>
            </w:tcMar>
            <w:vAlign w:val="center"/>
          </w:tcPr>
          <w:p w14:paraId="045FDE83" w14:textId="77777777" w:rsidR="008D6F06" w:rsidRDefault="008D6F06" w:rsidP="008D6F06">
            <w:pPr>
              <w:pStyle w:val="CDIFigure-Table-BodyTextCentre"/>
            </w:pPr>
            <w:r>
              <w:t>5</w:t>
            </w:r>
          </w:p>
        </w:tc>
        <w:tc>
          <w:tcPr>
            <w:tcW w:w="1417" w:type="dxa"/>
            <w:shd w:val="solid" w:color="FFFFFF" w:fill="auto"/>
            <w:tcMar>
              <w:top w:w="113" w:type="dxa"/>
              <w:left w:w="113" w:type="dxa"/>
              <w:bottom w:w="113" w:type="dxa"/>
              <w:right w:w="113" w:type="dxa"/>
            </w:tcMar>
            <w:vAlign w:val="center"/>
          </w:tcPr>
          <w:p w14:paraId="6CE7EEA0" w14:textId="77777777" w:rsidR="008D6F06" w:rsidRDefault="008D6F06" w:rsidP="008D6F06">
            <w:pPr>
              <w:pStyle w:val="CDIFigure-Table-BodyTextCentre"/>
            </w:pPr>
            <w:r>
              <w:t>16,582</w:t>
            </w:r>
          </w:p>
        </w:tc>
        <w:tc>
          <w:tcPr>
            <w:tcW w:w="3402" w:type="dxa"/>
            <w:shd w:val="solid" w:color="FFFFFF" w:fill="auto"/>
            <w:tcMar>
              <w:top w:w="113" w:type="dxa"/>
              <w:left w:w="113" w:type="dxa"/>
              <w:bottom w:w="113" w:type="dxa"/>
              <w:right w:w="113" w:type="dxa"/>
            </w:tcMar>
            <w:vAlign w:val="center"/>
          </w:tcPr>
          <w:p w14:paraId="18BA6252" w14:textId="77777777" w:rsidR="008D6F06" w:rsidRDefault="008D6F06" w:rsidP="008D6F06">
            <w:pPr>
              <w:pStyle w:val="CDIFigure-Table-BodyTextCentre"/>
            </w:pPr>
            <w:r>
              <w:t>30.2 (9.8–70.4)</w:t>
            </w:r>
          </w:p>
        </w:tc>
      </w:tr>
      <w:tr w:rsidR="008D6F06" w14:paraId="3371FFD4"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4A616946"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16107754" w14:textId="77777777" w:rsidR="008D6F06" w:rsidRDefault="008D6F06" w:rsidP="002E2ACD">
            <w:pPr>
              <w:pStyle w:val="CDIFigure-Table-BodyTextLeft"/>
            </w:pPr>
            <w:proofErr w:type="spellStart"/>
            <w:r>
              <w:t>HepA</w:t>
            </w:r>
            <w:proofErr w:type="spellEnd"/>
          </w:p>
        </w:tc>
        <w:tc>
          <w:tcPr>
            <w:tcW w:w="1417" w:type="dxa"/>
            <w:shd w:val="clear" w:color="auto" w:fill="F2F2F2" w:themeFill="background1" w:themeFillShade="F2"/>
            <w:tcMar>
              <w:top w:w="113" w:type="dxa"/>
              <w:left w:w="113" w:type="dxa"/>
              <w:bottom w:w="113" w:type="dxa"/>
              <w:right w:w="113" w:type="dxa"/>
            </w:tcMar>
            <w:vAlign w:val="center"/>
          </w:tcPr>
          <w:p w14:paraId="10BE7D47" w14:textId="77777777" w:rsidR="008D6F06" w:rsidRDefault="008D6F06" w:rsidP="008D6F06">
            <w:pPr>
              <w:pStyle w:val="CDIFigure-Table-BodyTextCentre"/>
            </w:pPr>
            <w:r>
              <w:t>4</w:t>
            </w:r>
          </w:p>
        </w:tc>
        <w:tc>
          <w:tcPr>
            <w:tcW w:w="1417" w:type="dxa"/>
            <w:shd w:val="clear" w:color="auto" w:fill="F2F2F2" w:themeFill="background1" w:themeFillShade="F2"/>
            <w:tcMar>
              <w:top w:w="113" w:type="dxa"/>
              <w:left w:w="113" w:type="dxa"/>
              <w:bottom w:w="113" w:type="dxa"/>
              <w:right w:w="113" w:type="dxa"/>
            </w:tcMar>
            <w:vAlign w:val="center"/>
          </w:tcPr>
          <w:p w14:paraId="76D8C343" w14:textId="77777777" w:rsidR="008D6F06" w:rsidRDefault="008D6F06" w:rsidP="008D6F06">
            <w:pPr>
              <w:pStyle w:val="CDIFigure-Table-BodyTextCentre"/>
            </w:pPr>
            <w:r>
              <w:t>31,853</w:t>
            </w:r>
          </w:p>
        </w:tc>
        <w:tc>
          <w:tcPr>
            <w:tcW w:w="3402" w:type="dxa"/>
            <w:shd w:val="clear" w:color="auto" w:fill="F2F2F2" w:themeFill="background1" w:themeFillShade="F2"/>
            <w:tcMar>
              <w:top w:w="113" w:type="dxa"/>
              <w:left w:w="113" w:type="dxa"/>
              <w:bottom w:w="113" w:type="dxa"/>
              <w:right w:w="113" w:type="dxa"/>
            </w:tcMar>
            <w:vAlign w:val="center"/>
          </w:tcPr>
          <w:p w14:paraId="74C7E390" w14:textId="77777777" w:rsidR="008D6F06" w:rsidRDefault="008D6F06" w:rsidP="008D6F06">
            <w:pPr>
              <w:pStyle w:val="CDIFigure-Table-BodyTextCentre"/>
            </w:pPr>
            <w:r>
              <w:t>12.6 (3.4–32.1)</w:t>
            </w:r>
          </w:p>
        </w:tc>
      </w:tr>
      <w:tr w:rsidR="008D6F06" w14:paraId="4EA692F2"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37702CE0"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65766471" w14:textId="77777777" w:rsidR="008D6F06" w:rsidRDefault="008D6F06" w:rsidP="002E2ACD">
            <w:pPr>
              <w:pStyle w:val="CDIFigure-Table-BodyTextLeft"/>
            </w:pPr>
            <w:proofErr w:type="spellStart"/>
            <w:r>
              <w:t>HepA</w:t>
            </w:r>
            <w:proofErr w:type="spellEnd"/>
            <w:r>
              <w:t xml:space="preserve"> and </w:t>
            </w:r>
            <w:proofErr w:type="spellStart"/>
            <w:r>
              <w:t>HepB</w:t>
            </w:r>
            <w:proofErr w:type="spellEnd"/>
          </w:p>
        </w:tc>
        <w:tc>
          <w:tcPr>
            <w:tcW w:w="1417" w:type="dxa"/>
            <w:shd w:val="solid" w:color="FFFFFF" w:fill="auto"/>
            <w:tcMar>
              <w:top w:w="113" w:type="dxa"/>
              <w:left w:w="113" w:type="dxa"/>
              <w:bottom w:w="113" w:type="dxa"/>
              <w:right w:w="113" w:type="dxa"/>
            </w:tcMar>
            <w:vAlign w:val="center"/>
          </w:tcPr>
          <w:p w14:paraId="09F81F71" w14:textId="77777777" w:rsidR="008D6F06" w:rsidRDefault="008D6F06" w:rsidP="008D6F06">
            <w:pPr>
              <w:pStyle w:val="CDIFigure-Table-BodyTextCentre"/>
            </w:pPr>
            <w:r>
              <w:t>4</w:t>
            </w:r>
          </w:p>
        </w:tc>
        <w:tc>
          <w:tcPr>
            <w:tcW w:w="1417" w:type="dxa"/>
            <w:shd w:val="solid" w:color="FFFFFF" w:fill="auto"/>
            <w:tcMar>
              <w:top w:w="113" w:type="dxa"/>
              <w:left w:w="113" w:type="dxa"/>
              <w:bottom w:w="113" w:type="dxa"/>
              <w:right w:w="113" w:type="dxa"/>
            </w:tcMar>
            <w:vAlign w:val="center"/>
          </w:tcPr>
          <w:p w14:paraId="0EDAE41B" w14:textId="77777777" w:rsidR="008D6F06" w:rsidRDefault="008D6F06" w:rsidP="008D6F06">
            <w:pPr>
              <w:pStyle w:val="CDIFigure-Table-BodyTextCentre"/>
            </w:pPr>
            <w:r>
              <w:t>34,682</w:t>
            </w:r>
          </w:p>
        </w:tc>
        <w:tc>
          <w:tcPr>
            <w:tcW w:w="3402" w:type="dxa"/>
            <w:shd w:val="solid" w:color="FFFFFF" w:fill="auto"/>
            <w:tcMar>
              <w:top w:w="113" w:type="dxa"/>
              <w:left w:w="113" w:type="dxa"/>
              <w:bottom w:w="113" w:type="dxa"/>
              <w:right w:w="113" w:type="dxa"/>
            </w:tcMar>
            <w:vAlign w:val="center"/>
          </w:tcPr>
          <w:p w14:paraId="7E6DA02B" w14:textId="77777777" w:rsidR="008D6F06" w:rsidRDefault="008D6F06" w:rsidP="008D6F06">
            <w:pPr>
              <w:pStyle w:val="CDIFigure-Table-BodyTextCentre"/>
            </w:pPr>
            <w:r>
              <w:t>11.5 (3.1–29.5)</w:t>
            </w:r>
          </w:p>
        </w:tc>
      </w:tr>
      <w:tr w:rsidR="008D6F06" w14:paraId="4C7BE7DF"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67603B88"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71D8C6A4" w14:textId="77777777" w:rsidR="008D6F06" w:rsidRDefault="008D6F06" w:rsidP="002E2ACD">
            <w:pPr>
              <w:pStyle w:val="CDIFigure-Table-BodyTextLeft"/>
            </w:pPr>
            <w:r>
              <w:t>dTpa-IPV</w:t>
            </w:r>
          </w:p>
        </w:tc>
        <w:tc>
          <w:tcPr>
            <w:tcW w:w="1417" w:type="dxa"/>
            <w:shd w:val="clear" w:color="auto" w:fill="F2F2F2" w:themeFill="background1" w:themeFillShade="F2"/>
            <w:tcMar>
              <w:top w:w="113" w:type="dxa"/>
              <w:left w:w="113" w:type="dxa"/>
              <w:bottom w:w="113" w:type="dxa"/>
              <w:right w:w="113" w:type="dxa"/>
            </w:tcMar>
            <w:vAlign w:val="center"/>
          </w:tcPr>
          <w:p w14:paraId="2449738C" w14:textId="77777777" w:rsidR="008D6F06" w:rsidRDefault="008D6F06" w:rsidP="008D6F06">
            <w:pPr>
              <w:pStyle w:val="CDIFigure-Table-BodyTextCentre"/>
            </w:pPr>
            <w:r>
              <w:t>2</w:t>
            </w:r>
          </w:p>
        </w:tc>
        <w:tc>
          <w:tcPr>
            <w:tcW w:w="1417" w:type="dxa"/>
            <w:shd w:val="clear" w:color="auto" w:fill="F2F2F2" w:themeFill="background1" w:themeFillShade="F2"/>
            <w:tcMar>
              <w:top w:w="113" w:type="dxa"/>
              <w:left w:w="113" w:type="dxa"/>
              <w:bottom w:w="113" w:type="dxa"/>
              <w:right w:w="113" w:type="dxa"/>
            </w:tcMar>
            <w:vAlign w:val="center"/>
          </w:tcPr>
          <w:p w14:paraId="30E27FFA" w14:textId="77777777" w:rsidR="008D6F06" w:rsidRDefault="008D6F06" w:rsidP="008D6F06">
            <w:pPr>
              <w:pStyle w:val="CDIFigure-Table-BodyTextCentre"/>
            </w:pPr>
            <w:r>
              <w:t>7,357</w:t>
            </w:r>
          </w:p>
        </w:tc>
        <w:tc>
          <w:tcPr>
            <w:tcW w:w="3402" w:type="dxa"/>
            <w:shd w:val="clear" w:color="auto" w:fill="F2F2F2" w:themeFill="background1" w:themeFillShade="F2"/>
            <w:tcMar>
              <w:top w:w="113" w:type="dxa"/>
              <w:left w:w="113" w:type="dxa"/>
              <w:bottom w:w="113" w:type="dxa"/>
              <w:right w:w="113" w:type="dxa"/>
            </w:tcMar>
            <w:vAlign w:val="center"/>
          </w:tcPr>
          <w:p w14:paraId="7C54638C" w14:textId="77777777" w:rsidR="008D6F06" w:rsidRDefault="008D6F06" w:rsidP="008D6F06">
            <w:pPr>
              <w:pStyle w:val="CDIFigure-Table-BodyTextCentre"/>
            </w:pPr>
            <w:r>
              <w:t>27.2 (3.3–98.2)</w:t>
            </w:r>
          </w:p>
        </w:tc>
      </w:tr>
      <w:tr w:rsidR="008D6F06" w14:paraId="404AD9B5"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487B3326"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39660A2D" w14:textId="77777777" w:rsidR="008D6F06" w:rsidRDefault="008D6F06" w:rsidP="002E2ACD">
            <w:pPr>
              <w:pStyle w:val="CDIFigure-Table-BodyTextLeft"/>
            </w:pPr>
            <w:r>
              <w:t>Rabies</w:t>
            </w:r>
          </w:p>
        </w:tc>
        <w:tc>
          <w:tcPr>
            <w:tcW w:w="1417" w:type="dxa"/>
            <w:shd w:val="solid" w:color="FFFFFF" w:fill="auto"/>
            <w:tcMar>
              <w:top w:w="113" w:type="dxa"/>
              <w:left w:w="113" w:type="dxa"/>
              <w:bottom w:w="113" w:type="dxa"/>
              <w:right w:w="113" w:type="dxa"/>
            </w:tcMar>
            <w:vAlign w:val="center"/>
          </w:tcPr>
          <w:p w14:paraId="1AA1443B" w14:textId="77777777" w:rsidR="008D6F06" w:rsidRDefault="008D6F06" w:rsidP="008D6F06">
            <w:pPr>
              <w:pStyle w:val="CDIFigure-Table-BodyTextCentre"/>
            </w:pPr>
            <w:r>
              <w:t>2</w:t>
            </w:r>
          </w:p>
        </w:tc>
        <w:tc>
          <w:tcPr>
            <w:tcW w:w="1417" w:type="dxa"/>
            <w:shd w:val="solid" w:color="FFFFFF" w:fill="auto"/>
            <w:tcMar>
              <w:top w:w="113" w:type="dxa"/>
              <w:left w:w="113" w:type="dxa"/>
              <w:bottom w:w="113" w:type="dxa"/>
              <w:right w:w="113" w:type="dxa"/>
            </w:tcMar>
            <w:vAlign w:val="center"/>
          </w:tcPr>
          <w:p w14:paraId="37C343C8" w14:textId="77777777" w:rsidR="008D6F06" w:rsidRDefault="008D6F06" w:rsidP="008D6F06">
            <w:pPr>
              <w:pStyle w:val="CDIFigure-Table-BodyTextCentre"/>
            </w:pPr>
            <w:r>
              <w:t>6,800</w:t>
            </w:r>
          </w:p>
        </w:tc>
        <w:tc>
          <w:tcPr>
            <w:tcW w:w="3402" w:type="dxa"/>
            <w:shd w:val="solid" w:color="FFFFFF" w:fill="auto"/>
            <w:tcMar>
              <w:top w:w="113" w:type="dxa"/>
              <w:left w:w="113" w:type="dxa"/>
              <w:bottom w:w="113" w:type="dxa"/>
              <w:right w:w="113" w:type="dxa"/>
            </w:tcMar>
            <w:vAlign w:val="center"/>
          </w:tcPr>
          <w:p w14:paraId="590C19E9" w14:textId="77777777" w:rsidR="008D6F06" w:rsidRDefault="008D6F06" w:rsidP="008D6F06">
            <w:pPr>
              <w:pStyle w:val="CDIFigure-Table-BodyTextCentre"/>
            </w:pPr>
            <w:r>
              <w:t>29.4 (3.6–106.2)</w:t>
            </w:r>
          </w:p>
        </w:tc>
      </w:tr>
      <w:tr w:rsidR="008D6F06" w14:paraId="028145D3"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128EDB55"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0D8118E9" w14:textId="77777777" w:rsidR="008D6F06" w:rsidRDefault="008D6F06" w:rsidP="002E2ACD">
            <w:pPr>
              <w:pStyle w:val="CDIFigure-Table-BodyTextLeft"/>
            </w:pPr>
            <w:r>
              <w:t xml:space="preserve">Typhoid and </w:t>
            </w:r>
            <w:proofErr w:type="spellStart"/>
            <w:r>
              <w:t>HepA</w:t>
            </w:r>
            <w:proofErr w:type="spellEnd"/>
          </w:p>
        </w:tc>
        <w:tc>
          <w:tcPr>
            <w:tcW w:w="1417" w:type="dxa"/>
            <w:shd w:val="clear" w:color="auto" w:fill="F2F2F2" w:themeFill="background1" w:themeFillShade="F2"/>
            <w:tcMar>
              <w:top w:w="113" w:type="dxa"/>
              <w:left w:w="113" w:type="dxa"/>
              <w:bottom w:w="113" w:type="dxa"/>
              <w:right w:w="113" w:type="dxa"/>
            </w:tcMar>
            <w:vAlign w:val="center"/>
          </w:tcPr>
          <w:p w14:paraId="2CA54BA2" w14:textId="77777777" w:rsidR="008D6F06" w:rsidRDefault="008D6F06" w:rsidP="008D6F06">
            <w:pPr>
              <w:pStyle w:val="CDIFigure-Table-BodyTextCentre"/>
            </w:pPr>
            <w:r>
              <w:t>2</w:t>
            </w:r>
          </w:p>
        </w:tc>
        <w:tc>
          <w:tcPr>
            <w:tcW w:w="1417" w:type="dxa"/>
            <w:shd w:val="clear" w:color="auto" w:fill="F2F2F2" w:themeFill="background1" w:themeFillShade="F2"/>
            <w:tcMar>
              <w:top w:w="113" w:type="dxa"/>
              <w:left w:w="113" w:type="dxa"/>
              <w:bottom w:w="113" w:type="dxa"/>
              <w:right w:w="113" w:type="dxa"/>
            </w:tcMar>
            <w:vAlign w:val="center"/>
          </w:tcPr>
          <w:p w14:paraId="5C53470A" w14:textId="77777777" w:rsidR="008D6F06" w:rsidRDefault="008D6F06" w:rsidP="008D6F06">
            <w:pPr>
              <w:pStyle w:val="CDIFigure-Table-BodyTextCentre"/>
            </w:pPr>
            <w:r>
              <w:t>3,868</w:t>
            </w:r>
          </w:p>
        </w:tc>
        <w:tc>
          <w:tcPr>
            <w:tcW w:w="3402" w:type="dxa"/>
            <w:shd w:val="clear" w:color="auto" w:fill="F2F2F2" w:themeFill="background1" w:themeFillShade="F2"/>
            <w:tcMar>
              <w:top w:w="113" w:type="dxa"/>
              <w:left w:w="113" w:type="dxa"/>
              <w:bottom w:w="113" w:type="dxa"/>
              <w:right w:w="113" w:type="dxa"/>
            </w:tcMar>
            <w:vAlign w:val="center"/>
          </w:tcPr>
          <w:p w14:paraId="01D92586" w14:textId="77777777" w:rsidR="008D6F06" w:rsidRDefault="008D6F06" w:rsidP="008D6F06">
            <w:pPr>
              <w:pStyle w:val="CDIFigure-Table-BodyTextCentre"/>
            </w:pPr>
            <w:r>
              <w:t>51.7 (6.3–186.7)</w:t>
            </w:r>
          </w:p>
        </w:tc>
      </w:tr>
      <w:tr w:rsidR="008D6F06" w14:paraId="21C3B4D2"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34604F5A" w14:textId="77777777" w:rsidR="008D6F06" w:rsidRDefault="008D6F06" w:rsidP="002E2ACD">
            <w:pPr>
              <w:pStyle w:val="CDIFigure-Table-BodyTextLeft"/>
            </w:pPr>
          </w:p>
        </w:tc>
        <w:tc>
          <w:tcPr>
            <w:tcW w:w="1985" w:type="dxa"/>
            <w:shd w:val="solid" w:color="FFFFFF" w:fill="auto"/>
            <w:tcMar>
              <w:top w:w="113" w:type="dxa"/>
              <w:left w:w="113" w:type="dxa"/>
              <w:bottom w:w="113" w:type="dxa"/>
              <w:right w:w="113" w:type="dxa"/>
            </w:tcMar>
            <w:vAlign w:val="center"/>
          </w:tcPr>
          <w:p w14:paraId="6DD0F3CC" w14:textId="77777777" w:rsidR="008D6F06" w:rsidRDefault="008D6F06" w:rsidP="002E2ACD">
            <w:pPr>
              <w:pStyle w:val="CDIFigure-Table-BodyTextLeft"/>
            </w:pPr>
            <w:r>
              <w:t>Yellow fever</w:t>
            </w:r>
          </w:p>
        </w:tc>
        <w:tc>
          <w:tcPr>
            <w:tcW w:w="1417" w:type="dxa"/>
            <w:shd w:val="solid" w:color="FFFFFF" w:fill="auto"/>
            <w:tcMar>
              <w:top w:w="113" w:type="dxa"/>
              <w:left w:w="113" w:type="dxa"/>
              <w:bottom w:w="113" w:type="dxa"/>
              <w:right w:w="113" w:type="dxa"/>
            </w:tcMar>
            <w:vAlign w:val="center"/>
          </w:tcPr>
          <w:p w14:paraId="0425D5F2" w14:textId="77777777" w:rsidR="008D6F06" w:rsidRDefault="008D6F06" w:rsidP="008D6F06">
            <w:pPr>
              <w:pStyle w:val="CDIFigure-Table-BodyTextCentre"/>
            </w:pPr>
            <w:r>
              <w:t>2</w:t>
            </w:r>
          </w:p>
        </w:tc>
        <w:tc>
          <w:tcPr>
            <w:tcW w:w="1417" w:type="dxa"/>
            <w:shd w:val="solid" w:color="FFFFFF" w:fill="auto"/>
            <w:tcMar>
              <w:top w:w="113" w:type="dxa"/>
              <w:left w:w="113" w:type="dxa"/>
              <w:bottom w:w="113" w:type="dxa"/>
              <w:right w:w="113" w:type="dxa"/>
            </w:tcMar>
            <w:vAlign w:val="center"/>
          </w:tcPr>
          <w:p w14:paraId="3A8D49B4" w14:textId="77777777" w:rsidR="008D6F06" w:rsidRDefault="008D6F06" w:rsidP="008D6F06">
            <w:pPr>
              <w:pStyle w:val="CDIFigure-Table-BodyTextCentre"/>
            </w:pPr>
            <w:r>
              <w:t>2,453</w:t>
            </w:r>
          </w:p>
        </w:tc>
        <w:tc>
          <w:tcPr>
            <w:tcW w:w="3402" w:type="dxa"/>
            <w:shd w:val="solid" w:color="FFFFFF" w:fill="auto"/>
            <w:tcMar>
              <w:top w:w="113" w:type="dxa"/>
              <w:left w:w="113" w:type="dxa"/>
              <w:bottom w:w="113" w:type="dxa"/>
              <w:right w:w="113" w:type="dxa"/>
            </w:tcMar>
            <w:vAlign w:val="center"/>
          </w:tcPr>
          <w:p w14:paraId="59515F59" w14:textId="77777777" w:rsidR="008D6F06" w:rsidRDefault="008D6F06" w:rsidP="008D6F06">
            <w:pPr>
              <w:pStyle w:val="CDIFigure-Table-BodyTextCentre"/>
            </w:pPr>
            <w:r>
              <w:t>81.5 (9.9–294.2)</w:t>
            </w:r>
          </w:p>
        </w:tc>
      </w:tr>
      <w:tr w:rsidR="008D6F06" w14:paraId="36741B25" w14:textId="77777777" w:rsidTr="002E2ACD">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6BFCADCF" w14:textId="77777777" w:rsidR="008D6F06" w:rsidRDefault="008D6F06" w:rsidP="002E2ACD">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57A4D004" w14:textId="77777777" w:rsidR="008D6F06" w:rsidRDefault="008D6F06" w:rsidP="002E2ACD">
            <w:pPr>
              <w:pStyle w:val="CDIFigure-Table-BodyTextLeft"/>
            </w:pPr>
            <w:r>
              <w:t>Japanese encephalitis</w:t>
            </w:r>
          </w:p>
        </w:tc>
        <w:tc>
          <w:tcPr>
            <w:tcW w:w="1417" w:type="dxa"/>
            <w:shd w:val="clear" w:color="auto" w:fill="F2F2F2" w:themeFill="background1" w:themeFillShade="F2"/>
            <w:tcMar>
              <w:top w:w="113" w:type="dxa"/>
              <w:left w:w="113" w:type="dxa"/>
              <w:bottom w:w="113" w:type="dxa"/>
              <w:right w:w="113" w:type="dxa"/>
            </w:tcMar>
            <w:vAlign w:val="center"/>
          </w:tcPr>
          <w:p w14:paraId="68CCFFFE" w14:textId="77777777" w:rsidR="008D6F06" w:rsidRDefault="008D6F06" w:rsidP="008D6F06">
            <w:pPr>
              <w:pStyle w:val="CDIFigure-Table-BodyTextCentre"/>
            </w:pPr>
            <w:r>
              <w:t>1</w:t>
            </w:r>
          </w:p>
        </w:tc>
        <w:tc>
          <w:tcPr>
            <w:tcW w:w="1417" w:type="dxa"/>
            <w:shd w:val="clear" w:color="auto" w:fill="F2F2F2" w:themeFill="background1" w:themeFillShade="F2"/>
            <w:tcMar>
              <w:top w:w="113" w:type="dxa"/>
              <w:left w:w="113" w:type="dxa"/>
              <w:bottom w:w="113" w:type="dxa"/>
              <w:right w:w="113" w:type="dxa"/>
            </w:tcMar>
            <w:vAlign w:val="center"/>
          </w:tcPr>
          <w:p w14:paraId="1B85AB9C" w14:textId="77777777" w:rsidR="008D6F06" w:rsidRDefault="008D6F06" w:rsidP="008D6F06">
            <w:pPr>
              <w:pStyle w:val="CDIFigure-Table-BodyTextCentre"/>
            </w:pPr>
            <w:r>
              <w:t>4,251</w:t>
            </w:r>
          </w:p>
        </w:tc>
        <w:tc>
          <w:tcPr>
            <w:tcW w:w="3402" w:type="dxa"/>
            <w:shd w:val="clear" w:color="auto" w:fill="F2F2F2" w:themeFill="background1" w:themeFillShade="F2"/>
            <w:tcMar>
              <w:top w:w="113" w:type="dxa"/>
              <w:left w:w="113" w:type="dxa"/>
              <w:bottom w:w="113" w:type="dxa"/>
              <w:right w:w="113" w:type="dxa"/>
            </w:tcMar>
            <w:vAlign w:val="center"/>
          </w:tcPr>
          <w:p w14:paraId="72154E92" w14:textId="77777777" w:rsidR="008D6F06" w:rsidRDefault="008D6F06" w:rsidP="008D6F06">
            <w:pPr>
              <w:pStyle w:val="CDIFigure-Table-BodyTextCentre"/>
            </w:pPr>
            <w:r>
              <w:t>23.5 (0.6–131.0)</w:t>
            </w:r>
          </w:p>
        </w:tc>
      </w:tr>
      <w:tr w:rsidR="008D6F06" w14:paraId="39DF5374" w14:textId="77777777" w:rsidTr="002E2ACD">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F4227B2" w14:textId="77777777" w:rsidR="008D6F06" w:rsidRDefault="008D6F06" w:rsidP="002E2ACD">
            <w:pPr>
              <w:pStyle w:val="CDIFigure-Table-BodyTextLeft"/>
            </w:pPr>
          </w:p>
        </w:tc>
        <w:tc>
          <w:tcPr>
            <w:tcW w:w="1985" w:type="dxa"/>
            <w:tcBorders>
              <w:bottom w:val="single" w:sz="4" w:space="0" w:color="033636" w:themeColor="text2"/>
            </w:tcBorders>
            <w:shd w:val="solid" w:color="FFFFFF" w:fill="auto"/>
            <w:tcMar>
              <w:top w:w="113" w:type="dxa"/>
              <w:left w:w="113" w:type="dxa"/>
              <w:bottom w:w="113" w:type="dxa"/>
              <w:right w:w="113" w:type="dxa"/>
            </w:tcMar>
            <w:vAlign w:val="center"/>
          </w:tcPr>
          <w:p w14:paraId="47F9958E" w14:textId="77777777" w:rsidR="008D6F06" w:rsidRDefault="008D6F06" w:rsidP="002E2ACD">
            <w:pPr>
              <w:pStyle w:val="CDIFigure-Table-BodyTextLeft"/>
            </w:pPr>
            <w:r>
              <w:t>Typhoid</w:t>
            </w:r>
          </w:p>
        </w:tc>
        <w:tc>
          <w:tcPr>
            <w:tcW w:w="1417" w:type="dxa"/>
            <w:tcBorders>
              <w:bottom w:val="single" w:sz="4" w:space="0" w:color="033636" w:themeColor="text2"/>
            </w:tcBorders>
            <w:shd w:val="solid" w:color="FFFFFF" w:fill="auto"/>
            <w:tcMar>
              <w:top w:w="113" w:type="dxa"/>
              <w:left w:w="113" w:type="dxa"/>
              <w:bottom w:w="113" w:type="dxa"/>
              <w:right w:w="113" w:type="dxa"/>
            </w:tcMar>
            <w:vAlign w:val="center"/>
          </w:tcPr>
          <w:p w14:paraId="4CEB43C6" w14:textId="77777777" w:rsidR="008D6F06" w:rsidRDefault="008D6F06" w:rsidP="008D6F06">
            <w:pPr>
              <w:pStyle w:val="CDIFigure-Table-BodyTextCentre"/>
            </w:pPr>
            <w:r>
              <w:t>1</w:t>
            </w:r>
          </w:p>
        </w:tc>
        <w:tc>
          <w:tcPr>
            <w:tcW w:w="1417" w:type="dxa"/>
            <w:tcBorders>
              <w:bottom w:val="single" w:sz="4" w:space="0" w:color="033636" w:themeColor="text2"/>
            </w:tcBorders>
            <w:shd w:val="solid" w:color="FFFFFF" w:fill="auto"/>
            <w:tcMar>
              <w:top w:w="113" w:type="dxa"/>
              <w:left w:w="113" w:type="dxa"/>
              <w:bottom w:w="113" w:type="dxa"/>
              <w:right w:w="113" w:type="dxa"/>
            </w:tcMar>
            <w:vAlign w:val="center"/>
          </w:tcPr>
          <w:p w14:paraId="7893DEF0" w14:textId="77777777" w:rsidR="008D6F06" w:rsidRDefault="008D6F06" w:rsidP="008D6F06">
            <w:pPr>
              <w:pStyle w:val="CDIFigure-Table-BodyTextCentre"/>
            </w:pPr>
            <w:r>
              <w:t>10,135</w:t>
            </w:r>
          </w:p>
        </w:tc>
        <w:tc>
          <w:tcPr>
            <w:tcW w:w="3402" w:type="dxa"/>
            <w:tcBorders>
              <w:bottom w:val="single" w:sz="4" w:space="0" w:color="033636" w:themeColor="text2"/>
            </w:tcBorders>
            <w:shd w:val="solid" w:color="FFFFFF" w:fill="auto"/>
            <w:tcMar>
              <w:top w:w="113" w:type="dxa"/>
              <w:left w:w="113" w:type="dxa"/>
              <w:bottom w:w="113" w:type="dxa"/>
              <w:right w:w="113" w:type="dxa"/>
            </w:tcMar>
            <w:vAlign w:val="center"/>
          </w:tcPr>
          <w:p w14:paraId="5BDC9F7D" w14:textId="77777777" w:rsidR="008D6F06" w:rsidRDefault="008D6F06" w:rsidP="008D6F06">
            <w:pPr>
              <w:pStyle w:val="CDIFigure-Table-BodyTextCentre"/>
            </w:pPr>
            <w:r>
              <w:t>9.9 (0.2–55.0)</w:t>
            </w:r>
          </w:p>
        </w:tc>
      </w:tr>
      <w:tr w:rsidR="00B16C0A" w14:paraId="5E669C9C" w14:textId="77777777" w:rsidTr="002E2ACD">
        <w:trPr>
          <w:divId w:val="935526654"/>
          <w:trHeight w:val="20"/>
        </w:trPr>
        <w:tc>
          <w:tcPr>
            <w:tcW w:w="1417"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7916933" w14:textId="77777777" w:rsidR="008D6F06" w:rsidRDefault="008D6F06" w:rsidP="002E2ACD">
            <w:pPr>
              <w:pStyle w:val="CDIFigure-Table-BodyTextLeft"/>
            </w:pPr>
            <w:r>
              <w:t>≥ 65 years</w:t>
            </w:r>
          </w:p>
        </w:tc>
        <w:tc>
          <w:tcPr>
            <w:tcW w:w="198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07D9E1F" w14:textId="77777777" w:rsidR="008D6F06" w:rsidRDefault="008D6F06" w:rsidP="002E2ACD">
            <w:pPr>
              <w:pStyle w:val="CDIFigure-Table-BodyTextLeft"/>
            </w:pPr>
            <w:r>
              <w:t>Influenza (</w:t>
            </w:r>
            <w:proofErr w:type="spellStart"/>
            <w:r>
              <w:t>hd</w:t>
            </w:r>
            <w:proofErr w:type="spellEnd"/>
            <w:r>
              <w:t>/a)</w:t>
            </w:r>
          </w:p>
        </w:tc>
        <w:tc>
          <w:tcPr>
            <w:tcW w:w="141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E27E7DF" w14:textId="77777777" w:rsidR="008D6F06" w:rsidRDefault="008D6F06" w:rsidP="008D6F06">
            <w:pPr>
              <w:pStyle w:val="CDIFigure-Table-BodyTextCentre"/>
            </w:pPr>
            <w:r>
              <w:t>164</w:t>
            </w:r>
          </w:p>
        </w:tc>
        <w:tc>
          <w:tcPr>
            <w:tcW w:w="141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F74355" w14:textId="77777777" w:rsidR="008D6F06" w:rsidRDefault="008D6F06" w:rsidP="008D6F06">
            <w:pPr>
              <w:pStyle w:val="CDIFigure-Table-BodyTextCentre"/>
            </w:pPr>
            <w:r>
              <w:t>2,871,155</w:t>
            </w:r>
          </w:p>
        </w:tc>
        <w:tc>
          <w:tcPr>
            <w:tcW w:w="3402"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DEEE3F" w14:textId="77777777" w:rsidR="008D6F06" w:rsidRDefault="008D6F06" w:rsidP="008D6F06">
            <w:pPr>
              <w:pStyle w:val="CDIFigure-Table-BodyTextCentre"/>
            </w:pPr>
            <w:r>
              <w:t>5.7 (4.9–6.7)</w:t>
            </w:r>
          </w:p>
        </w:tc>
      </w:tr>
      <w:tr w:rsidR="008D6F06" w14:paraId="7C032FF5" w14:textId="77777777" w:rsidTr="002E2ACD">
        <w:trPr>
          <w:divId w:val="935526654"/>
          <w:trHeight w:val="20"/>
        </w:trPr>
        <w:tc>
          <w:tcPr>
            <w:tcW w:w="1417" w:type="dxa"/>
            <w:vMerge/>
            <w:shd w:val="clear" w:color="auto" w:fill="C5FFEF" w:themeFill="background2" w:themeFillTint="33"/>
          </w:tcPr>
          <w:p w14:paraId="2192EF94" w14:textId="77777777" w:rsidR="008D6F06" w:rsidRDefault="008D6F06" w:rsidP="008D6F06">
            <w:pPr>
              <w:pStyle w:val="CDIFigure-Table-BodyTextCentre"/>
              <w:rPr>
                <w:lang w:val="en-AU"/>
              </w:rPr>
            </w:pPr>
          </w:p>
        </w:tc>
        <w:tc>
          <w:tcPr>
            <w:tcW w:w="1985" w:type="dxa"/>
            <w:shd w:val="solid" w:color="FFFFFF" w:fill="auto"/>
            <w:tcMar>
              <w:top w:w="113" w:type="dxa"/>
              <w:left w:w="113" w:type="dxa"/>
              <w:bottom w:w="113" w:type="dxa"/>
              <w:right w:w="113" w:type="dxa"/>
            </w:tcMar>
            <w:vAlign w:val="center"/>
          </w:tcPr>
          <w:p w14:paraId="1CFDD19E" w14:textId="77777777" w:rsidR="008D6F06" w:rsidRDefault="008D6F06" w:rsidP="002E2ACD">
            <w:pPr>
              <w:pStyle w:val="CDIFigure-Table-BodyTextLeft"/>
            </w:pPr>
            <w:r>
              <w:t>13vPCV</w:t>
            </w:r>
          </w:p>
        </w:tc>
        <w:tc>
          <w:tcPr>
            <w:tcW w:w="1417" w:type="dxa"/>
            <w:shd w:val="solid" w:color="FFFFFF" w:fill="auto"/>
            <w:tcMar>
              <w:top w:w="113" w:type="dxa"/>
              <w:left w:w="113" w:type="dxa"/>
              <w:bottom w:w="113" w:type="dxa"/>
              <w:right w:w="113" w:type="dxa"/>
            </w:tcMar>
            <w:vAlign w:val="center"/>
          </w:tcPr>
          <w:p w14:paraId="505F4D80" w14:textId="77777777" w:rsidR="008D6F06" w:rsidRDefault="008D6F06" w:rsidP="008D6F06">
            <w:pPr>
              <w:pStyle w:val="CDIFigure-Table-BodyTextCentre"/>
            </w:pPr>
            <w:r>
              <w:t>144</w:t>
            </w:r>
          </w:p>
        </w:tc>
        <w:tc>
          <w:tcPr>
            <w:tcW w:w="1417" w:type="dxa"/>
            <w:shd w:val="solid" w:color="FFFFFF" w:fill="auto"/>
            <w:tcMar>
              <w:top w:w="113" w:type="dxa"/>
              <w:left w:w="113" w:type="dxa"/>
              <w:bottom w:w="113" w:type="dxa"/>
              <w:right w:w="113" w:type="dxa"/>
            </w:tcMar>
            <w:vAlign w:val="center"/>
          </w:tcPr>
          <w:p w14:paraId="732CFCB1" w14:textId="77777777" w:rsidR="008D6F06" w:rsidRDefault="008D6F06" w:rsidP="008D6F06">
            <w:pPr>
              <w:pStyle w:val="CDIFigure-Table-BodyTextCentre"/>
            </w:pPr>
            <w:r>
              <w:t>414,672</w:t>
            </w:r>
          </w:p>
        </w:tc>
        <w:tc>
          <w:tcPr>
            <w:tcW w:w="3402" w:type="dxa"/>
            <w:shd w:val="solid" w:color="FFFFFF" w:fill="auto"/>
            <w:tcMar>
              <w:top w:w="113" w:type="dxa"/>
              <w:left w:w="113" w:type="dxa"/>
              <w:bottom w:w="113" w:type="dxa"/>
              <w:right w:w="113" w:type="dxa"/>
            </w:tcMar>
            <w:vAlign w:val="center"/>
          </w:tcPr>
          <w:p w14:paraId="1FE7004C" w14:textId="77777777" w:rsidR="008D6F06" w:rsidRDefault="008D6F06" w:rsidP="008D6F06">
            <w:pPr>
              <w:pStyle w:val="CDIFigure-Table-BodyTextCentre"/>
            </w:pPr>
            <w:r>
              <w:t>34.7 (29.3–40.9)</w:t>
            </w:r>
          </w:p>
        </w:tc>
      </w:tr>
      <w:tr w:rsidR="008D6F06" w14:paraId="7D7B2269" w14:textId="77777777" w:rsidTr="002E2ACD">
        <w:trPr>
          <w:divId w:val="935526654"/>
          <w:trHeight w:val="20"/>
        </w:trPr>
        <w:tc>
          <w:tcPr>
            <w:tcW w:w="1417" w:type="dxa"/>
            <w:vMerge/>
            <w:shd w:val="clear" w:color="auto" w:fill="C5FFEF" w:themeFill="background2" w:themeFillTint="33"/>
          </w:tcPr>
          <w:p w14:paraId="2153CDBB" w14:textId="77777777" w:rsidR="008D6F06" w:rsidRDefault="008D6F06" w:rsidP="008D6F06">
            <w:pPr>
              <w:pStyle w:val="CDIFigure-Table-BodyTextCentre"/>
              <w:rPr>
                <w:lang w:val="en-AU"/>
              </w:rPr>
            </w:pPr>
          </w:p>
        </w:tc>
        <w:tc>
          <w:tcPr>
            <w:tcW w:w="1985" w:type="dxa"/>
            <w:shd w:val="clear" w:color="auto" w:fill="F2F2F2" w:themeFill="background1" w:themeFillShade="F2"/>
            <w:tcMar>
              <w:top w:w="113" w:type="dxa"/>
              <w:left w:w="113" w:type="dxa"/>
              <w:bottom w:w="113" w:type="dxa"/>
              <w:right w:w="113" w:type="dxa"/>
            </w:tcMar>
            <w:vAlign w:val="center"/>
          </w:tcPr>
          <w:p w14:paraId="27083F00" w14:textId="77777777" w:rsidR="008D6F06" w:rsidRDefault="008D6F06" w:rsidP="002E2ACD">
            <w:pPr>
              <w:pStyle w:val="CDIFigure-Table-BodyTextLeft"/>
            </w:pPr>
            <w:r>
              <w:t>Zoster (ZVL)</w:t>
            </w:r>
          </w:p>
        </w:tc>
        <w:tc>
          <w:tcPr>
            <w:tcW w:w="1417" w:type="dxa"/>
            <w:shd w:val="clear" w:color="auto" w:fill="F2F2F2" w:themeFill="background1" w:themeFillShade="F2"/>
            <w:tcMar>
              <w:top w:w="113" w:type="dxa"/>
              <w:left w:w="113" w:type="dxa"/>
              <w:bottom w:w="113" w:type="dxa"/>
              <w:right w:w="113" w:type="dxa"/>
            </w:tcMar>
            <w:vAlign w:val="center"/>
          </w:tcPr>
          <w:p w14:paraId="0265A218" w14:textId="77777777" w:rsidR="008D6F06" w:rsidRDefault="008D6F06" w:rsidP="008D6F06">
            <w:pPr>
              <w:pStyle w:val="CDIFigure-Table-BodyTextCentre"/>
            </w:pPr>
            <w:r>
              <w:t>96</w:t>
            </w:r>
          </w:p>
        </w:tc>
        <w:tc>
          <w:tcPr>
            <w:tcW w:w="1417" w:type="dxa"/>
            <w:shd w:val="clear" w:color="auto" w:fill="F2F2F2" w:themeFill="background1" w:themeFillShade="F2"/>
            <w:tcMar>
              <w:top w:w="113" w:type="dxa"/>
              <w:left w:w="113" w:type="dxa"/>
              <w:bottom w:w="113" w:type="dxa"/>
              <w:right w:w="113" w:type="dxa"/>
            </w:tcMar>
            <w:vAlign w:val="center"/>
          </w:tcPr>
          <w:p w14:paraId="100823F3" w14:textId="77777777" w:rsidR="008D6F06" w:rsidRDefault="008D6F06" w:rsidP="008D6F06">
            <w:pPr>
              <w:pStyle w:val="CDIFigure-Table-BodyTextCentre"/>
            </w:pPr>
            <w:r>
              <w:t>177,269</w:t>
            </w:r>
          </w:p>
        </w:tc>
        <w:tc>
          <w:tcPr>
            <w:tcW w:w="3402" w:type="dxa"/>
            <w:shd w:val="clear" w:color="auto" w:fill="F2F2F2" w:themeFill="background1" w:themeFillShade="F2"/>
            <w:tcMar>
              <w:top w:w="113" w:type="dxa"/>
              <w:left w:w="113" w:type="dxa"/>
              <w:bottom w:w="113" w:type="dxa"/>
              <w:right w:w="113" w:type="dxa"/>
            </w:tcMar>
            <w:vAlign w:val="center"/>
          </w:tcPr>
          <w:p w14:paraId="2357E1B8" w14:textId="77777777" w:rsidR="008D6F06" w:rsidRDefault="008D6F06" w:rsidP="008D6F06">
            <w:pPr>
              <w:pStyle w:val="CDIFigure-Table-BodyTextCentre"/>
            </w:pPr>
            <w:r>
              <w:t>54.2 (43.9–66.1)</w:t>
            </w:r>
          </w:p>
        </w:tc>
      </w:tr>
      <w:tr w:rsidR="008D6F06" w14:paraId="01B3A2EE" w14:textId="77777777" w:rsidTr="002E2ACD">
        <w:trPr>
          <w:divId w:val="935526654"/>
          <w:trHeight w:val="20"/>
        </w:trPr>
        <w:tc>
          <w:tcPr>
            <w:tcW w:w="1417" w:type="dxa"/>
            <w:vMerge/>
            <w:shd w:val="clear" w:color="auto" w:fill="C5FFEF" w:themeFill="background2" w:themeFillTint="33"/>
          </w:tcPr>
          <w:p w14:paraId="77E41CCA" w14:textId="77777777" w:rsidR="008D6F06" w:rsidRDefault="008D6F06" w:rsidP="008D6F06">
            <w:pPr>
              <w:pStyle w:val="CDIFigure-Table-BodyTextCentre"/>
              <w:rPr>
                <w:lang w:val="en-AU"/>
              </w:rPr>
            </w:pPr>
          </w:p>
        </w:tc>
        <w:tc>
          <w:tcPr>
            <w:tcW w:w="1985" w:type="dxa"/>
            <w:shd w:val="solid" w:color="FFFFFF" w:fill="auto"/>
            <w:tcMar>
              <w:top w:w="113" w:type="dxa"/>
              <w:left w:w="113" w:type="dxa"/>
              <w:bottom w:w="113" w:type="dxa"/>
              <w:right w:w="113" w:type="dxa"/>
            </w:tcMar>
            <w:vAlign w:val="center"/>
          </w:tcPr>
          <w:p w14:paraId="05315AF6" w14:textId="77777777" w:rsidR="008D6F06" w:rsidRDefault="008D6F06" w:rsidP="002E2ACD">
            <w:pPr>
              <w:pStyle w:val="CDIFigure-Table-BodyTextLeft"/>
            </w:pPr>
            <w:r>
              <w:t>Influenza (sf)</w:t>
            </w:r>
          </w:p>
        </w:tc>
        <w:tc>
          <w:tcPr>
            <w:tcW w:w="1417" w:type="dxa"/>
            <w:shd w:val="solid" w:color="FFFFFF" w:fill="auto"/>
            <w:tcMar>
              <w:top w:w="113" w:type="dxa"/>
              <w:left w:w="113" w:type="dxa"/>
              <w:bottom w:w="113" w:type="dxa"/>
              <w:right w:w="113" w:type="dxa"/>
            </w:tcMar>
            <w:vAlign w:val="center"/>
          </w:tcPr>
          <w:p w14:paraId="517B404B" w14:textId="77777777" w:rsidR="008D6F06" w:rsidRDefault="008D6F06" w:rsidP="008D6F06">
            <w:pPr>
              <w:pStyle w:val="CDIFigure-Table-BodyTextCentre"/>
            </w:pPr>
            <w:r>
              <w:t>41</w:t>
            </w:r>
          </w:p>
        </w:tc>
        <w:tc>
          <w:tcPr>
            <w:tcW w:w="1417" w:type="dxa"/>
            <w:shd w:val="solid" w:color="FFFFFF" w:fill="auto"/>
            <w:tcMar>
              <w:top w:w="113" w:type="dxa"/>
              <w:left w:w="113" w:type="dxa"/>
              <w:bottom w:w="113" w:type="dxa"/>
              <w:right w:w="113" w:type="dxa"/>
            </w:tcMar>
            <w:vAlign w:val="center"/>
          </w:tcPr>
          <w:p w14:paraId="005E6E8B" w14:textId="77777777" w:rsidR="008D6F06" w:rsidRDefault="008D6F06" w:rsidP="008D6F06">
            <w:pPr>
              <w:pStyle w:val="CDIFigure-Table-BodyTextCentre"/>
            </w:pPr>
            <w:r>
              <w:t>232,483</w:t>
            </w:r>
          </w:p>
        </w:tc>
        <w:tc>
          <w:tcPr>
            <w:tcW w:w="3402" w:type="dxa"/>
            <w:shd w:val="solid" w:color="FFFFFF" w:fill="auto"/>
            <w:tcMar>
              <w:top w:w="113" w:type="dxa"/>
              <w:left w:w="113" w:type="dxa"/>
              <w:bottom w:w="113" w:type="dxa"/>
              <w:right w:w="113" w:type="dxa"/>
            </w:tcMar>
            <w:vAlign w:val="center"/>
          </w:tcPr>
          <w:p w14:paraId="41C3702F" w14:textId="77777777" w:rsidR="008D6F06" w:rsidRDefault="008D6F06" w:rsidP="008D6F06">
            <w:pPr>
              <w:pStyle w:val="CDIFigure-Table-BodyTextCentre"/>
            </w:pPr>
            <w:r>
              <w:t>17.6 (12.7–23.9)</w:t>
            </w:r>
          </w:p>
        </w:tc>
      </w:tr>
      <w:tr w:rsidR="008D6F06" w14:paraId="1ADB1FEC" w14:textId="77777777" w:rsidTr="002E2ACD">
        <w:trPr>
          <w:divId w:val="935526654"/>
          <w:trHeight w:val="20"/>
        </w:trPr>
        <w:tc>
          <w:tcPr>
            <w:tcW w:w="1417" w:type="dxa"/>
            <w:vMerge/>
            <w:shd w:val="clear" w:color="auto" w:fill="C5FFEF" w:themeFill="background2" w:themeFillTint="33"/>
          </w:tcPr>
          <w:p w14:paraId="637E3CE1" w14:textId="77777777" w:rsidR="008D6F06" w:rsidRDefault="008D6F06" w:rsidP="008D6F06">
            <w:pPr>
              <w:pStyle w:val="CDIFigure-Table-BodyTextCentre"/>
              <w:rPr>
                <w:lang w:val="en-AU"/>
              </w:rPr>
            </w:pPr>
          </w:p>
        </w:tc>
        <w:tc>
          <w:tcPr>
            <w:tcW w:w="1985" w:type="dxa"/>
            <w:shd w:val="clear" w:color="auto" w:fill="F2F2F2" w:themeFill="background1" w:themeFillShade="F2"/>
            <w:tcMar>
              <w:top w:w="113" w:type="dxa"/>
              <w:left w:w="113" w:type="dxa"/>
              <w:bottom w:w="113" w:type="dxa"/>
              <w:right w:w="113" w:type="dxa"/>
            </w:tcMar>
            <w:vAlign w:val="center"/>
          </w:tcPr>
          <w:p w14:paraId="7CF27B53" w14:textId="77777777" w:rsidR="008D6F06" w:rsidRDefault="008D6F06" w:rsidP="002E2ACD">
            <w:pPr>
              <w:pStyle w:val="CDIFigure-Table-BodyTextLeft"/>
            </w:pPr>
            <w:r>
              <w:t>23vPPV</w:t>
            </w:r>
          </w:p>
        </w:tc>
        <w:tc>
          <w:tcPr>
            <w:tcW w:w="1417" w:type="dxa"/>
            <w:shd w:val="clear" w:color="auto" w:fill="F2F2F2" w:themeFill="background1" w:themeFillShade="F2"/>
            <w:tcMar>
              <w:top w:w="113" w:type="dxa"/>
              <w:left w:w="113" w:type="dxa"/>
              <w:bottom w:w="113" w:type="dxa"/>
              <w:right w:w="113" w:type="dxa"/>
            </w:tcMar>
            <w:vAlign w:val="center"/>
          </w:tcPr>
          <w:p w14:paraId="7D720C18" w14:textId="77777777" w:rsidR="008D6F06" w:rsidRDefault="008D6F06" w:rsidP="008D6F06">
            <w:pPr>
              <w:pStyle w:val="CDIFigure-Table-BodyTextCentre"/>
            </w:pPr>
            <w:r>
              <w:t>20</w:t>
            </w:r>
          </w:p>
        </w:tc>
        <w:tc>
          <w:tcPr>
            <w:tcW w:w="1417" w:type="dxa"/>
            <w:shd w:val="clear" w:color="auto" w:fill="F2F2F2" w:themeFill="background1" w:themeFillShade="F2"/>
            <w:tcMar>
              <w:top w:w="113" w:type="dxa"/>
              <w:left w:w="113" w:type="dxa"/>
              <w:bottom w:w="113" w:type="dxa"/>
              <w:right w:w="113" w:type="dxa"/>
            </w:tcMar>
            <w:vAlign w:val="center"/>
          </w:tcPr>
          <w:p w14:paraId="1B46F91F" w14:textId="77777777" w:rsidR="008D6F06" w:rsidRDefault="008D6F06" w:rsidP="008D6F06">
            <w:pPr>
              <w:pStyle w:val="CDIFigure-Table-BodyTextCentre"/>
            </w:pPr>
            <w:r>
              <w:t>27,964</w:t>
            </w:r>
          </w:p>
        </w:tc>
        <w:tc>
          <w:tcPr>
            <w:tcW w:w="3402" w:type="dxa"/>
            <w:shd w:val="clear" w:color="auto" w:fill="F2F2F2" w:themeFill="background1" w:themeFillShade="F2"/>
            <w:tcMar>
              <w:top w:w="113" w:type="dxa"/>
              <w:left w:w="113" w:type="dxa"/>
              <w:bottom w:w="113" w:type="dxa"/>
              <w:right w:w="113" w:type="dxa"/>
            </w:tcMar>
            <w:vAlign w:val="center"/>
          </w:tcPr>
          <w:p w14:paraId="0CCFCC3E" w14:textId="77777777" w:rsidR="008D6F06" w:rsidRDefault="008D6F06" w:rsidP="008D6F06">
            <w:pPr>
              <w:pStyle w:val="CDIFigure-Table-BodyTextCentre"/>
            </w:pPr>
            <w:r>
              <w:t>71.5 (43.7–110.4)</w:t>
            </w:r>
          </w:p>
        </w:tc>
      </w:tr>
      <w:tr w:rsidR="008D6F06" w14:paraId="4DC59E31" w14:textId="77777777" w:rsidTr="002E2ACD">
        <w:trPr>
          <w:divId w:val="935526654"/>
          <w:trHeight w:val="20"/>
        </w:trPr>
        <w:tc>
          <w:tcPr>
            <w:tcW w:w="1417" w:type="dxa"/>
            <w:vMerge/>
            <w:shd w:val="clear" w:color="auto" w:fill="C5FFEF" w:themeFill="background2" w:themeFillTint="33"/>
          </w:tcPr>
          <w:p w14:paraId="63645974" w14:textId="77777777" w:rsidR="008D6F06" w:rsidRDefault="008D6F06" w:rsidP="008D6F06">
            <w:pPr>
              <w:pStyle w:val="CDIFigure-Table-BodyTextCentre"/>
              <w:rPr>
                <w:lang w:val="en-AU"/>
              </w:rPr>
            </w:pPr>
          </w:p>
        </w:tc>
        <w:tc>
          <w:tcPr>
            <w:tcW w:w="1985" w:type="dxa"/>
            <w:shd w:val="solid" w:color="FFFFFF" w:fill="auto"/>
            <w:tcMar>
              <w:top w:w="113" w:type="dxa"/>
              <w:left w:w="113" w:type="dxa"/>
              <w:bottom w:w="113" w:type="dxa"/>
              <w:right w:w="113" w:type="dxa"/>
            </w:tcMar>
            <w:vAlign w:val="center"/>
          </w:tcPr>
          <w:p w14:paraId="1BC8A43D" w14:textId="77777777" w:rsidR="008D6F06" w:rsidRDefault="008D6F06" w:rsidP="002E2ACD">
            <w:pPr>
              <w:pStyle w:val="CDIFigure-Table-BodyTextLeft"/>
            </w:pPr>
            <w:r>
              <w:t>Zoster (RZV)</w:t>
            </w:r>
          </w:p>
        </w:tc>
        <w:tc>
          <w:tcPr>
            <w:tcW w:w="1417" w:type="dxa"/>
            <w:shd w:val="solid" w:color="FFFFFF" w:fill="auto"/>
            <w:tcMar>
              <w:top w:w="113" w:type="dxa"/>
              <w:left w:w="113" w:type="dxa"/>
              <w:bottom w:w="113" w:type="dxa"/>
              <w:right w:w="113" w:type="dxa"/>
            </w:tcMar>
            <w:vAlign w:val="center"/>
          </w:tcPr>
          <w:p w14:paraId="7B517D9E" w14:textId="77777777" w:rsidR="008D6F06" w:rsidRDefault="008D6F06" w:rsidP="008D6F06">
            <w:pPr>
              <w:pStyle w:val="CDIFigure-Table-BodyTextCentre"/>
            </w:pPr>
            <w:r>
              <w:t>16</w:t>
            </w:r>
          </w:p>
        </w:tc>
        <w:tc>
          <w:tcPr>
            <w:tcW w:w="1417" w:type="dxa"/>
            <w:shd w:val="solid" w:color="FFFFFF" w:fill="auto"/>
            <w:tcMar>
              <w:top w:w="113" w:type="dxa"/>
              <w:left w:w="113" w:type="dxa"/>
              <w:bottom w:w="113" w:type="dxa"/>
              <w:right w:w="113" w:type="dxa"/>
            </w:tcMar>
            <w:vAlign w:val="center"/>
          </w:tcPr>
          <w:p w14:paraId="004CFEDA" w14:textId="77777777" w:rsidR="008D6F06" w:rsidRDefault="008D6F06" w:rsidP="008D6F06">
            <w:pPr>
              <w:pStyle w:val="CDIFigure-Table-BodyTextCentre"/>
            </w:pPr>
            <w:r>
              <w:t>9,535</w:t>
            </w:r>
          </w:p>
        </w:tc>
        <w:tc>
          <w:tcPr>
            <w:tcW w:w="3402" w:type="dxa"/>
            <w:shd w:val="solid" w:color="FFFFFF" w:fill="auto"/>
            <w:tcMar>
              <w:top w:w="113" w:type="dxa"/>
              <w:left w:w="113" w:type="dxa"/>
              <w:bottom w:w="113" w:type="dxa"/>
              <w:right w:w="113" w:type="dxa"/>
            </w:tcMar>
            <w:vAlign w:val="center"/>
          </w:tcPr>
          <w:p w14:paraId="24D9ACC4" w14:textId="77777777" w:rsidR="008D6F06" w:rsidRDefault="008D6F06" w:rsidP="008D6F06">
            <w:pPr>
              <w:pStyle w:val="CDIFigure-Table-BodyTextCentre"/>
            </w:pPr>
            <w:r>
              <w:t>167.8 (95.9–272.4)</w:t>
            </w:r>
          </w:p>
        </w:tc>
      </w:tr>
      <w:tr w:rsidR="008D6F06" w14:paraId="62EAE552" w14:textId="77777777" w:rsidTr="002E2ACD">
        <w:trPr>
          <w:divId w:val="935526654"/>
          <w:trHeight w:val="20"/>
        </w:trPr>
        <w:tc>
          <w:tcPr>
            <w:tcW w:w="1417" w:type="dxa"/>
            <w:vMerge/>
            <w:shd w:val="clear" w:color="auto" w:fill="C5FFEF" w:themeFill="background2" w:themeFillTint="33"/>
          </w:tcPr>
          <w:p w14:paraId="31528E80" w14:textId="77777777" w:rsidR="008D6F06" w:rsidRDefault="008D6F06" w:rsidP="008D6F06">
            <w:pPr>
              <w:pStyle w:val="CDIFigure-Table-BodyTextCentre"/>
              <w:rPr>
                <w:lang w:val="en-AU"/>
              </w:rPr>
            </w:pPr>
          </w:p>
        </w:tc>
        <w:tc>
          <w:tcPr>
            <w:tcW w:w="1985" w:type="dxa"/>
            <w:shd w:val="clear" w:color="auto" w:fill="F2F2F2" w:themeFill="background1" w:themeFillShade="F2"/>
            <w:tcMar>
              <w:top w:w="113" w:type="dxa"/>
              <w:left w:w="113" w:type="dxa"/>
              <w:bottom w:w="113" w:type="dxa"/>
              <w:right w:w="113" w:type="dxa"/>
            </w:tcMar>
            <w:vAlign w:val="center"/>
          </w:tcPr>
          <w:p w14:paraId="47319007" w14:textId="77777777" w:rsidR="008D6F06" w:rsidRDefault="008D6F06" w:rsidP="002E2ACD">
            <w:pPr>
              <w:pStyle w:val="CDIFigure-Table-BodyTextLeft"/>
            </w:pPr>
            <w:r>
              <w:t>dTpa</w:t>
            </w:r>
          </w:p>
        </w:tc>
        <w:tc>
          <w:tcPr>
            <w:tcW w:w="1417" w:type="dxa"/>
            <w:shd w:val="clear" w:color="auto" w:fill="F2F2F2" w:themeFill="background1" w:themeFillShade="F2"/>
            <w:tcMar>
              <w:top w:w="113" w:type="dxa"/>
              <w:left w:w="113" w:type="dxa"/>
              <w:bottom w:w="113" w:type="dxa"/>
              <w:right w:w="113" w:type="dxa"/>
            </w:tcMar>
            <w:vAlign w:val="center"/>
          </w:tcPr>
          <w:p w14:paraId="536F39FA" w14:textId="77777777" w:rsidR="008D6F06" w:rsidRDefault="008D6F06" w:rsidP="008D6F06">
            <w:pPr>
              <w:pStyle w:val="CDIFigure-Table-BodyTextCentre"/>
            </w:pPr>
            <w:r>
              <w:t>11</w:t>
            </w:r>
          </w:p>
        </w:tc>
        <w:tc>
          <w:tcPr>
            <w:tcW w:w="1417" w:type="dxa"/>
            <w:shd w:val="clear" w:color="auto" w:fill="F2F2F2" w:themeFill="background1" w:themeFillShade="F2"/>
            <w:tcMar>
              <w:top w:w="113" w:type="dxa"/>
              <w:left w:w="113" w:type="dxa"/>
              <w:bottom w:w="113" w:type="dxa"/>
              <w:right w:w="113" w:type="dxa"/>
            </w:tcMar>
            <w:vAlign w:val="center"/>
          </w:tcPr>
          <w:p w14:paraId="6D101910" w14:textId="77777777" w:rsidR="008D6F06" w:rsidRDefault="008D6F06" w:rsidP="008D6F06">
            <w:pPr>
              <w:pStyle w:val="CDIFigure-Table-BodyTextCentre"/>
            </w:pPr>
            <w:r>
              <w:t>112,293</w:t>
            </w:r>
          </w:p>
        </w:tc>
        <w:tc>
          <w:tcPr>
            <w:tcW w:w="3402" w:type="dxa"/>
            <w:shd w:val="clear" w:color="auto" w:fill="F2F2F2" w:themeFill="background1" w:themeFillShade="F2"/>
            <w:tcMar>
              <w:top w:w="113" w:type="dxa"/>
              <w:left w:w="113" w:type="dxa"/>
              <w:bottom w:w="113" w:type="dxa"/>
              <w:right w:w="113" w:type="dxa"/>
            </w:tcMar>
            <w:vAlign w:val="center"/>
          </w:tcPr>
          <w:p w14:paraId="1D9E7493" w14:textId="77777777" w:rsidR="008D6F06" w:rsidRDefault="008D6F06" w:rsidP="008D6F06">
            <w:pPr>
              <w:pStyle w:val="CDIFigure-Table-BodyTextCentre"/>
            </w:pPr>
            <w:r>
              <w:t>9.8 (4.9–17.5)</w:t>
            </w:r>
          </w:p>
        </w:tc>
      </w:tr>
      <w:tr w:rsidR="008D6F06" w14:paraId="19B72981" w14:textId="77777777" w:rsidTr="002E2ACD">
        <w:trPr>
          <w:divId w:val="935526654"/>
          <w:trHeight w:val="20"/>
        </w:trPr>
        <w:tc>
          <w:tcPr>
            <w:tcW w:w="1417" w:type="dxa"/>
            <w:vMerge/>
            <w:shd w:val="clear" w:color="auto" w:fill="C5FFEF" w:themeFill="background2" w:themeFillTint="33"/>
          </w:tcPr>
          <w:p w14:paraId="686C6449" w14:textId="77777777" w:rsidR="008D6F06" w:rsidRDefault="008D6F06" w:rsidP="008D6F06">
            <w:pPr>
              <w:pStyle w:val="CDIFigure-Table-BodyTextCentre"/>
              <w:rPr>
                <w:lang w:val="en-AU"/>
              </w:rPr>
            </w:pPr>
          </w:p>
        </w:tc>
        <w:tc>
          <w:tcPr>
            <w:tcW w:w="1985" w:type="dxa"/>
            <w:shd w:val="solid" w:color="FFFFFF" w:fill="auto"/>
            <w:tcMar>
              <w:top w:w="113" w:type="dxa"/>
              <w:left w:w="113" w:type="dxa"/>
              <w:bottom w:w="113" w:type="dxa"/>
              <w:right w:w="113" w:type="dxa"/>
            </w:tcMar>
            <w:vAlign w:val="center"/>
          </w:tcPr>
          <w:p w14:paraId="21503B22" w14:textId="77777777" w:rsidR="008D6F06" w:rsidRDefault="008D6F06" w:rsidP="002E2ACD">
            <w:pPr>
              <w:pStyle w:val="CDIFigure-Table-BodyTextLeft"/>
            </w:pPr>
            <w:r>
              <w:t>MenB</w:t>
            </w:r>
          </w:p>
        </w:tc>
        <w:tc>
          <w:tcPr>
            <w:tcW w:w="1417" w:type="dxa"/>
            <w:shd w:val="solid" w:color="FFFFFF" w:fill="auto"/>
            <w:tcMar>
              <w:top w:w="113" w:type="dxa"/>
              <w:left w:w="113" w:type="dxa"/>
              <w:bottom w:w="113" w:type="dxa"/>
              <w:right w:w="113" w:type="dxa"/>
            </w:tcMar>
            <w:vAlign w:val="center"/>
          </w:tcPr>
          <w:p w14:paraId="1DF94F6F" w14:textId="77777777" w:rsidR="008D6F06" w:rsidRDefault="008D6F06" w:rsidP="008D6F06">
            <w:pPr>
              <w:pStyle w:val="CDIFigure-Table-BodyTextCentre"/>
            </w:pPr>
            <w:r>
              <w:t>2</w:t>
            </w:r>
          </w:p>
        </w:tc>
        <w:tc>
          <w:tcPr>
            <w:tcW w:w="1417" w:type="dxa"/>
            <w:shd w:val="solid" w:color="FFFFFF" w:fill="auto"/>
            <w:tcMar>
              <w:top w:w="113" w:type="dxa"/>
              <w:left w:w="113" w:type="dxa"/>
              <w:bottom w:w="113" w:type="dxa"/>
              <w:right w:w="113" w:type="dxa"/>
            </w:tcMar>
            <w:vAlign w:val="center"/>
          </w:tcPr>
          <w:p w14:paraId="00692521" w14:textId="77777777" w:rsidR="008D6F06" w:rsidRDefault="008D6F06" w:rsidP="008D6F06">
            <w:pPr>
              <w:pStyle w:val="CDIFigure-Table-BodyTextCentre"/>
            </w:pPr>
            <w:r>
              <w:t>1,986</w:t>
            </w:r>
          </w:p>
        </w:tc>
        <w:tc>
          <w:tcPr>
            <w:tcW w:w="3402" w:type="dxa"/>
            <w:shd w:val="solid" w:color="FFFFFF" w:fill="auto"/>
            <w:tcMar>
              <w:top w:w="113" w:type="dxa"/>
              <w:left w:w="113" w:type="dxa"/>
              <w:bottom w:w="113" w:type="dxa"/>
              <w:right w:w="113" w:type="dxa"/>
            </w:tcMar>
            <w:vAlign w:val="center"/>
          </w:tcPr>
          <w:p w14:paraId="5CC20142" w14:textId="77777777" w:rsidR="008D6F06" w:rsidRDefault="008D6F06" w:rsidP="008D6F06">
            <w:pPr>
              <w:pStyle w:val="CDIFigure-Table-BodyTextCentre"/>
            </w:pPr>
            <w:r>
              <w:t>100.7 (12.2–363.3)</w:t>
            </w:r>
          </w:p>
        </w:tc>
      </w:tr>
      <w:tr w:rsidR="00B16C0A" w14:paraId="77A8C2F6" w14:textId="77777777" w:rsidTr="002E2ACD">
        <w:trPr>
          <w:divId w:val="935526654"/>
          <w:trHeight w:val="20"/>
        </w:trPr>
        <w:tc>
          <w:tcPr>
            <w:tcW w:w="1417" w:type="dxa"/>
            <w:vMerge/>
            <w:tcBorders>
              <w:bottom w:val="single" w:sz="4" w:space="0" w:color="033636" w:themeColor="text2"/>
            </w:tcBorders>
            <w:shd w:val="clear" w:color="auto" w:fill="C5FFEF" w:themeFill="background2" w:themeFillTint="33"/>
          </w:tcPr>
          <w:p w14:paraId="22C00AA3" w14:textId="77777777" w:rsidR="008D6F06" w:rsidRDefault="008D6F06" w:rsidP="008D6F06">
            <w:pPr>
              <w:pStyle w:val="CDIFigure-Table-BodyTextCentre"/>
              <w:rPr>
                <w:lang w:val="en-AU"/>
              </w:rPr>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64E1B6" w14:textId="77777777" w:rsidR="008D6F06" w:rsidRDefault="008D6F06" w:rsidP="002E2ACD">
            <w:pPr>
              <w:pStyle w:val="CDIFigure-Table-BodyTextLeft"/>
            </w:pPr>
            <w:proofErr w:type="spellStart"/>
            <w:r>
              <w:t>HepB</w:t>
            </w:r>
            <w:proofErr w:type="spellEnd"/>
          </w:p>
        </w:tc>
        <w:tc>
          <w:tcPr>
            <w:tcW w:w="141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533DC70" w14:textId="77777777" w:rsidR="008D6F06" w:rsidRDefault="008D6F06" w:rsidP="008D6F06">
            <w:pPr>
              <w:pStyle w:val="CDIFigure-Table-BodyTextCentre"/>
            </w:pPr>
            <w:r>
              <w:t>1</w:t>
            </w:r>
          </w:p>
        </w:tc>
        <w:tc>
          <w:tcPr>
            <w:tcW w:w="141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9C5595" w14:textId="77777777" w:rsidR="008D6F06" w:rsidRDefault="008D6F06" w:rsidP="008D6F06">
            <w:pPr>
              <w:pStyle w:val="CDIFigure-Table-BodyTextCentre"/>
            </w:pPr>
            <w:r>
              <w:t>10,798</w:t>
            </w:r>
          </w:p>
        </w:tc>
        <w:tc>
          <w:tcPr>
            <w:tcW w:w="3402"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58C0500" w14:textId="77777777" w:rsidR="008D6F06" w:rsidRDefault="008D6F06" w:rsidP="008D6F06">
            <w:pPr>
              <w:pStyle w:val="CDIFigure-Table-BodyTextCentre"/>
            </w:pPr>
            <w:r>
              <w:t>9.3 (0.2–51.6)</w:t>
            </w:r>
          </w:p>
        </w:tc>
      </w:tr>
    </w:tbl>
    <w:p w14:paraId="3C2922CF" w14:textId="77777777" w:rsidR="0074438D" w:rsidRDefault="0074438D" w:rsidP="008E7DFC">
      <w:pPr>
        <w:pStyle w:val="CDIFigure-Table-FirstFootnote"/>
        <w:divId w:val="935526654"/>
      </w:pPr>
      <w:r>
        <w:t>a</w:t>
      </w:r>
      <w:r>
        <w:tab/>
        <w:t>See Appendix A, Table A.3 for a listing of vaccine abbreviations used in this report.</w:t>
      </w:r>
    </w:p>
    <w:p w14:paraId="11292795" w14:textId="77777777" w:rsidR="0074438D" w:rsidRDefault="0074438D" w:rsidP="0074438D">
      <w:pPr>
        <w:pStyle w:val="CDIFigure-Table-Footnote"/>
        <w:divId w:val="935526654"/>
      </w:pPr>
      <w:r>
        <w:t>b</w:t>
      </w:r>
      <w:r>
        <w:tab/>
        <w:t>Number of AEFI reports in which the vaccine was coded as ‘suspected’ of causal involvement in the reported adverse event and the vaccination was administered between 1 January and 31 December 2021. More than one vaccine may be coded as ‘suspected’ if several were administered or reported at the same time.</w:t>
      </w:r>
    </w:p>
    <w:p w14:paraId="72E0446F" w14:textId="77777777" w:rsidR="0074438D" w:rsidRDefault="0074438D" w:rsidP="0074438D">
      <w:pPr>
        <w:pStyle w:val="CDIFigure-Table-Footnote"/>
        <w:divId w:val="935526654"/>
      </w:pPr>
      <w:r>
        <w:t>c</w:t>
      </w:r>
      <w:r>
        <w:tab/>
        <w:t>Number of vaccine doses recorded on the Australian Immunisation Register and administered between 1 January and 31 December 2021.</w:t>
      </w:r>
    </w:p>
    <w:p w14:paraId="1DADE727" w14:textId="20AE5734" w:rsidR="0074438D" w:rsidRDefault="0074438D" w:rsidP="0074438D">
      <w:pPr>
        <w:pStyle w:val="CDIFigure-Table-Footnote"/>
        <w:divId w:val="935526654"/>
      </w:pPr>
      <w:r>
        <w:t>d</w:t>
      </w:r>
      <w:r>
        <w:tab/>
        <w:t>95% CI: 95% confidence interval.</w:t>
      </w:r>
    </w:p>
    <w:p w14:paraId="3C5CE0D2" w14:textId="1560B24A" w:rsidR="0074438D" w:rsidRDefault="008E7DFC" w:rsidP="008E7DFC">
      <w:pPr>
        <w:pStyle w:val="CDIFigure-Table-Titlemorespacebefore"/>
        <w:divId w:val="935526654"/>
      </w:pPr>
      <w:r w:rsidRPr="008E7DFC">
        <w:t>Figure 2: Adverse event following immunisation reports for children aged &lt; 7 years in the Adverse Event Management System database from 2000 to 2021 (excluding COVID-19 vaccines</w:t>
      </w:r>
      <w:proofErr w:type="gramStart"/>
      <w:r w:rsidRPr="008E7DFC">
        <w:t>),</w:t>
      </w:r>
      <w:r w:rsidRPr="008E7DFC">
        <w:rPr>
          <w:rStyle w:val="Superscript"/>
        </w:rPr>
        <w:t>a</w:t>
      </w:r>
      <w:proofErr w:type="gramEnd"/>
      <w:r w:rsidRPr="008E7DFC">
        <w:t xml:space="preserve"> by year and vaccine</w:t>
      </w:r>
    </w:p>
    <w:p w14:paraId="4C1C3607" w14:textId="0D422646" w:rsidR="008E7DFC" w:rsidRDefault="008E7DFC" w:rsidP="008E7DFC">
      <w:pPr>
        <w:pStyle w:val="CDIFigure-Table-ImagePlaceholder"/>
        <w:divId w:val="935526654"/>
      </w:pPr>
      <w:r>
        <w:rPr>
          <w:noProof/>
          <w14:ligatures w14:val="none"/>
        </w:rPr>
        <w:drawing>
          <wp:inline distT="0" distB="0" distL="0" distR="0" wp14:anchorId="3DC3117D" wp14:editId="6F276F72">
            <wp:extent cx="6120765" cy="6998335"/>
            <wp:effectExtent l="0" t="0" r="0" b="0"/>
            <wp:docPr id="2" name="Picture 2" descr="A set of three trend graphs for adverse events following immunisation reports, for children aged &lt; 7 years, by year of vaccination for the years 2000 to 2021. Reporting trends are grouped into one graph showing PCV-, DTPa- and HIB-containing vaccines, within which the highest reported incidence of AEFIs within this age group occurred in 2015 and 2018, at approximately 600 AEFI reports each of these two years for the 13vPCV vaccine; one graph showing influenza-containing vaccines (showing a peak in 2010, at approximately 2,000 AEFI reports in this age group this year for the influenza (seasonal – standard formulation) vaccine; and one graph showing meningococcal, MMR- and rotavirus-containing vaccines, showing a peak in 2013 of approximately 600 AEFI reports in this age group for the year for the MMRV program vac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et of three trend graphs for adverse events following immunisation reports, for children aged &lt; 7 years, by year of vaccination for the years 2000 to 2021. Reporting trends are grouped into one graph showing PCV-, DTPa- and HIB-containing vaccines, within which the highest reported incidence of AEFIs within this age group occurred in 2015 and 2018, at approximately 600 AEFI reports each of these two years for the 13vPCV vaccine; one graph showing influenza-containing vaccines (showing a peak in 2010, at approximately 2,000 AEFI reports in this age group this year for the influenza (seasonal – standard formulation) vaccine; and one graph showing meningococcal, MMR- and rotavirus-containing vaccines, showing a peak in 2013 of approximately 600 AEFI reports in this age group for the year for the MMRV program vaccine."/>
                    <pic:cNvPicPr/>
                  </pic:nvPicPr>
                  <pic:blipFill>
                    <a:blip r:embed="rId16">
                      <a:extLst>
                        <a:ext uri="{28A0092B-C50C-407E-A947-70E740481C1C}">
                          <a14:useLocalDpi xmlns:a14="http://schemas.microsoft.com/office/drawing/2010/main" val="0"/>
                        </a:ext>
                      </a:extLst>
                    </a:blip>
                    <a:stretch>
                      <a:fillRect/>
                    </a:stretch>
                  </pic:blipFill>
                  <pic:spPr>
                    <a:xfrm>
                      <a:off x="0" y="0"/>
                      <a:ext cx="6120765" cy="6998335"/>
                    </a:xfrm>
                    <a:prstGeom prst="rect">
                      <a:avLst/>
                    </a:prstGeom>
                  </pic:spPr>
                </pic:pic>
              </a:graphicData>
            </a:graphic>
          </wp:inline>
        </w:drawing>
      </w:r>
    </w:p>
    <w:p w14:paraId="5F2DF6D3" w14:textId="356CE702" w:rsidR="008E7DFC" w:rsidRDefault="008E7DFC" w:rsidP="008E7DFC">
      <w:pPr>
        <w:pStyle w:val="CDIFigure-Table-FirstFootnote"/>
        <w:divId w:val="935526654"/>
      </w:pPr>
      <w:proofErr w:type="spellStart"/>
      <w:r w:rsidRPr="008E7DFC">
        <w:t>a</w:t>
      </w:r>
      <w:proofErr w:type="spellEnd"/>
      <w:r w:rsidRPr="008E7DFC">
        <w:tab/>
      </w:r>
      <w:proofErr w:type="gramStart"/>
      <w:r w:rsidRPr="008E7DFC">
        <w:t>For</w:t>
      </w:r>
      <w:proofErr w:type="gramEnd"/>
      <w:r w:rsidRPr="008E7DFC">
        <w:t xml:space="preserve"> reports where the date of vaccination was not recorded, the date of symptom onset or the received date (when the event was reported to the sender of the case) was used. For more details on changes to the National Immunisation Program, please refer to Appendix A, Table A.1.</w:t>
      </w:r>
    </w:p>
    <w:p w14:paraId="49695ED2" w14:textId="40220717" w:rsidR="008E7DFC" w:rsidRDefault="008E7DFC" w:rsidP="008E7DFC">
      <w:pPr>
        <w:pStyle w:val="CDIFigure-Table-Titlemorespacebefore"/>
        <w:divId w:val="935526654"/>
      </w:pPr>
      <w:r w:rsidRPr="008E7DFC">
        <w:t>Figure 3: Adverse event following immunisation reports for people aged 7 to 17 years in the Adverse Event Management System database from 2000 to 2021 (excluding COVID-19 vaccines</w:t>
      </w:r>
      <w:proofErr w:type="gramStart"/>
      <w:r w:rsidRPr="008E7DFC">
        <w:t>),</w:t>
      </w:r>
      <w:r w:rsidRPr="008E7DFC">
        <w:rPr>
          <w:rStyle w:val="Superscript"/>
        </w:rPr>
        <w:t>a</w:t>
      </w:r>
      <w:proofErr w:type="gramEnd"/>
      <w:r w:rsidRPr="008E7DFC">
        <w:t xml:space="preserve"> by year and vaccine</w:t>
      </w:r>
    </w:p>
    <w:p w14:paraId="14D056E5" w14:textId="791B8C78" w:rsidR="008E7DFC" w:rsidRDefault="008E7DFC" w:rsidP="008E7DFC">
      <w:pPr>
        <w:pStyle w:val="CDIFigure-Table-ImagePlaceholder"/>
        <w:divId w:val="935526654"/>
      </w:pPr>
      <w:r>
        <w:rPr>
          <w:noProof/>
          <w14:ligatures w14:val="none"/>
        </w:rPr>
        <w:drawing>
          <wp:inline distT="0" distB="0" distL="0" distR="0" wp14:anchorId="30E8E37C" wp14:editId="2C8E68E5">
            <wp:extent cx="5598627" cy="3204000"/>
            <wp:effectExtent l="0" t="0" r="2540" b="0"/>
            <wp:docPr id="3" name="Picture 3" descr="A trend graph for adverse events following immunisation reports, for children and young people aged 7–17 years, by year of vaccination for the years 2000 to 2021, for the dTpa, HPV, influenza (seasonal and H1N1), meningococcal (B, C, and ACWY) and varicella vaccines. The most prominent AEFI signals during this 22-year period have been for the HPV vaccination program, with a ‘spike’ of around 500 HPV vaccine AEFI reports in 2007 following this program’s commencement and a further peak of approximately 800 HPV AEFI reports in 2013 with the extension of this vaccination program to 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end graph for adverse events following immunisation reports, for children and young people aged 7–17 years, by year of vaccination for the years 2000 to 2021, for the dTpa, HPV, influenza (seasonal and H1N1), meningococcal (B, C, and ACWY) and varicella vaccines. The most prominent AEFI signals during this 22-year period have been for the HPV vaccination program, with a ‘spike’ of around 500 HPV vaccine AEFI reports in 2007 following this program’s commencement and a further peak of approximately 800 HPV AEFI reports in 2013 with the extension of this vaccination program to males."/>
                    <pic:cNvPicPr/>
                  </pic:nvPicPr>
                  <pic:blipFill>
                    <a:blip r:embed="rId17">
                      <a:extLst>
                        <a:ext uri="{28A0092B-C50C-407E-A947-70E740481C1C}">
                          <a14:useLocalDpi xmlns:a14="http://schemas.microsoft.com/office/drawing/2010/main" val="0"/>
                        </a:ext>
                      </a:extLst>
                    </a:blip>
                    <a:stretch>
                      <a:fillRect/>
                    </a:stretch>
                  </pic:blipFill>
                  <pic:spPr>
                    <a:xfrm>
                      <a:off x="0" y="0"/>
                      <a:ext cx="5598627" cy="3204000"/>
                    </a:xfrm>
                    <a:prstGeom prst="rect">
                      <a:avLst/>
                    </a:prstGeom>
                  </pic:spPr>
                </pic:pic>
              </a:graphicData>
            </a:graphic>
          </wp:inline>
        </w:drawing>
      </w:r>
    </w:p>
    <w:p w14:paraId="4696CF49" w14:textId="3B9C9034" w:rsidR="008E7DFC" w:rsidRDefault="008E7DFC" w:rsidP="0050514F">
      <w:pPr>
        <w:pStyle w:val="CDIFigure-Table-Footnote"/>
        <w:divId w:val="935526654"/>
      </w:pPr>
      <w:proofErr w:type="spellStart"/>
      <w:r w:rsidRPr="008E7DFC">
        <w:t>a</w:t>
      </w:r>
      <w:proofErr w:type="spellEnd"/>
      <w:r w:rsidRPr="008E7DFC">
        <w:tab/>
      </w:r>
      <w:proofErr w:type="gramStart"/>
      <w:r w:rsidRPr="008E7DFC">
        <w:t>For</w:t>
      </w:r>
      <w:proofErr w:type="gramEnd"/>
      <w:r w:rsidRPr="008E7DFC">
        <w:t xml:space="preserve"> reports where the date of vaccination was not recorded, the date of symptom onset or the received date (when the event was reported to the sender of the case) was used. For more details on changes to the National Immunisation Program, please refer to Appendix A, Table A.1.</w:t>
      </w:r>
    </w:p>
    <w:p w14:paraId="73FBFE8D" w14:textId="3BC9C4B5" w:rsidR="008E7DFC" w:rsidRDefault="008E7DFC" w:rsidP="008E7DFC">
      <w:pPr>
        <w:pStyle w:val="CDIFigure-Table-Titlemorespacebefore"/>
        <w:divId w:val="935526654"/>
      </w:pPr>
      <w:r w:rsidRPr="008E7DFC">
        <w:t>Figure 4: Adverse event following immunisation reports for people aged 18 to 64 years in the Adverse Event Management System database from 2000 to 2021 (excluding COVID-19 vaccines</w:t>
      </w:r>
      <w:proofErr w:type="gramStart"/>
      <w:r w:rsidRPr="008E7DFC">
        <w:t>),</w:t>
      </w:r>
      <w:r w:rsidRPr="008E7DFC">
        <w:rPr>
          <w:rStyle w:val="Superscript"/>
        </w:rPr>
        <w:t>a</w:t>
      </w:r>
      <w:proofErr w:type="gramEnd"/>
      <w:r w:rsidRPr="008E7DFC">
        <w:t xml:space="preserve"> by year and vaccine</w:t>
      </w:r>
    </w:p>
    <w:p w14:paraId="246D967C" w14:textId="0B52DAFE" w:rsidR="008E7DFC" w:rsidRDefault="008E7DFC" w:rsidP="008E7DFC">
      <w:pPr>
        <w:pStyle w:val="CDIFigure-Table-ImagePlaceholder"/>
        <w:divId w:val="935526654"/>
      </w:pPr>
      <w:r>
        <w:rPr>
          <w:noProof/>
          <w14:ligatures w14:val="none"/>
        </w:rPr>
        <w:drawing>
          <wp:inline distT="0" distB="0" distL="0" distR="0" wp14:anchorId="04A809E9" wp14:editId="6CA10BDC">
            <wp:extent cx="5573625" cy="3204000"/>
            <wp:effectExtent l="0" t="0" r="8255" b="0"/>
            <wp:docPr id="4" name="Picture 4" descr="A trend graph for adverse events following immunisation reports, for people aged 18–64 years, by year of vaccination for the years 2000 to 2021, for the 23vPPV, dTpa, HPV, and influenza (seasonal and H1N1) vaccines. The most prominent AEFI signals during this 22-year period have been for the influenza vaccination program, with a peak of around 900 pandemic H1N1 influenza vaccine AEFI reports in 2010 following this program’s commencement; for the standard-formulation seasonal influenza vaccine program, the years following the 2010 H1N1 peak have consistently delivered counts of between approximately 300 and 650 AEFI counts annually. The commencement of the HPV adult catch-up program also saw a peak of approximately 300 AEFI signals in 2007; very few AEFI reports have been noted for this program following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rend graph for adverse events following immunisation reports, for people aged 18–64 years, by year of vaccination for the years 2000 to 2021, for the 23vPPV, dTpa, HPV, and influenza (seasonal and H1N1) vaccines. The most prominent AEFI signals during this 22-year period have been for the influenza vaccination program, with a peak of around 900 pandemic H1N1 influenza vaccine AEFI reports in 2010 following this program’s commencement; for the standard-formulation seasonal influenza vaccine program, the years following the 2010 H1N1 peak have consistently delivered counts of between approximately 300 and 650 AEFI counts annually. The commencement of the HPV adult catch-up program also saw a peak of approximately 300 AEFI signals in 2007; very few AEFI reports have been noted for this program following 2009."/>
                    <pic:cNvPicPr/>
                  </pic:nvPicPr>
                  <pic:blipFill>
                    <a:blip r:embed="rId18">
                      <a:extLst>
                        <a:ext uri="{28A0092B-C50C-407E-A947-70E740481C1C}">
                          <a14:useLocalDpi xmlns:a14="http://schemas.microsoft.com/office/drawing/2010/main" val="0"/>
                        </a:ext>
                      </a:extLst>
                    </a:blip>
                    <a:stretch>
                      <a:fillRect/>
                    </a:stretch>
                  </pic:blipFill>
                  <pic:spPr>
                    <a:xfrm>
                      <a:off x="0" y="0"/>
                      <a:ext cx="5573625" cy="3204000"/>
                    </a:xfrm>
                    <a:prstGeom prst="rect">
                      <a:avLst/>
                    </a:prstGeom>
                  </pic:spPr>
                </pic:pic>
              </a:graphicData>
            </a:graphic>
          </wp:inline>
        </w:drawing>
      </w:r>
    </w:p>
    <w:p w14:paraId="0B6FFF46" w14:textId="6126B4FC" w:rsidR="008E7DFC" w:rsidRDefault="008E7DFC" w:rsidP="0050514F">
      <w:pPr>
        <w:pStyle w:val="CDIFigure-Table-Footnote"/>
        <w:divId w:val="935526654"/>
      </w:pPr>
      <w:proofErr w:type="spellStart"/>
      <w:r w:rsidRPr="008E7DFC">
        <w:t>a</w:t>
      </w:r>
      <w:proofErr w:type="spellEnd"/>
      <w:r w:rsidRPr="008E7DFC">
        <w:tab/>
      </w:r>
      <w:proofErr w:type="gramStart"/>
      <w:r w:rsidRPr="008E7DFC">
        <w:t>For</w:t>
      </w:r>
      <w:proofErr w:type="gramEnd"/>
      <w:r w:rsidRPr="008E7DFC">
        <w:t xml:space="preserve"> reports where the date of vaccination was not recorded, the date of symptom onset or the received date (when the event was reported to the sender of the case) was used. For more details on changes to the National Immunisation Program, please refer to Appendix A, Table A.1.</w:t>
      </w:r>
    </w:p>
    <w:p w14:paraId="0974CC23" w14:textId="4E199BF6" w:rsidR="008E7DFC" w:rsidRDefault="008E7DFC" w:rsidP="008E7DFC">
      <w:pPr>
        <w:pStyle w:val="CDIFigure-Table-Titlemorespacebefore"/>
        <w:divId w:val="935526654"/>
      </w:pPr>
      <w:r w:rsidRPr="008E7DFC">
        <w:t>Figure 5: Adverse event following immunisation reports for people aged ≥ 65 years in the Adverse Event Management System database from 2000 to 2021 (excluding COVID-19 vaccines</w:t>
      </w:r>
      <w:proofErr w:type="gramStart"/>
      <w:r w:rsidRPr="008E7DFC">
        <w:t>),</w:t>
      </w:r>
      <w:r w:rsidRPr="008E7DFC">
        <w:rPr>
          <w:rStyle w:val="Superscript"/>
        </w:rPr>
        <w:t>a</w:t>
      </w:r>
      <w:proofErr w:type="gramEnd"/>
      <w:r w:rsidRPr="008E7DFC">
        <w:t xml:space="preserve"> by year and vaccine</w:t>
      </w:r>
    </w:p>
    <w:p w14:paraId="3432AD80" w14:textId="7B9313A0" w:rsidR="008E7DFC" w:rsidRDefault="008E7DFC" w:rsidP="008E7DFC">
      <w:pPr>
        <w:pStyle w:val="CDIFigure-Table-ImagePlaceholder"/>
        <w:divId w:val="935526654"/>
      </w:pPr>
      <w:r>
        <w:rPr>
          <w:noProof/>
          <w14:ligatures w14:val="none"/>
        </w:rPr>
        <w:drawing>
          <wp:inline distT="0" distB="0" distL="0" distR="0" wp14:anchorId="5464E6A5" wp14:editId="22249AEB">
            <wp:extent cx="6084000" cy="3430800"/>
            <wp:effectExtent l="0" t="0" r="0" b="0"/>
            <wp:docPr id="5" name="Picture 5" descr="A trend graph for adverse events following immunisation reports, for people aged ≥ 65 years, by year of vaccination for the years 2000 to 2021, for the 13vPCV, 23vPPV, influenza (H1N1, seasonal standard formulation and seasonal high-dose or adjuvanted) and zoster (RZV and ZVL) vaccines. There have been four years across this time period for which a given vaccination program has met with between 300 and 400 AEFI reports in the year for this age group, all for different vaccines: a peak of approximately 380 AEFI reports in 2009 for the pandemic H1N1 influenza program; a 23vPPV AEFI peak of approximately 340 reports in 2011, corresponding to the TGA recall of batch N336 in this program in that year; a ZVL AEFI peak of approximately 340 reports in 2017, the year after the commencement of the catch-up program for this vaccine; and a high-dose/adjuvanted seasonal influenza vaccine AEFI peak of approximately 300 reports in 2018 with the commencement of that vaccination program in this ag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trend graph for adverse events following immunisation reports, for people aged ≥ 65 years, by year of vaccination for the years 2000 to 2021, for the 13vPCV, 23vPPV, influenza (H1N1, seasonal standard formulation and seasonal high-dose or adjuvanted) and zoster (RZV and ZVL) vaccines. There have been four years across this time period for which a given vaccination program has met with between 300 and 400 AEFI reports in the year for this age group, all for different vaccines: a peak of approximately 380 AEFI reports in 2009 for the pandemic H1N1 influenza program; a 23vPPV AEFI peak of approximately 340 reports in 2011, corresponding to the TGA recall of batch N336 in this program in that year; a ZVL AEFI peak of approximately 340 reports in 2017, the year after the commencement of the catch-up program for this vaccine; and a high-dose/adjuvanted seasonal influenza vaccine AEFI peak of approximately 300 reports in 2018 with the commencement of that vaccination program in this age group."/>
                    <pic:cNvPicPr/>
                  </pic:nvPicPr>
                  <pic:blipFill>
                    <a:blip r:embed="rId19">
                      <a:extLst>
                        <a:ext uri="{28A0092B-C50C-407E-A947-70E740481C1C}">
                          <a14:useLocalDpi xmlns:a14="http://schemas.microsoft.com/office/drawing/2010/main" val="0"/>
                        </a:ext>
                      </a:extLst>
                    </a:blip>
                    <a:stretch>
                      <a:fillRect/>
                    </a:stretch>
                  </pic:blipFill>
                  <pic:spPr>
                    <a:xfrm>
                      <a:off x="0" y="0"/>
                      <a:ext cx="6084000" cy="3430800"/>
                    </a:xfrm>
                    <a:prstGeom prst="rect">
                      <a:avLst/>
                    </a:prstGeom>
                  </pic:spPr>
                </pic:pic>
              </a:graphicData>
            </a:graphic>
          </wp:inline>
        </w:drawing>
      </w:r>
    </w:p>
    <w:p w14:paraId="08CB95E0" w14:textId="0C9C2FE5" w:rsidR="00917557" w:rsidRDefault="008E7DFC" w:rsidP="00917557">
      <w:pPr>
        <w:pStyle w:val="CDIFigure-Table-Footnote"/>
      </w:pPr>
      <w:proofErr w:type="spellStart"/>
      <w:r w:rsidRPr="008E7DFC">
        <w:t>a</w:t>
      </w:r>
      <w:proofErr w:type="spellEnd"/>
      <w:r w:rsidRPr="008E7DFC">
        <w:tab/>
      </w:r>
      <w:proofErr w:type="gramStart"/>
      <w:r w:rsidRPr="008E7DFC">
        <w:t>For</w:t>
      </w:r>
      <w:proofErr w:type="gramEnd"/>
      <w:r w:rsidRPr="008E7DFC">
        <w:t xml:space="preserve"> reports where the date of vaccination was not recorded, the date of symptom onset or the received date (when the event was reported to the sender of the case) was used. For more details on changes to the National Immunisation Program, please refer to Appendix A, Table A.1.</w:t>
      </w:r>
      <w:r w:rsidR="00917557">
        <w:br w:type="page"/>
      </w:r>
    </w:p>
    <w:p w14:paraId="4726AD4E" w14:textId="08991A74" w:rsidR="00A2131D" w:rsidRDefault="00C90E96" w:rsidP="00C90E96">
      <w:pPr>
        <w:pStyle w:val="Heading2"/>
      </w:pPr>
      <w:r>
        <w:t>Age distribution</w:t>
      </w:r>
    </w:p>
    <w:p w14:paraId="5AA372E2" w14:textId="77777777" w:rsidR="00C90E96" w:rsidRPr="00C90E96" w:rsidRDefault="00C90E96" w:rsidP="00C90E96">
      <w:pPr>
        <w:rPr>
          <w:lang w:val="en-GB"/>
        </w:rPr>
      </w:pPr>
      <w:r w:rsidRPr="00C90E96">
        <w:rPr>
          <w:lang w:val="en-GB"/>
        </w:rPr>
        <w:t>The highest age-specific AEFI reporting rate per 100,000 population occurred in children aged &lt; 7 years (Figure 6). Compared with 2020, reporting rates of AEFI decreased in all age groups in 2021 (Figure 6).</w:t>
      </w:r>
    </w:p>
    <w:p w14:paraId="30F07CDE" w14:textId="5D5CE3D1" w:rsidR="008E7DFC" w:rsidRDefault="00C90E96" w:rsidP="00C90E96">
      <w:pPr>
        <w:pStyle w:val="CDIFigure-Table-Title"/>
      </w:pPr>
      <w:bookmarkStart w:id="0" w:name="_Hlk167971631"/>
      <w:r>
        <w:t xml:space="preserve">Figure 6: </w:t>
      </w:r>
      <w:r w:rsidRPr="00C90E96">
        <w:t>Reporting rates of adverse events following immunisation per 100,000 population in the Adverse Event Management System database from 2000 to 2021 (excluding COVID-19 vaccines</w:t>
      </w:r>
      <w:proofErr w:type="gramStart"/>
      <w:r w:rsidRPr="00C90E96">
        <w:t>),</w:t>
      </w:r>
      <w:r w:rsidRPr="00C90E96">
        <w:rPr>
          <w:rStyle w:val="Superscript"/>
        </w:rPr>
        <w:t>a</w:t>
      </w:r>
      <w:proofErr w:type="gramEnd"/>
      <w:r w:rsidRPr="00C90E96">
        <w:t xml:space="preserve"> by year and age group</w:t>
      </w:r>
    </w:p>
    <w:bookmarkEnd w:id="0"/>
    <w:p w14:paraId="197AF6E0" w14:textId="389AEB00" w:rsidR="00C90E96" w:rsidRDefault="00952313" w:rsidP="00C90E96">
      <w:pPr>
        <w:pStyle w:val="CDIFigure-Table-ImagePlaceholder"/>
      </w:pPr>
      <w:r>
        <w:rPr>
          <w:noProof/>
          <w14:ligatures w14:val="none"/>
        </w:rPr>
        <w:drawing>
          <wp:inline distT="0" distB="0" distL="0" distR="0" wp14:anchorId="2A363312" wp14:editId="16D54964">
            <wp:extent cx="6069600" cy="3427200"/>
            <wp:effectExtent l="0" t="0" r="7620" b="1905"/>
            <wp:docPr id="7" name="Picture 7" descr="Figure 6 is a line graph showing reporting annual rates of adverse events following immunisation per 100,000 population, by year (2000 to 2021) and by age group.&#10;The figure shows that rates of AEFI reporting are much higher for those in the under-seven-years age group than for those in the 7–17 years, 18–64 years, and ≥ 65 years age groups, across each year from 2000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6 is a line graph showing reporting annual rates of adverse events following immunisation per 100,000 population, by year (2000 to 2021) and by age group.&#10;The figure shows that rates of AEFI reporting are much higher for those in the under-seven-years age group than for those in the 7–17 years, 18–64 years, and ≥ 65 years age groups, across each year from 2000 to 2021."/>
                    <pic:cNvPicPr/>
                  </pic:nvPicPr>
                  <pic:blipFill>
                    <a:blip r:embed="rId20">
                      <a:extLst>
                        <a:ext uri="{28A0092B-C50C-407E-A947-70E740481C1C}">
                          <a14:useLocalDpi xmlns:a14="http://schemas.microsoft.com/office/drawing/2010/main" val="0"/>
                        </a:ext>
                      </a:extLst>
                    </a:blip>
                    <a:stretch>
                      <a:fillRect/>
                    </a:stretch>
                  </pic:blipFill>
                  <pic:spPr>
                    <a:xfrm>
                      <a:off x="0" y="0"/>
                      <a:ext cx="6069600" cy="3427200"/>
                    </a:xfrm>
                    <a:prstGeom prst="rect">
                      <a:avLst/>
                    </a:prstGeom>
                  </pic:spPr>
                </pic:pic>
              </a:graphicData>
            </a:graphic>
          </wp:inline>
        </w:drawing>
      </w:r>
    </w:p>
    <w:p w14:paraId="35925F6E" w14:textId="5CA1F2D6" w:rsidR="00917557" w:rsidRDefault="00C90E96" w:rsidP="00917557">
      <w:pPr>
        <w:pStyle w:val="CDIFigure-Table-Footnote"/>
      </w:pPr>
      <w:proofErr w:type="spellStart"/>
      <w:r w:rsidRPr="00C90E96">
        <w:t>a</w:t>
      </w:r>
      <w:proofErr w:type="spellEnd"/>
      <w:r w:rsidRPr="00C90E96">
        <w:tab/>
      </w:r>
      <w:proofErr w:type="gramStart"/>
      <w:r w:rsidRPr="00C90E96">
        <w:t>For</w:t>
      </w:r>
      <w:proofErr w:type="gramEnd"/>
      <w:r w:rsidRPr="00C90E96">
        <w:t xml:space="preserve"> reports where the date of vaccination was not recorded, the date of symptom onset or the received date (when the event was reported to the sender of the case) was used. For more details on changes to the National Immunisation Program, please refer to Appendix A, Table A.1.</w:t>
      </w:r>
      <w:r w:rsidR="00917557">
        <w:br w:type="page"/>
      </w:r>
    </w:p>
    <w:p w14:paraId="214DFABF" w14:textId="38465AC9" w:rsidR="00C90E96" w:rsidRDefault="00C90E96" w:rsidP="00C90E96">
      <w:pPr>
        <w:pStyle w:val="Heading2"/>
      </w:pPr>
      <w:r>
        <w:t>Geographical distribution</w:t>
      </w:r>
    </w:p>
    <w:p w14:paraId="1D93CAC4" w14:textId="77777777" w:rsidR="00C90E96" w:rsidRPr="00C90E96" w:rsidRDefault="00C90E96" w:rsidP="00C90E96">
      <w:pPr>
        <w:rPr>
          <w:lang w:val="en-GB"/>
        </w:rPr>
      </w:pPr>
      <w:r w:rsidRPr="00C90E96">
        <w:rPr>
          <w:lang w:val="en-GB"/>
        </w:rPr>
        <w:t>Population-based AEFI reporting patterns varied between states and territories in 2021. Victoria, New South Wales and Queensland had the highest numbers of AEFI reports, whilst the highest AEFI reporting rates were in Victoria, the Northern Territory and the Australian Capital Territory (Table 2).</w:t>
      </w:r>
    </w:p>
    <w:p w14:paraId="6A7429E7" w14:textId="4CD6547D" w:rsidR="00C90E96" w:rsidRDefault="00C90E96" w:rsidP="00C90E96">
      <w:pPr>
        <w:pStyle w:val="CDIFigure-Table-Title"/>
      </w:pPr>
      <w:r>
        <w:t xml:space="preserve">Table 2: </w:t>
      </w:r>
      <w:r w:rsidRPr="00C90E96">
        <w:t>Adverse event following immunisation reports in the Adverse Event Management System database in 2021 (excluding COVID-19 vaccines), by jurisdiction</w:t>
      </w:r>
    </w:p>
    <w:tbl>
      <w:tblPr>
        <w:tblW w:w="0" w:type="auto"/>
        <w:tblInd w:w="-8" w:type="dxa"/>
        <w:tblLayout w:type="fixed"/>
        <w:tblCellMar>
          <w:left w:w="0" w:type="dxa"/>
          <w:right w:w="0" w:type="dxa"/>
        </w:tblCellMar>
        <w:tblLook w:val="0000" w:firstRow="0" w:lastRow="0" w:firstColumn="0" w:lastColumn="0" w:noHBand="0" w:noVBand="0"/>
        <w:tblCaption w:val="Table 2: Adverse event following immunisation reports in the Adverse Event Management System database in 2021 (excluding COVID-19 vaccines), by jurisdiction"/>
        <w:tblDescription w:val="Table 2 shows adverse events following immunisation (AEFI), 2021, by state or territory, by age group, and by proportion of serious AEFI reports within each jurisdiction."/>
      </w:tblPr>
      <w:tblGrid>
        <w:gridCol w:w="1304"/>
        <w:gridCol w:w="1701"/>
        <w:gridCol w:w="1701"/>
        <w:gridCol w:w="1644"/>
        <w:gridCol w:w="1644"/>
        <w:gridCol w:w="1644"/>
      </w:tblGrid>
      <w:tr w:rsidR="002F1A19" w14:paraId="1867C883" w14:textId="77777777" w:rsidTr="0050514F">
        <w:trPr>
          <w:trHeight w:val="20"/>
          <w:tblHeader/>
        </w:trPr>
        <w:tc>
          <w:tcPr>
            <w:tcW w:w="1304" w:type="dxa"/>
            <w:vMerge w:val="restart"/>
            <w:shd w:val="clear" w:color="auto" w:fill="033636" w:themeFill="text2"/>
            <w:tcMar>
              <w:top w:w="113" w:type="dxa"/>
              <w:left w:w="113" w:type="dxa"/>
              <w:bottom w:w="113" w:type="dxa"/>
              <w:right w:w="113" w:type="dxa"/>
            </w:tcMar>
            <w:vAlign w:val="bottom"/>
          </w:tcPr>
          <w:p w14:paraId="39EAD00F" w14:textId="77777777" w:rsidR="002F1A19" w:rsidRDefault="002F1A19" w:rsidP="0050514F">
            <w:pPr>
              <w:pStyle w:val="CDIFigure-Table-H1Left"/>
            </w:pPr>
            <w:proofErr w:type="spellStart"/>
            <w:r>
              <w:t>Jurisdiction</w:t>
            </w:r>
            <w:r>
              <w:rPr>
                <w:rStyle w:val="Superscript"/>
              </w:rPr>
              <w:t>a</w:t>
            </w:r>
            <w:proofErr w:type="spellEnd"/>
          </w:p>
        </w:tc>
        <w:tc>
          <w:tcPr>
            <w:tcW w:w="1701" w:type="dxa"/>
            <w:vMerge w:val="restart"/>
            <w:tcBorders>
              <w:right w:val="single" w:sz="4" w:space="0" w:color="FFFFFF" w:themeColor="background1"/>
            </w:tcBorders>
            <w:shd w:val="clear" w:color="auto" w:fill="033636" w:themeFill="text2"/>
            <w:tcMar>
              <w:top w:w="113" w:type="dxa"/>
              <w:left w:w="113" w:type="dxa"/>
              <w:bottom w:w="113" w:type="dxa"/>
              <w:right w:w="113" w:type="dxa"/>
            </w:tcMar>
            <w:vAlign w:val="bottom"/>
          </w:tcPr>
          <w:p w14:paraId="003CAD0A" w14:textId="77777777" w:rsidR="002F1A19" w:rsidRDefault="002F1A19" w:rsidP="002F1A19">
            <w:pPr>
              <w:pStyle w:val="CDIFigure-Table-H1"/>
            </w:pPr>
            <w:r>
              <w:t>AEFI reports</w:t>
            </w:r>
            <w:r>
              <w:br/>
              <w:t>n (%)</w:t>
            </w:r>
          </w:p>
        </w:tc>
        <w:tc>
          <w:tcPr>
            <w:tcW w:w="6633" w:type="dxa"/>
            <w:gridSpan w:val="4"/>
            <w:tcBorders>
              <w:left w:val="single" w:sz="4" w:space="0" w:color="FFFFFF" w:themeColor="background1"/>
            </w:tcBorders>
            <w:shd w:val="clear" w:color="auto" w:fill="033636" w:themeFill="text2"/>
            <w:tcMar>
              <w:top w:w="113" w:type="dxa"/>
              <w:left w:w="113" w:type="dxa"/>
              <w:bottom w:w="113" w:type="dxa"/>
              <w:right w:w="113" w:type="dxa"/>
            </w:tcMar>
            <w:vAlign w:val="bottom"/>
          </w:tcPr>
          <w:p w14:paraId="32C70717" w14:textId="77777777" w:rsidR="002F1A19" w:rsidRDefault="002F1A19" w:rsidP="002F1A19">
            <w:pPr>
              <w:pStyle w:val="CDIFigure-Table-H1"/>
            </w:pPr>
            <w:r>
              <w:t xml:space="preserve">Annual reporting rate per 100,000 </w:t>
            </w:r>
            <w:proofErr w:type="spellStart"/>
            <w:r>
              <w:t>population</w:t>
            </w:r>
            <w:r>
              <w:rPr>
                <w:rStyle w:val="Superscript"/>
              </w:rPr>
              <w:t>b</w:t>
            </w:r>
            <w:proofErr w:type="spellEnd"/>
          </w:p>
        </w:tc>
      </w:tr>
      <w:tr w:rsidR="0050514F" w14:paraId="586CFB3C" w14:textId="77777777" w:rsidTr="0050514F">
        <w:trPr>
          <w:trHeight w:val="20"/>
          <w:tblHeader/>
        </w:trPr>
        <w:tc>
          <w:tcPr>
            <w:tcW w:w="1304" w:type="dxa"/>
            <w:vMerge/>
            <w:shd w:val="clear" w:color="auto" w:fill="033636" w:themeFill="text2"/>
          </w:tcPr>
          <w:p w14:paraId="60841291" w14:textId="77777777" w:rsidR="002F1A19" w:rsidRDefault="002F1A19" w:rsidP="002F1A19">
            <w:pPr>
              <w:pStyle w:val="CDIFigure-Table-BodyTextCentre"/>
              <w:rPr>
                <w:lang w:val="en-AU"/>
              </w:rPr>
            </w:pPr>
          </w:p>
        </w:tc>
        <w:tc>
          <w:tcPr>
            <w:tcW w:w="1701" w:type="dxa"/>
            <w:vMerge/>
            <w:tcBorders>
              <w:right w:val="single" w:sz="4" w:space="0" w:color="FFFFFF" w:themeColor="background1"/>
            </w:tcBorders>
            <w:shd w:val="clear" w:color="auto" w:fill="033636" w:themeFill="text2"/>
          </w:tcPr>
          <w:p w14:paraId="45C941BB" w14:textId="77777777" w:rsidR="002F1A19" w:rsidRDefault="002F1A19" w:rsidP="002F1A19">
            <w:pPr>
              <w:pStyle w:val="CDIFigure-Table-BodyTextCentre"/>
              <w:rPr>
                <w:lang w:val="en-AU"/>
              </w:rPr>
            </w:pPr>
          </w:p>
        </w:tc>
        <w:tc>
          <w:tcPr>
            <w:tcW w:w="1701"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bottom"/>
          </w:tcPr>
          <w:p w14:paraId="54EB82D7" w14:textId="77777777" w:rsidR="002F1A19" w:rsidRDefault="002F1A19" w:rsidP="002F1A19">
            <w:pPr>
              <w:pStyle w:val="CDIFigure-Table-H1"/>
            </w:pPr>
            <w:r>
              <w:t xml:space="preserve">Overall (95% </w:t>
            </w:r>
            <w:proofErr w:type="gramStart"/>
            <w:r>
              <w:t>CI)</w:t>
            </w:r>
            <w:r>
              <w:rPr>
                <w:rStyle w:val="Superscript"/>
              </w:rPr>
              <w:t>c</w:t>
            </w:r>
            <w:proofErr w:type="gramEnd"/>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A075F20" w14:textId="77777777" w:rsidR="002F1A19" w:rsidRDefault="002F1A19" w:rsidP="002F1A19">
            <w:pPr>
              <w:pStyle w:val="CDIFigure-Table-H1"/>
            </w:pPr>
            <w:r>
              <w:t xml:space="preserve">Aged &lt; 7 </w:t>
            </w:r>
            <w:proofErr w:type="spellStart"/>
            <w:r>
              <w:t>years</w:t>
            </w:r>
            <w:r>
              <w:rPr>
                <w:rStyle w:val="Superscript"/>
              </w:rPr>
              <w:t>d</w:t>
            </w:r>
            <w:proofErr w:type="spellEnd"/>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7D9337B" w14:textId="77777777" w:rsidR="002F1A19" w:rsidRDefault="002F1A19" w:rsidP="002F1A19">
            <w:pPr>
              <w:pStyle w:val="CDIFigure-Table-H1"/>
            </w:pPr>
            <w:r>
              <w:t xml:space="preserve">Aged ≥ 7 </w:t>
            </w:r>
            <w:proofErr w:type="spellStart"/>
            <w:r>
              <w:t>years</w:t>
            </w:r>
            <w:r>
              <w:rPr>
                <w:rStyle w:val="Superscript"/>
              </w:rPr>
              <w:t>d</w:t>
            </w:r>
            <w:proofErr w:type="spellEnd"/>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2298BBE5" w14:textId="77777777" w:rsidR="002F1A19" w:rsidRDefault="002F1A19" w:rsidP="002F1A19">
            <w:pPr>
              <w:pStyle w:val="CDIFigure-Table-H1"/>
            </w:pPr>
            <w:r>
              <w:t xml:space="preserve">Serious </w:t>
            </w:r>
            <w:proofErr w:type="spellStart"/>
            <w:r>
              <w:t>AEFI</w:t>
            </w:r>
            <w:r>
              <w:rPr>
                <w:rStyle w:val="Superscript"/>
              </w:rPr>
              <w:t>e</w:t>
            </w:r>
            <w:proofErr w:type="spellEnd"/>
          </w:p>
        </w:tc>
      </w:tr>
      <w:tr w:rsidR="002F1A19" w14:paraId="0FC128AB" w14:textId="77777777" w:rsidTr="0050514F">
        <w:trPr>
          <w:trHeight w:val="20"/>
        </w:trPr>
        <w:tc>
          <w:tcPr>
            <w:tcW w:w="1304" w:type="dxa"/>
            <w:shd w:val="clear" w:color="auto" w:fill="F2F2F2" w:themeFill="background1" w:themeFillShade="F2"/>
            <w:tcMar>
              <w:top w:w="113" w:type="dxa"/>
              <w:left w:w="113" w:type="dxa"/>
              <w:bottom w:w="113" w:type="dxa"/>
              <w:right w:w="113" w:type="dxa"/>
            </w:tcMar>
            <w:vAlign w:val="center"/>
          </w:tcPr>
          <w:p w14:paraId="67EF0BBB" w14:textId="77777777" w:rsidR="002F1A19" w:rsidRDefault="002F1A19" w:rsidP="0050514F">
            <w:pPr>
              <w:pStyle w:val="CDIFigure-Table-BodyTextLeft"/>
            </w:pPr>
            <w:r>
              <w:t>ACT</w:t>
            </w:r>
          </w:p>
        </w:tc>
        <w:tc>
          <w:tcPr>
            <w:tcW w:w="1701" w:type="dxa"/>
            <w:shd w:val="clear" w:color="auto" w:fill="F2F2F2" w:themeFill="background1" w:themeFillShade="F2"/>
            <w:tcMar>
              <w:top w:w="113" w:type="dxa"/>
              <w:left w:w="113" w:type="dxa"/>
              <w:bottom w:w="113" w:type="dxa"/>
              <w:right w:w="113" w:type="dxa"/>
            </w:tcMar>
            <w:vAlign w:val="center"/>
          </w:tcPr>
          <w:p w14:paraId="58A1E417" w14:textId="77777777" w:rsidR="002F1A19" w:rsidRDefault="002F1A19" w:rsidP="002F1A19">
            <w:pPr>
              <w:pStyle w:val="CDIFigure-Table-BodyTextCentre"/>
            </w:pPr>
            <w:r>
              <w:t>69 (2.0)</w:t>
            </w:r>
          </w:p>
        </w:tc>
        <w:tc>
          <w:tcPr>
            <w:tcW w:w="1701" w:type="dxa"/>
            <w:shd w:val="clear" w:color="auto" w:fill="F2F2F2" w:themeFill="background1" w:themeFillShade="F2"/>
            <w:tcMar>
              <w:top w:w="113" w:type="dxa"/>
              <w:left w:w="113" w:type="dxa"/>
              <w:bottom w:w="113" w:type="dxa"/>
              <w:right w:w="113" w:type="dxa"/>
            </w:tcMar>
            <w:vAlign w:val="center"/>
          </w:tcPr>
          <w:p w14:paraId="55B83A6B" w14:textId="77777777" w:rsidR="002F1A19" w:rsidRDefault="002F1A19" w:rsidP="002F1A19">
            <w:pPr>
              <w:pStyle w:val="CDIFigure-Table-BodyTextCentre"/>
            </w:pPr>
            <w:r>
              <w:t>16.0 (12.4–20.2)</w:t>
            </w:r>
          </w:p>
        </w:tc>
        <w:tc>
          <w:tcPr>
            <w:tcW w:w="1644" w:type="dxa"/>
            <w:shd w:val="clear" w:color="auto" w:fill="F2F2F2" w:themeFill="background1" w:themeFillShade="F2"/>
            <w:tcMar>
              <w:top w:w="113" w:type="dxa"/>
              <w:left w:w="113" w:type="dxa"/>
              <w:bottom w:w="113" w:type="dxa"/>
              <w:right w:w="113" w:type="dxa"/>
            </w:tcMar>
            <w:vAlign w:val="center"/>
          </w:tcPr>
          <w:p w14:paraId="17A60293" w14:textId="77777777" w:rsidR="002F1A19" w:rsidRDefault="002F1A19" w:rsidP="002F1A19">
            <w:pPr>
              <w:pStyle w:val="CDIFigure-Table-BodyTextCentre"/>
            </w:pPr>
            <w:r>
              <w:t>61.7</w:t>
            </w:r>
          </w:p>
        </w:tc>
        <w:tc>
          <w:tcPr>
            <w:tcW w:w="1644" w:type="dxa"/>
            <w:shd w:val="clear" w:color="auto" w:fill="F2F2F2" w:themeFill="background1" w:themeFillShade="F2"/>
            <w:tcMar>
              <w:top w:w="113" w:type="dxa"/>
              <w:left w:w="113" w:type="dxa"/>
              <w:bottom w:w="113" w:type="dxa"/>
              <w:right w:w="113" w:type="dxa"/>
            </w:tcMar>
            <w:vAlign w:val="center"/>
          </w:tcPr>
          <w:p w14:paraId="56BD83DD" w14:textId="77777777" w:rsidR="002F1A19" w:rsidRDefault="002F1A19" w:rsidP="002F1A19">
            <w:pPr>
              <w:pStyle w:val="CDIFigure-Table-BodyTextCentre"/>
            </w:pPr>
            <w:r>
              <w:t>10.2</w:t>
            </w:r>
          </w:p>
        </w:tc>
        <w:tc>
          <w:tcPr>
            <w:tcW w:w="1644" w:type="dxa"/>
            <w:shd w:val="clear" w:color="auto" w:fill="F2F2F2" w:themeFill="background1" w:themeFillShade="F2"/>
            <w:tcMar>
              <w:top w:w="113" w:type="dxa"/>
              <w:left w:w="113" w:type="dxa"/>
              <w:bottom w:w="113" w:type="dxa"/>
              <w:right w:w="113" w:type="dxa"/>
            </w:tcMar>
            <w:vAlign w:val="center"/>
          </w:tcPr>
          <w:p w14:paraId="3F78938C" w14:textId="77777777" w:rsidR="002F1A19" w:rsidRDefault="002F1A19" w:rsidP="002F1A19">
            <w:pPr>
              <w:pStyle w:val="CDIFigure-Table-BodyTextCentre"/>
            </w:pPr>
            <w:r>
              <w:t>0.7</w:t>
            </w:r>
          </w:p>
        </w:tc>
      </w:tr>
      <w:tr w:rsidR="002F1A19" w14:paraId="38AB4E72" w14:textId="77777777" w:rsidTr="0050514F">
        <w:trPr>
          <w:trHeight w:val="20"/>
        </w:trPr>
        <w:tc>
          <w:tcPr>
            <w:tcW w:w="1304" w:type="dxa"/>
            <w:tcMar>
              <w:top w:w="113" w:type="dxa"/>
              <w:left w:w="113" w:type="dxa"/>
              <w:bottom w:w="113" w:type="dxa"/>
              <w:right w:w="113" w:type="dxa"/>
            </w:tcMar>
            <w:vAlign w:val="center"/>
          </w:tcPr>
          <w:p w14:paraId="0041F48D" w14:textId="77777777" w:rsidR="002F1A19" w:rsidRDefault="002F1A19" w:rsidP="0050514F">
            <w:pPr>
              <w:pStyle w:val="CDIFigure-Table-BodyTextLeft"/>
            </w:pPr>
            <w:r>
              <w:t>NSW</w:t>
            </w:r>
          </w:p>
        </w:tc>
        <w:tc>
          <w:tcPr>
            <w:tcW w:w="1701" w:type="dxa"/>
            <w:tcMar>
              <w:top w:w="113" w:type="dxa"/>
              <w:left w:w="113" w:type="dxa"/>
              <w:bottom w:w="113" w:type="dxa"/>
              <w:right w:w="113" w:type="dxa"/>
            </w:tcMar>
            <w:vAlign w:val="center"/>
          </w:tcPr>
          <w:p w14:paraId="7D4F832F" w14:textId="77777777" w:rsidR="002F1A19" w:rsidRDefault="002F1A19" w:rsidP="002F1A19">
            <w:pPr>
              <w:pStyle w:val="CDIFigure-Table-BodyTextCentre"/>
            </w:pPr>
            <w:r>
              <w:t>618 (17.9)</w:t>
            </w:r>
          </w:p>
        </w:tc>
        <w:tc>
          <w:tcPr>
            <w:tcW w:w="1701" w:type="dxa"/>
            <w:tcMar>
              <w:top w:w="113" w:type="dxa"/>
              <w:left w:w="113" w:type="dxa"/>
              <w:bottom w:w="113" w:type="dxa"/>
              <w:right w:w="113" w:type="dxa"/>
            </w:tcMar>
            <w:vAlign w:val="center"/>
          </w:tcPr>
          <w:p w14:paraId="6E68AA98" w14:textId="77777777" w:rsidR="002F1A19" w:rsidRDefault="002F1A19" w:rsidP="002F1A19">
            <w:pPr>
              <w:pStyle w:val="CDIFigure-Table-BodyTextCentre"/>
            </w:pPr>
            <w:r>
              <w:t>7.5 (7.0–8.2)</w:t>
            </w:r>
          </w:p>
        </w:tc>
        <w:tc>
          <w:tcPr>
            <w:tcW w:w="1644" w:type="dxa"/>
            <w:tcMar>
              <w:top w:w="113" w:type="dxa"/>
              <w:left w:w="113" w:type="dxa"/>
              <w:bottom w:w="113" w:type="dxa"/>
              <w:right w:w="113" w:type="dxa"/>
            </w:tcMar>
            <w:vAlign w:val="center"/>
          </w:tcPr>
          <w:p w14:paraId="40656F7F" w14:textId="77777777" w:rsidR="002F1A19" w:rsidRDefault="002F1A19" w:rsidP="002F1A19">
            <w:pPr>
              <w:pStyle w:val="CDIFigure-Table-BodyTextCentre"/>
            </w:pPr>
            <w:r>
              <w:t>38.6</w:t>
            </w:r>
          </w:p>
        </w:tc>
        <w:tc>
          <w:tcPr>
            <w:tcW w:w="1644" w:type="dxa"/>
            <w:tcMar>
              <w:top w:w="113" w:type="dxa"/>
              <w:left w:w="113" w:type="dxa"/>
              <w:bottom w:w="113" w:type="dxa"/>
              <w:right w:w="113" w:type="dxa"/>
            </w:tcMar>
            <w:vAlign w:val="center"/>
          </w:tcPr>
          <w:p w14:paraId="0E7332BB" w14:textId="77777777" w:rsidR="002F1A19" w:rsidRDefault="002F1A19" w:rsidP="002F1A19">
            <w:pPr>
              <w:pStyle w:val="CDIFigure-Table-BodyTextCentre"/>
            </w:pPr>
            <w:r>
              <w:t>4.4</w:t>
            </w:r>
          </w:p>
        </w:tc>
        <w:tc>
          <w:tcPr>
            <w:tcW w:w="1644" w:type="dxa"/>
            <w:tcMar>
              <w:top w:w="113" w:type="dxa"/>
              <w:left w:w="113" w:type="dxa"/>
              <w:bottom w:w="113" w:type="dxa"/>
              <w:right w:w="113" w:type="dxa"/>
            </w:tcMar>
            <w:vAlign w:val="center"/>
          </w:tcPr>
          <w:p w14:paraId="746DF05E" w14:textId="77777777" w:rsidR="002F1A19" w:rsidRDefault="002F1A19" w:rsidP="002F1A19">
            <w:pPr>
              <w:pStyle w:val="CDIFigure-Table-BodyTextCentre"/>
            </w:pPr>
            <w:r>
              <w:t>1.1</w:t>
            </w:r>
          </w:p>
        </w:tc>
      </w:tr>
      <w:tr w:rsidR="002F1A19" w14:paraId="17646CA4" w14:textId="77777777" w:rsidTr="0050514F">
        <w:trPr>
          <w:trHeight w:val="20"/>
        </w:trPr>
        <w:tc>
          <w:tcPr>
            <w:tcW w:w="1304" w:type="dxa"/>
            <w:shd w:val="clear" w:color="auto" w:fill="F2F2F2" w:themeFill="background1" w:themeFillShade="F2"/>
            <w:tcMar>
              <w:top w:w="113" w:type="dxa"/>
              <w:left w:w="113" w:type="dxa"/>
              <w:bottom w:w="113" w:type="dxa"/>
              <w:right w:w="113" w:type="dxa"/>
            </w:tcMar>
            <w:vAlign w:val="center"/>
          </w:tcPr>
          <w:p w14:paraId="1EED2E7A" w14:textId="77777777" w:rsidR="002F1A19" w:rsidRDefault="002F1A19" w:rsidP="0050514F">
            <w:pPr>
              <w:pStyle w:val="CDIFigure-Table-BodyTextLeft"/>
            </w:pPr>
            <w:r>
              <w:t>NT</w:t>
            </w:r>
          </w:p>
        </w:tc>
        <w:tc>
          <w:tcPr>
            <w:tcW w:w="1701" w:type="dxa"/>
            <w:shd w:val="clear" w:color="auto" w:fill="F2F2F2" w:themeFill="background1" w:themeFillShade="F2"/>
            <w:tcMar>
              <w:top w:w="113" w:type="dxa"/>
              <w:left w:w="113" w:type="dxa"/>
              <w:bottom w:w="113" w:type="dxa"/>
              <w:right w:w="113" w:type="dxa"/>
            </w:tcMar>
            <w:vAlign w:val="center"/>
          </w:tcPr>
          <w:p w14:paraId="0C1CC79B" w14:textId="77777777" w:rsidR="002F1A19" w:rsidRDefault="002F1A19" w:rsidP="002F1A19">
            <w:pPr>
              <w:pStyle w:val="CDIFigure-Table-BodyTextCentre"/>
            </w:pPr>
            <w:r>
              <w:t>49 (1.4)</w:t>
            </w:r>
          </w:p>
        </w:tc>
        <w:tc>
          <w:tcPr>
            <w:tcW w:w="1701" w:type="dxa"/>
            <w:shd w:val="clear" w:color="auto" w:fill="F2F2F2" w:themeFill="background1" w:themeFillShade="F2"/>
            <w:tcMar>
              <w:top w:w="113" w:type="dxa"/>
              <w:left w:w="113" w:type="dxa"/>
              <w:bottom w:w="113" w:type="dxa"/>
              <w:right w:w="113" w:type="dxa"/>
            </w:tcMar>
            <w:vAlign w:val="center"/>
          </w:tcPr>
          <w:p w14:paraId="47222B26" w14:textId="77777777" w:rsidR="002F1A19" w:rsidRDefault="002F1A19" w:rsidP="002F1A19">
            <w:pPr>
              <w:pStyle w:val="CDIFigure-Table-BodyTextCentre"/>
            </w:pPr>
            <w:r>
              <w:t>19.9 (14.7–26.3)</w:t>
            </w:r>
          </w:p>
        </w:tc>
        <w:tc>
          <w:tcPr>
            <w:tcW w:w="1644" w:type="dxa"/>
            <w:shd w:val="clear" w:color="auto" w:fill="F2F2F2" w:themeFill="background1" w:themeFillShade="F2"/>
            <w:tcMar>
              <w:top w:w="113" w:type="dxa"/>
              <w:left w:w="113" w:type="dxa"/>
              <w:bottom w:w="113" w:type="dxa"/>
              <w:right w:w="113" w:type="dxa"/>
            </w:tcMar>
            <w:vAlign w:val="center"/>
          </w:tcPr>
          <w:p w14:paraId="04DE203C" w14:textId="77777777" w:rsidR="002F1A19" w:rsidRDefault="002F1A19" w:rsidP="002F1A19">
            <w:pPr>
              <w:pStyle w:val="CDIFigure-Table-BodyTextCentre"/>
            </w:pPr>
            <w:r>
              <w:t>73.0</w:t>
            </w:r>
          </w:p>
        </w:tc>
        <w:tc>
          <w:tcPr>
            <w:tcW w:w="1644" w:type="dxa"/>
            <w:shd w:val="clear" w:color="auto" w:fill="F2F2F2" w:themeFill="background1" w:themeFillShade="F2"/>
            <w:tcMar>
              <w:top w:w="113" w:type="dxa"/>
              <w:left w:w="113" w:type="dxa"/>
              <w:bottom w:w="113" w:type="dxa"/>
              <w:right w:w="113" w:type="dxa"/>
            </w:tcMar>
            <w:vAlign w:val="center"/>
          </w:tcPr>
          <w:p w14:paraId="58873F97" w14:textId="77777777" w:rsidR="002F1A19" w:rsidRDefault="002F1A19" w:rsidP="002F1A19">
            <w:pPr>
              <w:pStyle w:val="CDIFigure-Table-BodyTextCentre"/>
            </w:pPr>
            <w:r>
              <w:t>14.0</w:t>
            </w:r>
          </w:p>
        </w:tc>
        <w:tc>
          <w:tcPr>
            <w:tcW w:w="1644" w:type="dxa"/>
            <w:shd w:val="clear" w:color="auto" w:fill="F2F2F2" w:themeFill="background1" w:themeFillShade="F2"/>
            <w:tcMar>
              <w:top w:w="113" w:type="dxa"/>
              <w:left w:w="113" w:type="dxa"/>
              <w:bottom w:w="113" w:type="dxa"/>
              <w:right w:w="113" w:type="dxa"/>
            </w:tcMar>
            <w:vAlign w:val="center"/>
          </w:tcPr>
          <w:p w14:paraId="579F5A9F" w14:textId="77777777" w:rsidR="002F1A19" w:rsidRDefault="002F1A19" w:rsidP="002F1A19">
            <w:pPr>
              <w:pStyle w:val="CDIFigure-Table-BodyTextCentre"/>
            </w:pPr>
            <w:r>
              <w:t>2.0</w:t>
            </w:r>
          </w:p>
        </w:tc>
      </w:tr>
      <w:tr w:rsidR="002F1A19" w14:paraId="2ED841E9" w14:textId="77777777" w:rsidTr="0050514F">
        <w:trPr>
          <w:trHeight w:val="20"/>
        </w:trPr>
        <w:tc>
          <w:tcPr>
            <w:tcW w:w="1304" w:type="dxa"/>
            <w:tcMar>
              <w:top w:w="113" w:type="dxa"/>
              <w:left w:w="113" w:type="dxa"/>
              <w:bottom w:w="113" w:type="dxa"/>
              <w:right w:w="113" w:type="dxa"/>
            </w:tcMar>
            <w:vAlign w:val="center"/>
          </w:tcPr>
          <w:p w14:paraId="02A8921E" w14:textId="77777777" w:rsidR="002F1A19" w:rsidRDefault="002F1A19" w:rsidP="0050514F">
            <w:pPr>
              <w:pStyle w:val="CDIFigure-Table-BodyTextLeft"/>
            </w:pPr>
            <w:r>
              <w:t>Qld</w:t>
            </w:r>
          </w:p>
        </w:tc>
        <w:tc>
          <w:tcPr>
            <w:tcW w:w="1701" w:type="dxa"/>
            <w:tcMar>
              <w:top w:w="113" w:type="dxa"/>
              <w:left w:w="113" w:type="dxa"/>
              <w:bottom w:w="113" w:type="dxa"/>
              <w:right w:w="113" w:type="dxa"/>
            </w:tcMar>
            <w:vAlign w:val="center"/>
          </w:tcPr>
          <w:p w14:paraId="17FA47C4" w14:textId="77777777" w:rsidR="002F1A19" w:rsidRDefault="002F1A19" w:rsidP="002F1A19">
            <w:pPr>
              <w:pStyle w:val="CDIFigure-Table-BodyTextCentre"/>
            </w:pPr>
            <w:r>
              <w:t>485 (14.0)</w:t>
            </w:r>
          </w:p>
        </w:tc>
        <w:tc>
          <w:tcPr>
            <w:tcW w:w="1701" w:type="dxa"/>
            <w:tcMar>
              <w:top w:w="113" w:type="dxa"/>
              <w:left w:w="113" w:type="dxa"/>
              <w:bottom w:w="113" w:type="dxa"/>
              <w:right w:w="113" w:type="dxa"/>
            </w:tcMar>
            <w:vAlign w:val="center"/>
          </w:tcPr>
          <w:p w14:paraId="779FECE3" w14:textId="77777777" w:rsidR="002F1A19" w:rsidRDefault="002F1A19" w:rsidP="002F1A19">
            <w:pPr>
              <w:pStyle w:val="CDIFigure-Table-BodyTextCentre"/>
            </w:pPr>
            <w:r>
              <w:t>9.3 (8.5–10.2)</w:t>
            </w:r>
          </w:p>
        </w:tc>
        <w:tc>
          <w:tcPr>
            <w:tcW w:w="1644" w:type="dxa"/>
            <w:tcMar>
              <w:top w:w="113" w:type="dxa"/>
              <w:left w:w="113" w:type="dxa"/>
              <w:bottom w:w="113" w:type="dxa"/>
              <w:right w:w="113" w:type="dxa"/>
            </w:tcMar>
            <w:vAlign w:val="center"/>
          </w:tcPr>
          <w:p w14:paraId="4D4FCAA2" w14:textId="77777777" w:rsidR="002F1A19" w:rsidRDefault="002F1A19" w:rsidP="002F1A19">
            <w:pPr>
              <w:pStyle w:val="CDIFigure-Table-BodyTextCentre"/>
            </w:pPr>
            <w:r>
              <w:t>47.2</w:t>
            </w:r>
          </w:p>
        </w:tc>
        <w:tc>
          <w:tcPr>
            <w:tcW w:w="1644" w:type="dxa"/>
            <w:tcMar>
              <w:top w:w="113" w:type="dxa"/>
              <w:left w:w="113" w:type="dxa"/>
              <w:bottom w:w="113" w:type="dxa"/>
              <w:right w:w="113" w:type="dxa"/>
            </w:tcMar>
            <w:vAlign w:val="center"/>
          </w:tcPr>
          <w:p w14:paraId="091D8099" w14:textId="77777777" w:rsidR="002F1A19" w:rsidRDefault="002F1A19" w:rsidP="002F1A19">
            <w:pPr>
              <w:pStyle w:val="CDIFigure-Table-BodyTextCentre"/>
            </w:pPr>
            <w:r>
              <w:t>5.7</w:t>
            </w:r>
          </w:p>
        </w:tc>
        <w:tc>
          <w:tcPr>
            <w:tcW w:w="1644" w:type="dxa"/>
            <w:tcMar>
              <w:top w:w="113" w:type="dxa"/>
              <w:left w:w="113" w:type="dxa"/>
              <w:bottom w:w="113" w:type="dxa"/>
              <w:right w:w="113" w:type="dxa"/>
            </w:tcMar>
            <w:vAlign w:val="center"/>
          </w:tcPr>
          <w:p w14:paraId="4BDB1598" w14:textId="77777777" w:rsidR="002F1A19" w:rsidRDefault="002F1A19" w:rsidP="002F1A19">
            <w:pPr>
              <w:pStyle w:val="CDIFigure-Table-BodyTextCentre"/>
            </w:pPr>
            <w:r>
              <w:t>0.4</w:t>
            </w:r>
          </w:p>
        </w:tc>
      </w:tr>
      <w:tr w:rsidR="002F1A19" w14:paraId="4D098032" w14:textId="77777777" w:rsidTr="0050514F">
        <w:trPr>
          <w:trHeight w:val="20"/>
        </w:trPr>
        <w:tc>
          <w:tcPr>
            <w:tcW w:w="1304" w:type="dxa"/>
            <w:shd w:val="clear" w:color="auto" w:fill="F2F2F2" w:themeFill="background1" w:themeFillShade="F2"/>
            <w:tcMar>
              <w:top w:w="113" w:type="dxa"/>
              <w:left w:w="113" w:type="dxa"/>
              <w:bottom w:w="113" w:type="dxa"/>
              <w:right w:w="113" w:type="dxa"/>
            </w:tcMar>
            <w:vAlign w:val="center"/>
          </w:tcPr>
          <w:p w14:paraId="39654B61" w14:textId="77777777" w:rsidR="002F1A19" w:rsidRDefault="002F1A19" w:rsidP="0050514F">
            <w:pPr>
              <w:pStyle w:val="CDIFigure-Table-BodyTextLeft"/>
            </w:pPr>
            <w:r>
              <w:t>SA</w:t>
            </w:r>
          </w:p>
        </w:tc>
        <w:tc>
          <w:tcPr>
            <w:tcW w:w="1701" w:type="dxa"/>
            <w:shd w:val="clear" w:color="auto" w:fill="F2F2F2" w:themeFill="background1" w:themeFillShade="F2"/>
            <w:tcMar>
              <w:top w:w="113" w:type="dxa"/>
              <w:left w:w="113" w:type="dxa"/>
              <w:bottom w:w="113" w:type="dxa"/>
              <w:right w:w="113" w:type="dxa"/>
            </w:tcMar>
            <w:vAlign w:val="center"/>
          </w:tcPr>
          <w:p w14:paraId="7E09A9DE" w14:textId="77777777" w:rsidR="002F1A19" w:rsidRDefault="002F1A19" w:rsidP="002F1A19">
            <w:pPr>
              <w:pStyle w:val="CDIFigure-Table-BodyTextCentre"/>
            </w:pPr>
            <w:r>
              <w:t>202 (5.9)</w:t>
            </w:r>
          </w:p>
        </w:tc>
        <w:tc>
          <w:tcPr>
            <w:tcW w:w="1701" w:type="dxa"/>
            <w:shd w:val="clear" w:color="auto" w:fill="F2F2F2" w:themeFill="background1" w:themeFillShade="F2"/>
            <w:tcMar>
              <w:top w:w="113" w:type="dxa"/>
              <w:left w:w="113" w:type="dxa"/>
              <w:bottom w:w="113" w:type="dxa"/>
              <w:right w:w="113" w:type="dxa"/>
            </w:tcMar>
            <w:vAlign w:val="center"/>
          </w:tcPr>
          <w:p w14:paraId="53C69D7D" w14:textId="77777777" w:rsidR="002F1A19" w:rsidRDefault="002F1A19" w:rsidP="002F1A19">
            <w:pPr>
              <w:pStyle w:val="CDIFigure-Table-BodyTextCentre"/>
            </w:pPr>
            <w:r>
              <w:t>11.4 (9.9–13.1)</w:t>
            </w:r>
          </w:p>
        </w:tc>
        <w:tc>
          <w:tcPr>
            <w:tcW w:w="1644" w:type="dxa"/>
            <w:shd w:val="clear" w:color="auto" w:fill="F2F2F2" w:themeFill="background1" w:themeFillShade="F2"/>
            <w:tcMar>
              <w:top w:w="113" w:type="dxa"/>
              <w:left w:w="113" w:type="dxa"/>
              <w:bottom w:w="113" w:type="dxa"/>
              <w:right w:w="113" w:type="dxa"/>
            </w:tcMar>
            <w:vAlign w:val="center"/>
          </w:tcPr>
          <w:p w14:paraId="0594975C" w14:textId="77777777" w:rsidR="002F1A19" w:rsidRDefault="002F1A19" w:rsidP="002F1A19">
            <w:pPr>
              <w:pStyle w:val="CDIFigure-Table-BodyTextCentre"/>
            </w:pPr>
            <w:r>
              <w:t>53.4</w:t>
            </w:r>
          </w:p>
        </w:tc>
        <w:tc>
          <w:tcPr>
            <w:tcW w:w="1644" w:type="dxa"/>
            <w:shd w:val="clear" w:color="auto" w:fill="F2F2F2" w:themeFill="background1" w:themeFillShade="F2"/>
            <w:tcMar>
              <w:top w:w="113" w:type="dxa"/>
              <w:left w:w="113" w:type="dxa"/>
              <w:bottom w:w="113" w:type="dxa"/>
              <w:right w:w="113" w:type="dxa"/>
            </w:tcMar>
            <w:vAlign w:val="center"/>
          </w:tcPr>
          <w:p w14:paraId="307F5AD2" w14:textId="77777777" w:rsidR="002F1A19" w:rsidRDefault="002F1A19" w:rsidP="002F1A19">
            <w:pPr>
              <w:pStyle w:val="CDIFigure-Table-BodyTextCentre"/>
            </w:pPr>
            <w:r>
              <w:t>7.5</w:t>
            </w:r>
          </w:p>
        </w:tc>
        <w:tc>
          <w:tcPr>
            <w:tcW w:w="1644" w:type="dxa"/>
            <w:shd w:val="clear" w:color="auto" w:fill="F2F2F2" w:themeFill="background1" w:themeFillShade="F2"/>
            <w:tcMar>
              <w:top w:w="113" w:type="dxa"/>
              <w:left w:w="113" w:type="dxa"/>
              <w:bottom w:w="113" w:type="dxa"/>
              <w:right w:w="113" w:type="dxa"/>
            </w:tcMar>
            <w:vAlign w:val="center"/>
          </w:tcPr>
          <w:p w14:paraId="20CBFF2F" w14:textId="77777777" w:rsidR="002F1A19" w:rsidRDefault="002F1A19" w:rsidP="002F1A19">
            <w:pPr>
              <w:pStyle w:val="CDIFigure-Table-BodyTextCentre"/>
            </w:pPr>
            <w:r>
              <w:t>0.5</w:t>
            </w:r>
          </w:p>
        </w:tc>
      </w:tr>
      <w:tr w:rsidR="002F1A19" w14:paraId="45D5EFD7" w14:textId="77777777" w:rsidTr="0050514F">
        <w:trPr>
          <w:trHeight w:val="20"/>
        </w:trPr>
        <w:tc>
          <w:tcPr>
            <w:tcW w:w="1304" w:type="dxa"/>
            <w:tcMar>
              <w:top w:w="113" w:type="dxa"/>
              <w:left w:w="113" w:type="dxa"/>
              <w:bottom w:w="113" w:type="dxa"/>
              <w:right w:w="113" w:type="dxa"/>
            </w:tcMar>
            <w:vAlign w:val="center"/>
          </w:tcPr>
          <w:p w14:paraId="0087DB01" w14:textId="77777777" w:rsidR="002F1A19" w:rsidRDefault="002F1A19" w:rsidP="0050514F">
            <w:pPr>
              <w:pStyle w:val="CDIFigure-Table-BodyTextLeft"/>
            </w:pPr>
            <w:r>
              <w:t>Tas.</w:t>
            </w:r>
          </w:p>
        </w:tc>
        <w:tc>
          <w:tcPr>
            <w:tcW w:w="1701" w:type="dxa"/>
            <w:tcMar>
              <w:top w:w="113" w:type="dxa"/>
              <w:left w:w="113" w:type="dxa"/>
              <w:bottom w:w="113" w:type="dxa"/>
              <w:right w:w="113" w:type="dxa"/>
            </w:tcMar>
            <w:vAlign w:val="center"/>
          </w:tcPr>
          <w:p w14:paraId="76E96ADC" w14:textId="77777777" w:rsidR="002F1A19" w:rsidRDefault="002F1A19" w:rsidP="002F1A19">
            <w:pPr>
              <w:pStyle w:val="CDIFigure-Table-BodyTextCentre"/>
            </w:pPr>
            <w:r>
              <w:t>32 (0.9)</w:t>
            </w:r>
          </w:p>
        </w:tc>
        <w:tc>
          <w:tcPr>
            <w:tcW w:w="1701" w:type="dxa"/>
            <w:tcMar>
              <w:top w:w="113" w:type="dxa"/>
              <w:left w:w="113" w:type="dxa"/>
              <w:bottom w:w="113" w:type="dxa"/>
              <w:right w:w="113" w:type="dxa"/>
            </w:tcMar>
            <w:vAlign w:val="center"/>
          </w:tcPr>
          <w:p w14:paraId="73B56E49" w14:textId="77777777" w:rsidR="002F1A19" w:rsidRDefault="002F1A19" w:rsidP="002F1A19">
            <w:pPr>
              <w:pStyle w:val="CDIFigure-Table-BodyTextCentre"/>
            </w:pPr>
            <w:r>
              <w:t>5.9 (4.0–8.3)</w:t>
            </w:r>
          </w:p>
        </w:tc>
        <w:tc>
          <w:tcPr>
            <w:tcW w:w="1644" w:type="dxa"/>
            <w:tcMar>
              <w:top w:w="113" w:type="dxa"/>
              <w:left w:w="113" w:type="dxa"/>
              <w:bottom w:w="113" w:type="dxa"/>
              <w:right w:w="113" w:type="dxa"/>
            </w:tcMar>
            <w:vAlign w:val="center"/>
          </w:tcPr>
          <w:p w14:paraId="1254CF59" w14:textId="77777777" w:rsidR="002F1A19" w:rsidRDefault="002F1A19" w:rsidP="002F1A19">
            <w:pPr>
              <w:pStyle w:val="CDIFigure-Table-BodyTextCentre"/>
            </w:pPr>
            <w:r>
              <w:t>29.2</w:t>
            </w:r>
          </w:p>
        </w:tc>
        <w:tc>
          <w:tcPr>
            <w:tcW w:w="1644" w:type="dxa"/>
            <w:tcMar>
              <w:top w:w="113" w:type="dxa"/>
              <w:left w:w="113" w:type="dxa"/>
              <w:bottom w:w="113" w:type="dxa"/>
              <w:right w:w="113" w:type="dxa"/>
            </w:tcMar>
            <w:vAlign w:val="center"/>
          </w:tcPr>
          <w:p w14:paraId="5AA3414D" w14:textId="77777777" w:rsidR="002F1A19" w:rsidRDefault="002F1A19" w:rsidP="002F1A19">
            <w:pPr>
              <w:pStyle w:val="CDIFigure-Table-BodyTextCentre"/>
            </w:pPr>
            <w:r>
              <w:t>3.8</w:t>
            </w:r>
          </w:p>
        </w:tc>
        <w:tc>
          <w:tcPr>
            <w:tcW w:w="1644" w:type="dxa"/>
            <w:tcMar>
              <w:top w:w="113" w:type="dxa"/>
              <w:left w:w="113" w:type="dxa"/>
              <w:bottom w:w="113" w:type="dxa"/>
              <w:right w:w="113" w:type="dxa"/>
            </w:tcMar>
            <w:vAlign w:val="center"/>
          </w:tcPr>
          <w:p w14:paraId="440D1B1D" w14:textId="77777777" w:rsidR="002F1A19" w:rsidRDefault="002F1A19" w:rsidP="002F1A19">
            <w:pPr>
              <w:pStyle w:val="CDIFigure-Table-BodyTextCentre"/>
            </w:pPr>
            <w:r>
              <w:t>0.0</w:t>
            </w:r>
          </w:p>
        </w:tc>
      </w:tr>
      <w:tr w:rsidR="002F1A19" w14:paraId="1608F690" w14:textId="77777777" w:rsidTr="0050514F">
        <w:trPr>
          <w:trHeight w:val="20"/>
        </w:trPr>
        <w:tc>
          <w:tcPr>
            <w:tcW w:w="1304" w:type="dxa"/>
            <w:shd w:val="clear" w:color="auto" w:fill="F2F2F2" w:themeFill="background1" w:themeFillShade="F2"/>
            <w:tcMar>
              <w:top w:w="113" w:type="dxa"/>
              <w:left w:w="113" w:type="dxa"/>
              <w:bottom w:w="113" w:type="dxa"/>
              <w:right w:w="113" w:type="dxa"/>
            </w:tcMar>
            <w:vAlign w:val="center"/>
          </w:tcPr>
          <w:p w14:paraId="3B5EEFCF" w14:textId="77777777" w:rsidR="002F1A19" w:rsidRDefault="002F1A19" w:rsidP="0050514F">
            <w:pPr>
              <w:pStyle w:val="CDIFigure-Table-BodyTextLeft"/>
            </w:pPr>
            <w:r>
              <w:t>Vic.</w:t>
            </w:r>
          </w:p>
        </w:tc>
        <w:tc>
          <w:tcPr>
            <w:tcW w:w="1701" w:type="dxa"/>
            <w:shd w:val="clear" w:color="auto" w:fill="F2F2F2" w:themeFill="background1" w:themeFillShade="F2"/>
            <w:tcMar>
              <w:top w:w="113" w:type="dxa"/>
              <w:left w:w="113" w:type="dxa"/>
              <w:bottom w:w="113" w:type="dxa"/>
              <w:right w:w="113" w:type="dxa"/>
            </w:tcMar>
            <w:vAlign w:val="center"/>
          </w:tcPr>
          <w:p w14:paraId="4422B6D5" w14:textId="77777777" w:rsidR="002F1A19" w:rsidRDefault="002F1A19" w:rsidP="002F1A19">
            <w:pPr>
              <w:pStyle w:val="CDIFigure-Table-BodyTextCentre"/>
            </w:pPr>
            <w:r>
              <w:t>1,585 (45.9)</w:t>
            </w:r>
          </w:p>
        </w:tc>
        <w:tc>
          <w:tcPr>
            <w:tcW w:w="1701" w:type="dxa"/>
            <w:shd w:val="clear" w:color="auto" w:fill="F2F2F2" w:themeFill="background1" w:themeFillShade="F2"/>
            <w:tcMar>
              <w:top w:w="113" w:type="dxa"/>
              <w:left w:w="113" w:type="dxa"/>
              <w:bottom w:w="113" w:type="dxa"/>
              <w:right w:w="113" w:type="dxa"/>
            </w:tcMar>
            <w:vAlign w:val="center"/>
          </w:tcPr>
          <w:p w14:paraId="02CCF308" w14:textId="77777777" w:rsidR="002F1A19" w:rsidRDefault="002F1A19" w:rsidP="002F1A19">
            <w:pPr>
              <w:pStyle w:val="CDIFigure-Table-BodyTextCentre"/>
            </w:pPr>
            <w:r>
              <w:t>23.8 (22.7–25.0)</w:t>
            </w:r>
          </w:p>
        </w:tc>
        <w:tc>
          <w:tcPr>
            <w:tcW w:w="1644" w:type="dxa"/>
            <w:shd w:val="clear" w:color="auto" w:fill="F2F2F2" w:themeFill="background1" w:themeFillShade="F2"/>
            <w:tcMar>
              <w:top w:w="113" w:type="dxa"/>
              <w:left w:w="113" w:type="dxa"/>
              <w:bottom w:w="113" w:type="dxa"/>
              <w:right w:w="113" w:type="dxa"/>
            </w:tcMar>
            <w:vAlign w:val="center"/>
          </w:tcPr>
          <w:p w14:paraId="0B9431BB" w14:textId="77777777" w:rsidR="002F1A19" w:rsidRDefault="002F1A19" w:rsidP="002F1A19">
            <w:pPr>
              <w:pStyle w:val="CDIFigure-Table-BodyTextCentre"/>
            </w:pPr>
            <w:r>
              <w:t>165.3</w:t>
            </w:r>
          </w:p>
        </w:tc>
        <w:tc>
          <w:tcPr>
            <w:tcW w:w="1644" w:type="dxa"/>
            <w:shd w:val="clear" w:color="auto" w:fill="F2F2F2" w:themeFill="background1" w:themeFillShade="F2"/>
            <w:tcMar>
              <w:top w:w="113" w:type="dxa"/>
              <w:left w:w="113" w:type="dxa"/>
              <w:bottom w:w="113" w:type="dxa"/>
              <w:right w:w="113" w:type="dxa"/>
            </w:tcMar>
            <w:vAlign w:val="center"/>
          </w:tcPr>
          <w:p w14:paraId="4F4492C6" w14:textId="77777777" w:rsidR="002F1A19" w:rsidRDefault="002F1A19" w:rsidP="002F1A19">
            <w:pPr>
              <w:pStyle w:val="CDIFigure-Table-BodyTextCentre"/>
            </w:pPr>
            <w:r>
              <w:t>10.1</w:t>
            </w:r>
          </w:p>
        </w:tc>
        <w:tc>
          <w:tcPr>
            <w:tcW w:w="1644" w:type="dxa"/>
            <w:shd w:val="clear" w:color="auto" w:fill="F2F2F2" w:themeFill="background1" w:themeFillShade="F2"/>
            <w:tcMar>
              <w:top w:w="113" w:type="dxa"/>
              <w:left w:w="113" w:type="dxa"/>
              <w:bottom w:w="113" w:type="dxa"/>
              <w:right w:w="113" w:type="dxa"/>
            </w:tcMar>
            <w:vAlign w:val="center"/>
          </w:tcPr>
          <w:p w14:paraId="14BF9D79" w14:textId="77777777" w:rsidR="002F1A19" w:rsidRDefault="002F1A19" w:rsidP="002F1A19">
            <w:pPr>
              <w:pStyle w:val="CDIFigure-Table-BodyTextCentre"/>
            </w:pPr>
            <w:r>
              <w:t>0.5</w:t>
            </w:r>
          </w:p>
        </w:tc>
      </w:tr>
      <w:tr w:rsidR="002F1A19" w14:paraId="5429E5FD" w14:textId="77777777" w:rsidTr="0050514F">
        <w:trPr>
          <w:trHeight w:val="20"/>
        </w:trPr>
        <w:tc>
          <w:tcPr>
            <w:tcW w:w="1304" w:type="dxa"/>
            <w:tcMar>
              <w:top w:w="113" w:type="dxa"/>
              <w:left w:w="113" w:type="dxa"/>
              <w:bottom w:w="113" w:type="dxa"/>
              <w:right w:w="113" w:type="dxa"/>
            </w:tcMar>
            <w:vAlign w:val="center"/>
          </w:tcPr>
          <w:p w14:paraId="70E7B05A" w14:textId="77777777" w:rsidR="002F1A19" w:rsidRDefault="002F1A19" w:rsidP="0050514F">
            <w:pPr>
              <w:pStyle w:val="CDIFigure-Table-BodyTextLeft"/>
            </w:pPr>
            <w:r>
              <w:t>WA</w:t>
            </w:r>
          </w:p>
        </w:tc>
        <w:tc>
          <w:tcPr>
            <w:tcW w:w="1701" w:type="dxa"/>
            <w:tcMar>
              <w:top w:w="113" w:type="dxa"/>
              <w:left w:w="113" w:type="dxa"/>
              <w:bottom w:w="113" w:type="dxa"/>
              <w:right w:w="113" w:type="dxa"/>
            </w:tcMar>
            <w:vAlign w:val="center"/>
          </w:tcPr>
          <w:p w14:paraId="036555D3" w14:textId="77777777" w:rsidR="002F1A19" w:rsidRDefault="002F1A19" w:rsidP="002F1A19">
            <w:pPr>
              <w:pStyle w:val="CDIFigure-Table-BodyTextCentre"/>
            </w:pPr>
            <w:r>
              <w:t>342 (9.9)</w:t>
            </w:r>
          </w:p>
        </w:tc>
        <w:tc>
          <w:tcPr>
            <w:tcW w:w="1701" w:type="dxa"/>
            <w:tcMar>
              <w:top w:w="113" w:type="dxa"/>
              <w:left w:w="113" w:type="dxa"/>
              <w:bottom w:w="113" w:type="dxa"/>
              <w:right w:w="113" w:type="dxa"/>
            </w:tcMar>
            <w:vAlign w:val="center"/>
          </w:tcPr>
          <w:p w14:paraId="619A2D22" w14:textId="77777777" w:rsidR="002F1A19" w:rsidRDefault="002F1A19" w:rsidP="002F1A19">
            <w:pPr>
              <w:pStyle w:val="CDIFigure-Table-BodyTextCentre"/>
            </w:pPr>
            <w:r>
              <w:t>12.8 (11.4–14.2)</w:t>
            </w:r>
          </w:p>
        </w:tc>
        <w:tc>
          <w:tcPr>
            <w:tcW w:w="1644" w:type="dxa"/>
            <w:tcMar>
              <w:top w:w="113" w:type="dxa"/>
              <w:left w:w="113" w:type="dxa"/>
              <w:bottom w:w="113" w:type="dxa"/>
              <w:right w:w="113" w:type="dxa"/>
            </w:tcMar>
            <w:vAlign w:val="center"/>
          </w:tcPr>
          <w:p w14:paraId="72C25501" w14:textId="77777777" w:rsidR="002F1A19" w:rsidRDefault="002F1A19" w:rsidP="002F1A19">
            <w:pPr>
              <w:pStyle w:val="CDIFigure-Table-BodyTextCentre"/>
            </w:pPr>
            <w:r>
              <w:t>70.2</w:t>
            </w:r>
          </w:p>
        </w:tc>
        <w:tc>
          <w:tcPr>
            <w:tcW w:w="1644" w:type="dxa"/>
            <w:tcMar>
              <w:top w:w="113" w:type="dxa"/>
              <w:left w:w="113" w:type="dxa"/>
              <w:bottom w:w="113" w:type="dxa"/>
              <w:right w:w="113" w:type="dxa"/>
            </w:tcMar>
            <w:vAlign w:val="center"/>
          </w:tcPr>
          <w:p w14:paraId="2443F788" w14:textId="77777777" w:rsidR="002F1A19" w:rsidRDefault="002F1A19" w:rsidP="002F1A19">
            <w:pPr>
              <w:pStyle w:val="CDIFigure-Table-BodyTextCentre"/>
            </w:pPr>
            <w:r>
              <w:t>6.6</w:t>
            </w:r>
          </w:p>
        </w:tc>
        <w:tc>
          <w:tcPr>
            <w:tcW w:w="1644" w:type="dxa"/>
            <w:tcMar>
              <w:top w:w="113" w:type="dxa"/>
              <w:left w:w="113" w:type="dxa"/>
              <w:bottom w:w="113" w:type="dxa"/>
              <w:right w:w="113" w:type="dxa"/>
            </w:tcMar>
            <w:vAlign w:val="center"/>
          </w:tcPr>
          <w:p w14:paraId="5E7BF319" w14:textId="77777777" w:rsidR="002F1A19" w:rsidRDefault="002F1A19" w:rsidP="002F1A19">
            <w:pPr>
              <w:pStyle w:val="CDIFigure-Table-BodyTextCentre"/>
            </w:pPr>
            <w:r>
              <w:t>0.7</w:t>
            </w:r>
          </w:p>
        </w:tc>
      </w:tr>
      <w:tr w:rsidR="002F1A19" w14:paraId="2F6F168A" w14:textId="77777777" w:rsidTr="0050514F">
        <w:trPr>
          <w:trHeight w:val="20"/>
        </w:trPr>
        <w:tc>
          <w:tcPr>
            <w:tcW w:w="1304" w:type="dxa"/>
            <w:shd w:val="clear" w:color="auto" w:fill="F2F2F2" w:themeFill="background1" w:themeFillShade="F2"/>
            <w:tcMar>
              <w:top w:w="113" w:type="dxa"/>
              <w:left w:w="113" w:type="dxa"/>
              <w:bottom w:w="113" w:type="dxa"/>
              <w:right w:w="113" w:type="dxa"/>
            </w:tcMar>
            <w:vAlign w:val="center"/>
          </w:tcPr>
          <w:p w14:paraId="666907EE" w14:textId="77777777" w:rsidR="002F1A19" w:rsidRDefault="002F1A19" w:rsidP="0050514F">
            <w:pPr>
              <w:pStyle w:val="CDIFigure-Table-BodyTextLeft"/>
            </w:pPr>
            <w:r>
              <w:t>Unknown</w:t>
            </w:r>
          </w:p>
        </w:tc>
        <w:tc>
          <w:tcPr>
            <w:tcW w:w="1701" w:type="dxa"/>
            <w:shd w:val="clear" w:color="auto" w:fill="F2F2F2" w:themeFill="background1" w:themeFillShade="F2"/>
            <w:tcMar>
              <w:top w:w="113" w:type="dxa"/>
              <w:left w:w="113" w:type="dxa"/>
              <w:bottom w:w="113" w:type="dxa"/>
              <w:right w:w="113" w:type="dxa"/>
            </w:tcMar>
            <w:vAlign w:val="center"/>
          </w:tcPr>
          <w:p w14:paraId="66621A50" w14:textId="77777777" w:rsidR="002F1A19" w:rsidRDefault="002F1A19" w:rsidP="002F1A19">
            <w:pPr>
              <w:pStyle w:val="CDIFigure-Table-BodyTextCentre"/>
            </w:pPr>
            <w:r>
              <w:t>70 (2.0)</w:t>
            </w:r>
          </w:p>
        </w:tc>
        <w:tc>
          <w:tcPr>
            <w:tcW w:w="1701" w:type="dxa"/>
            <w:shd w:val="clear" w:color="auto" w:fill="F2F2F2" w:themeFill="background1" w:themeFillShade="F2"/>
            <w:tcMar>
              <w:top w:w="113" w:type="dxa"/>
              <w:left w:w="113" w:type="dxa"/>
              <w:bottom w:w="113" w:type="dxa"/>
              <w:right w:w="113" w:type="dxa"/>
            </w:tcMar>
            <w:vAlign w:val="center"/>
          </w:tcPr>
          <w:p w14:paraId="5C985BA2" w14:textId="77777777" w:rsidR="002F1A19" w:rsidRDefault="002F1A19" w:rsidP="002F1A19">
            <w:pPr>
              <w:pStyle w:val="CDIFigure-Table-BodyTextCentre"/>
            </w:pPr>
            <w:r>
              <w:t>—</w:t>
            </w:r>
          </w:p>
        </w:tc>
        <w:tc>
          <w:tcPr>
            <w:tcW w:w="1644" w:type="dxa"/>
            <w:shd w:val="clear" w:color="auto" w:fill="F2F2F2" w:themeFill="background1" w:themeFillShade="F2"/>
            <w:tcMar>
              <w:top w:w="113" w:type="dxa"/>
              <w:left w:w="113" w:type="dxa"/>
              <w:bottom w:w="113" w:type="dxa"/>
              <w:right w:w="113" w:type="dxa"/>
            </w:tcMar>
            <w:vAlign w:val="center"/>
          </w:tcPr>
          <w:p w14:paraId="5C003742" w14:textId="77777777" w:rsidR="002F1A19" w:rsidRDefault="002F1A19" w:rsidP="002F1A19">
            <w:pPr>
              <w:pStyle w:val="CDIFigure-Table-BodyTextCentre"/>
            </w:pPr>
            <w:r>
              <w:t>—</w:t>
            </w:r>
          </w:p>
        </w:tc>
        <w:tc>
          <w:tcPr>
            <w:tcW w:w="1644" w:type="dxa"/>
            <w:shd w:val="clear" w:color="auto" w:fill="F2F2F2" w:themeFill="background1" w:themeFillShade="F2"/>
            <w:tcMar>
              <w:top w:w="113" w:type="dxa"/>
              <w:left w:w="113" w:type="dxa"/>
              <w:bottom w:w="113" w:type="dxa"/>
              <w:right w:w="113" w:type="dxa"/>
            </w:tcMar>
            <w:vAlign w:val="center"/>
          </w:tcPr>
          <w:p w14:paraId="0F54BDEA" w14:textId="77777777" w:rsidR="002F1A19" w:rsidRDefault="002F1A19" w:rsidP="002F1A19">
            <w:pPr>
              <w:pStyle w:val="CDIFigure-Table-BodyTextCentre"/>
            </w:pPr>
            <w:r>
              <w:t>—</w:t>
            </w:r>
          </w:p>
        </w:tc>
        <w:tc>
          <w:tcPr>
            <w:tcW w:w="1644" w:type="dxa"/>
            <w:shd w:val="clear" w:color="auto" w:fill="F2F2F2" w:themeFill="background1" w:themeFillShade="F2"/>
            <w:tcMar>
              <w:top w:w="113" w:type="dxa"/>
              <w:left w:w="113" w:type="dxa"/>
              <w:bottom w:w="113" w:type="dxa"/>
              <w:right w:w="113" w:type="dxa"/>
            </w:tcMar>
            <w:vAlign w:val="center"/>
          </w:tcPr>
          <w:p w14:paraId="410672CE" w14:textId="77777777" w:rsidR="002F1A19" w:rsidRDefault="002F1A19" w:rsidP="002F1A19">
            <w:pPr>
              <w:pStyle w:val="CDIFigure-Table-BodyTextCentre"/>
            </w:pPr>
            <w:r>
              <w:t>—</w:t>
            </w:r>
          </w:p>
        </w:tc>
      </w:tr>
      <w:tr w:rsidR="002F1A19" w14:paraId="1555FB0F" w14:textId="77777777" w:rsidTr="0050514F">
        <w:trPr>
          <w:trHeight w:val="20"/>
        </w:trPr>
        <w:tc>
          <w:tcPr>
            <w:tcW w:w="1304" w:type="dxa"/>
            <w:shd w:val="clear" w:color="auto" w:fill="C5FFEF" w:themeFill="background2" w:themeFillTint="33"/>
            <w:tcMar>
              <w:top w:w="113" w:type="dxa"/>
              <w:left w:w="113" w:type="dxa"/>
              <w:bottom w:w="113" w:type="dxa"/>
              <w:right w:w="113" w:type="dxa"/>
            </w:tcMar>
            <w:vAlign w:val="center"/>
          </w:tcPr>
          <w:p w14:paraId="53C06D78" w14:textId="77777777" w:rsidR="002F1A19" w:rsidRPr="002F1A19" w:rsidRDefault="002F1A19" w:rsidP="0050514F">
            <w:pPr>
              <w:pStyle w:val="CDIFigure-Table-TotalLeft"/>
            </w:pPr>
            <w:r w:rsidRPr="002F1A19">
              <w:t>Australia</w:t>
            </w:r>
          </w:p>
        </w:tc>
        <w:tc>
          <w:tcPr>
            <w:tcW w:w="1701" w:type="dxa"/>
            <w:shd w:val="clear" w:color="auto" w:fill="C5FFEF" w:themeFill="background2" w:themeFillTint="33"/>
            <w:tcMar>
              <w:top w:w="113" w:type="dxa"/>
              <w:left w:w="113" w:type="dxa"/>
              <w:bottom w:w="113" w:type="dxa"/>
              <w:right w:w="113" w:type="dxa"/>
            </w:tcMar>
            <w:vAlign w:val="center"/>
          </w:tcPr>
          <w:p w14:paraId="18347D6C" w14:textId="77777777" w:rsidR="002F1A19" w:rsidRPr="002F1A19" w:rsidRDefault="002F1A19" w:rsidP="002F1A19">
            <w:pPr>
              <w:pStyle w:val="CDIFigure-Table-TotalCentre"/>
            </w:pPr>
            <w:r w:rsidRPr="002F1A19">
              <w:t>3,452 (100)</w:t>
            </w:r>
          </w:p>
        </w:tc>
        <w:tc>
          <w:tcPr>
            <w:tcW w:w="1701" w:type="dxa"/>
            <w:shd w:val="clear" w:color="auto" w:fill="C5FFEF" w:themeFill="background2" w:themeFillTint="33"/>
            <w:tcMar>
              <w:top w:w="113" w:type="dxa"/>
              <w:left w:w="113" w:type="dxa"/>
              <w:bottom w:w="113" w:type="dxa"/>
              <w:right w:w="113" w:type="dxa"/>
            </w:tcMar>
            <w:vAlign w:val="center"/>
          </w:tcPr>
          <w:p w14:paraId="30BC5022" w14:textId="77777777" w:rsidR="002F1A19" w:rsidRPr="002F1A19" w:rsidRDefault="002F1A19" w:rsidP="002F1A19">
            <w:pPr>
              <w:pStyle w:val="CDIFigure-Table-TotalCentre"/>
            </w:pPr>
            <w:r w:rsidRPr="002F1A19">
              <w:t>13.4 (13.0–13.9)</w:t>
            </w:r>
          </w:p>
        </w:tc>
        <w:tc>
          <w:tcPr>
            <w:tcW w:w="1644" w:type="dxa"/>
            <w:shd w:val="clear" w:color="auto" w:fill="C5FFEF" w:themeFill="background2" w:themeFillTint="33"/>
            <w:tcMar>
              <w:top w:w="113" w:type="dxa"/>
              <w:left w:w="113" w:type="dxa"/>
              <w:bottom w:w="113" w:type="dxa"/>
              <w:right w:w="113" w:type="dxa"/>
            </w:tcMar>
            <w:vAlign w:val="center"/>
          </w:tcPr>
          <w:p w14:paraId="435AEF29" w14:textId="77777777" w:rsidR="002F1A19" w:rsidRPr="002F1A19" w:rsidRDefault="002F1A19" w:rsidP="002F1A19">
            <w:pPr>
              <w:pStyle w:val="CDIFigure-Table-TotalCentre"/>
            </w:pPr>
            <w:r w:rsidRPr="002F1A19">
              <w:t>78.4</w:t>
            </w:r>
          </w:p>
        </w:tc>
        <w:tc>
          <w:tcPr>
            <w:tcW w:w="1644" w:type="dxa"/>
            <w:shd w:val="clear" w:color="auto" w:fill="C5FFEF" w:themeFill="background2" w:themeFillTint="33"/>
            <w:tcMar>
              <w:top w:w="113" w:type="dxa"/>
              <w:left w:w="113" w:type="dxa"/>
              <w:bottom w:w="113" w:type="dxa"/>
              <w:right w:w="113" w:type="dxa"/>
            </w:tcMar>
            <w:vAlign w:val="center"/>
          </w:tcPr>
          <w:p w14:paraId="1295C453" w14:textId="77777777" w:rsidR="002F1A19" w:rsidRPr="002F1A19" w:rsidRDefault="002F1A19" w:rsidP="002F1A19">
            <w:pPr>
              <w:pStyle w:val="CDIFigure-Table-TotalCentre"/>
            </w:pPr>
            <w:r w:rsidRPr="002F1A19">
              <w:t>6.9</w:t>
            </w:r>
          </w:p>
        </w:tc>
        <w:tc>
          <w:tcPr>
            <w:tcW w:w="1644" w:type="dxa"/>
            <w:shd w:val="clear" w:color="auto" w:fill="C5FFEF" w:themeFill="background2" w:themeFillTint="33"/>
            <w:tcMar>
              <w:top w:w="113" w:type="dxa"/>
              <w:left w:w="113" w:type="dxa"/>
              <w:bottom w:w="113" w:type="dxa"/>
              <w:right w:w="113" w:type="dxa"/>
            </w:tcMar>
            <w:vAlign w:val="center"/>
          </w:tcPr>
          <w:p w14:paraId="1699621F" w14:textId="77777777" w:rsidR="002F1A19" w:rsidRPr="002F1A19" w:rsidRDefault="002F1A19" w:rsidP="002F1A19">
            <w:pPr>
              <w:pStyle w:val="CDIFigure-Table-TotalCentre"/>
            </w:pPr>
            <w:r w:rsidRPr="002F1A19">
              <w:t>0.9</w:t>
            </w:r>
          </w:p>
        </w:tc>
      </w:tr>
    </w:tbl>
    <w:p w14:paraId="51A2FDD1" w14:textId="77777777" w:rsidR="00C90E96" w:rsidRDefault="00C90E96" w:rsidP="002F1A19">
      <w:pPr>
        <w:pStyle w:val="CDIFigure-Table-FirstFootnote"/>
      </w:pPr>
      <w:proofErr w:type="gramStart"/>
      <w:r>
        <w:t>a</w:t>
      </w:r>
      <w:proofErr w:type="gramEnd"/>
      <w:r>
        <w:tab/>
        <w:t>ACT: Australian Capital Territory; NSW: New South Wales; NT: Northern Territory; Qld: Queensland; SA: South Australia; Tas.: Tasmania; Vic.: Victoria; WA: Western Australia.</w:t>
      </w:r>
    </w:p>
    <w:p w14:paraId="74F01510" w14:textId="77777777" w:rsidR="00C90E96" w:rsidRDefault="00C90E96" w:rsidP="00C90E96">
      <w:pPr>
        <w:pStyle w:val="CDIFigure-Table-Footnote"/>
      </w:pPr>
      <w:r>
        <w:t>b</w:t>
      </w:r>
      <w:r>
        <w:tab/>
        <w:t>Average annual rates per 100,000 population calculated using June 2021 population estimates from the Australian Bureau of Statistics.</w:t>
      </w:r>
    </w:p>
    <w:p w14:paraId="3964F45C" w14:textId="77777777" w:rsidR="00C90E96" w:rsidRDefault="00C90E96" w:rsidP="00C90E96">
      <w:pPr>
        <w:pStyle w:val="CDIFigure-Table-Footnote"/>
      </w:pPr>
      <w:r>
        <w:t>c</w:t>
      </w:r>
      <w:r>
        <w:tab/>
        <w:t>95% CI: 95% confidence interval.</w:t>
      </w:r>
    </w:p>
    <w:p w14:paraId="70FF3679" w14:textId="77777777" w:rsidR="00C90E96" w:rsidRDefault="00C90E96" w:rsidP="00C90E96">
      <w:pPr>
        <w:pStyle w:val="CDIFigure-Table-Footnote"/>
      </w:pPr>
      <w:r>
        <w:t>d</w:t>
      </w:r>
      <w:r>
        <w:tab/>
        <w:t>Includes only AEFI reports where an age or date of birth has been reported.</w:t>
      </w:r>
    </w:p>
    <w:p w14:paraId="78656F4C" w14:textId="09D9C3FC" w:rsidR="00C90E96" w:rsidRDefault="00C90E96" w:rsidP="00C90E96">
      <w:pPr>
        <w:pStyle w:val="CDIFigure-Table-Footnote"/>
      </w:pPr>
      <w:r>
        <w:t>e</w:t>
      </w:r>
      <w:r>
        <w:tab/>
      </w:r>
      <w:proofErr w:type="gramStart"/>
      <w:r>
        <w:t>An</w:t>
      </w:r>
      <w:proofErr w:type="gramEnd"/>
      <w:r>
        <w:t xml:space="preserve">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w:t>
      </w:r>
    </w:p>
    <w:p w14:paraId="640D45FF" w14:textId="6708C917" w:rsidR="00C90E96" w:rsidRDefault="002F1A19" w:rsidP="002F1A19">
      <w:pPr>
        <w:pStyle w:val="Heading2"/>
      </w:pPr>
      <w:r>
        <w:t>Vaccines</w:t>
      </w:r>
    </w:p>
    <w:p w14:paraId="364A890D" w14:textId="77777777" w:rsidR="002F1A19" w:rsidRPr="002F1A19" w:rsidRDefault="002F1A19" w:rsidP="002F1A19">
      <w:pPr>
        <w:rPr>
          <w:lang w:val="en-GB"/>
        </w:rPr>
      </w:pPr>
      <w:r w:rsidRPr="002F1A19">
        <w:rPr>
          <w:lang w:val="en-GB"/>
        </w:rPr>
        <w:t xml:space="preserve">The vaccine most frequently reported in 2021 AEFI reports was standard-formulation seasonal influenza vaccine (840 reports; 24.3% of total 2021 reports), followed by 13vPCV (680 reports; 19.7%), </w:t>
      </w:r>
      <w:proofErr w:type="spellStart"/>
      <w:r w:rsidRPr="002F1A19">
        <w:rPr>
          <w:lang w:val="en-GB"/>
        </w:rPr>
        <w:t>DTPa</w:t>
      </w:r>
      <w:proofErr w:type="spellEnd"/>
      <w:r w:rsidRPr="002F1A19">
        <w:rPr>
          <w:lang w:val="en-GB"/>
        </w:rPr>
        <w:t>-IPV-</w:t>
      </w:r>
      <w:proofErr w:type="spellStart"/>
      <w:r w:rsidRPr="002F1A19">
        <w:rPr>
          <w:lang w:val="en-GB"/>
        </w:rPr>
        <w:t>HepB</w:t>
      </w:r>
      <w:proofErr w:type="spellEnd"/>
      <w:r w:rsidRPr="002F1A19">
        <w:rPr>
          <w:lang w:val="en-GB"/>
        </w:rPr>
        <w:t xml:space="preserve">-Hib (448 reports; 13%), </w:t>
      </w:r>
      <w:proofErr w:type="spellStart"/>
      <w:r w:rsidRPr="002F1A19">
        <w:rPr>
          <w:lang w:val="en-GB"/>
        </w:rPr>
        <w:t>DTPa</w:t>
      </w:r>
      <w:proofErr w:type="spellEnd"/>
      <w:r w:rsidRPr="002F1A19">
        <w:rPr>
          <w:lang w:val="en-GB"/>
        </w:rPr>
        <w:t>-IPV (402 reports; 11.6%) and rotavirus vaccine (324 reports; 9.4%) (Table 3). Of the 840 AEFI reports following standard-formulation seasonal influenza vaccination, 65 (7.7%) were classified as serious and 217 (27.7%) were reported in children aged &lt; 7 years (Table 3).</w:t>
      </w:r>
    </w:p>
    <w:p w14:paraId="25AF7CFC" w14:textId="0E85ED9D" w:rsidR="002F1A19" w:rsidRDefault="00952313" w:rsidP="00952313">
      <w:pPr>
        <w:pStyle w:val="CDIFigure-Table-Title"/>
      </w:pPr>
      <w:r w:rsidRPr="00952313">
        <w:t>Table 3: Vaccines listed as ‘suspected’ in reports of adverse events following immunisation in the Adverse Event Management System (AEMS) database in 2021 (excluding COVID-19 vaccines)</w:t>
      </w:r>
    </w:p>
    <w:tbl>
      <w:tblPr>
        <w:tblW w:w="0" w:type="auto"/>
        <w:tblInd w:w="-8" w:type="dxa"/>
        <w:tblLayout w:type="fixed"/>
        <w:tblCellMar>
          <w:left w:w="0" w:type="dxa"/>
          <w:right w:w="0" w:type="dxa"/>
        </w:tblCellMar>
        <w:tblLook w:val="0000" w:firstRow="0" w:lastRow="0" w:firstColumn="0" w:lastColumn="0" w:noHBand="0" w:noVBand="0"/>
        <w:tblCaption w:val="Table 3: Vaccines listed as ‘suspected’ in reports of adverse events following immunisation in the Adverse Event Management System (AEMS) database in 2021 (excluding COVID-19 vaccines)"/>
        <w:tblDescription w:val="Table 3 shows vaccine types listed as ‘suspected’ in records of adverse events following immunisation (AEFI), 2021, by age group and by proportion of serious AEFI reports per vaccine."/>
      </w:tblPr>
      <w:tblGrid>
        <w:gridCol w:w="2835"/>
        <w:gridCol w:w="1360"/>
        <w:gridCol w:w="1361"/>
        <w:gridCol w:w="1361"/>
        <w:gridCol w:w="1360"/>
        <w:gridCol w:w="1361"/>
      </w:tblGrid>
      <w:tr w:rsidR="00FB4146" w14:paraId="2A3FBAA0" w14:textId="77777777" w:rsidTr="00917557">
        <w:trPr>
          <w:trHeight w:val="20"/>
          <w:tblHeader/>
        </w:trPr>
        <w:tc>
          <w:tcPr>
            <w:tcW w:w="2835" w:type="dxa"/>
            <w:shd w:val="clear" w:color="auto" w:fill="033636" w:themeFill="text2"/>
            <w:tcMar>
              <w:top w:w="113" w:type="dxa"/>
              <w:left w:w="113" w:type="dxa"/>
              <w:bottom w:w="113" w:type="dxa"/>
              <w:right w:w="113" w:type="dxa"/>
            </w:tcMar>
            <w:vAlign w:val="bottom"/>
          </w:tcPr>
          <w:p w14:paraId="765E842A" w14:textId="77777777" w:rsidR="00FB4146" w:rsidRDefault="00FB4146" w:rsidP="00FB4146">
            <w:pPr>
              <w:pStyle w:val="CDIFigure-Table-H1Left"/>
            </w:pPr>
            <w:proofErr w:type="spellStart"/>
            <w:r>
              <w:t>Vaccine</w:t>
            </w:r>
            <w:r>
              <w:rPr>
                <w:rStyle w:val="Superscript"/>
              </w:rPr>
              <w:t>a</w:t>
            </w:r>
            <w:proofErr w:type="spellEnd"/>
          </w:p>
        </w:tc>
        <w:tc>
          <w:tcPr>
            <w:tcW w:w="1360" w:type="dxa"/>
            <w:shd w:val="clear" w:color="auto" w:fill="033636" w:themeFill="text2"/>
            <w:tcMar>
              <w:top w:w="113" w:type="dxa"/>
              <w:left w:w="113" w:type="dxa"/>
              <w:bottom w:w="113" w:type="dxa"/>
              <w:right w:w="113" w:type="dxa"/>
            </w:tcMar>
            <w:vAlign w:val="bottom"/>
          </w:tcPr>
          <w:p w14:paraId="230126F6" w14:textId="77777777" w:rsidR="00FB4146" w:rsidRDefault="00FB4146" w:rsidP="00FB4146">
            <w:pPr>
              <w:pStyle w:val="CDIFigure-Table-H1"/>
            </w:pPr>
            <w:r>
              <w:t>AEFI reports</w:t>
            </w:r>
            <w:r>
              <w:br/>
              <w:t>n (</w:t>
            </w:r>
            <w:proofErr w:type="gramStart"/>
            <w:r>
              <w:t>%)</w:t>
            </w:r>
            <w:r>
              <w:rPr>
                <w:rStyle w:val="Superscript"/>
              </w:rPr>
              <w:t>b</w:t>
            </w:r>
            <w:proofErr w:type="gramEnd"/>
          </w:p>
        </w:tc>
        <w:tc>
          <w:tcPr>
            <w:tcW w:w="1361" w:type="dxa"/>
            <w:shd w:val="clear" w:color="auto" w:fill="033636" w:themeFill="text2"/>
            <w:tcMar>
              <w:top w:w="113" w:type="dxa"/>
              <w:left w:w="113" w:type="dxa"/>
              <w:bottom w:w="113" w:type="dxa"/>
              <w:right w:w="113" w:type="dxa"/>
            </w:tcMar>
            <w:vAlign w:val="bottom"/>
          </w:tcPr>
          <w:p w14:paraId="7E406DD3" w14:textId="77777777" w:rsidR="00FB4146" w:rsidRDefault="00FB4146" w:rsidP="00FB4146">
            <w:pPr>
              <w:pStyle w:val="CDIFigure-Table-H1"/>
            </w:pPr>
            <w:r>
              <w:t>One suspected vaccine only</w:t>
            </w:r>
            <w:r>
              <w:br/>
              <w:t>n (</w:t>
            </w:r>
            <w:proofErr w:type="gramStart"/>
            <w:r>
              <w:t>%)</w:t>
            </w:r>
            <w:proofErr w:type="spellStart"/>
            <w:r>
              <w:rPr>
                <w:rStyle w:val="Superscript"/>
              </w:rPr>
              <w:t>c</w:t>
            </w:r>
            <w:proofErr w:type="gramEnd"/>
            <w:r>
              <w:rPr>
                <w:rStyle w:val="Superscript"/>
              </w:rPr>
              <w:t>,d</w:t>
            </w:r>
            <w:proofErr w:type="spellEnd"/>
          </w:p>
        </w:tc>
        <w:tc>
          <w:tcPr>
            <w:tcW w:w="1361" w:type="dxa"/>
            <w:shd w:val="clear" w:color="auto" w:fill="033636" w:themeFill="text2"/>
            <w:tcMar>
              <w:top w:w="113" w:type="dxa"/>
              <w:left w:w="113" w:type="dxa"/>
              <w:bottom w:w="113" w:type="dxa"/>
              <w:right w:w="113" w:type="dxa"/>
            </w:tcMar>
            <w:vAlign w:val="bottom"/>
          </w:tcPr>
          <w:p w14:paraId="08C23C47" w14:textId="77777777" w:rsidR="00FB4146" w:rsidRDefault="00FB4146" w:rsidP="00FB4146">
            <w:pPr>
              <w:pStyle w:val="CDIFigure-Table-H1"/>
            </w:pPr>
            <w:r>
              <w:t>Aged &lt; 7 years</w:t>
            </w:r>
            <w:r>
              <w:br/>
              <w:t>n (</w:t>
            </w:r>
            <w:proofErr w:type="gramStart"/>
            <w:r>
              <w:t>%)</w:t>
            </w:r>
            <w:proofErr w:type="spellStart"/>
            <w:r>
              <w:rPr>
                <w:rStyle w:val="Superscript"/>
              </w:rPr>
              <w:t>d</w:t>
            </w:r>
            <w:proofErr w:type="gramEnd"/>
            <w:r>
              <w:rPr>
                <w:rStyle w:val="Superscript"/>
              </w:rPr>
              <w:t>,e</w:t>
            </w:r>
            <w:proofErr w:type="spellEnd"/>
          </w:p>
        </w:tc>
        <w:tc>
          <w:tcPr>
            <w:tcW w:w="1360" w:type="dxa"/>
            <w:shd w:val="clear" w:color="auto" w:fill="033636" w:themeFill="text2"/>
            <w:tcMar>
              <w:top w:w="113" w:type="dxa"/>
              <w:left w:w="113" w:type="dxa"/>
              <w:bottom w:w="113" w:type="dxa"/>
              <w:right w:w="113" w:type="dxa"/>
            </w:tcMar>
            <w:vAlign w:val="bottom"/>
          </w:tcPr>
          <w:p w14:paraId="1E8F36C1" w14:textId="77777777" w:rsidR="00FB4146" w:rsidRDefault="00FB4146" w:rsidP="00FB4146">
            <w:pPr>
              <w:pStyle w:val="CDIFigure-Table-H1"/>
            </w:pPr>
            <w:r>
              <w:t>Aged ≥ 7 years</w:t>
            </w:r>
            <w:r>
              <w:br/>
              <w:t>n (</w:t>
            </w:r>
            <w:proofErr w:type="gramStart"/>
            <w:r>
              <w:t>%)</w:t>
            </w:r>
            <w:proofErr w:type="spellStart"/>
            <w:r>
              <w:rPr>
                <w:rStyle w:val="Superscript"/>
              </w:rPr>
              <w:t>d</w:t>
            </w:r>
            <w:proofErr w:type="gramEnd"/>
            <w:r>
              <w:rPr>
                <w:rStyle w:val="Superscript"/>
              </w:rPr>
              <w:t>,e</w:t>
            </w:r>
            <w:proofErr w:type="spellEnd"/>
          </w:p>
        </w:tc>
        <w:tc>
          <w:tcPr>
            <w:tcW w:w="1361" w:type="dxa"/>
            <w:shd w:val="clear" w:color="auto" w:fill="033636" w:themeFill="text2"/>
            <w:tcMar>
              <w:top w:w="113" w:type="dxa"/>
              <w:left w:w="113" w:type="dxa"/>
              <w:bottom w:w="113" w:type="dxa"/>
              <w:right w:w="113" w:type="dxa"/>
            </w:tcMar>
            <w:vAlign w:val="bottom"/>
          </w:tcPr>
          <w:p w14:paraId="77343E1C" w14:textId="77777777" w:rsidR="00FB4146" w:rsidRDefault="00FB4146" w:rsidP="00FB4146">
            <w:pPr>
              <w:pStyle w:val="CDIFigure-Table-H1"/>
            </w:pPr>
            <w:r>
              <w:t>Serious AEFI</w:t>
            </w:r>
            <w:r>
              <w:br/>
              <w:t>n (</w:t>
            </w:r>
            <w:proofErr w:type="gramStart"/>
            <w:r>
              <w:t>%)</w:t>
            </w:r>
            <w:proofErr w:type="spellStart"/>
            <w:r>
              <w:rPr>
                <w:rStyle w:val="Superscript"/>
              </w:rPr>
              <w:t>d</w:t>
            </w:r>
            <w:proofErr w:type="gramEnd"/>
            <w:r>
              <w:rPr>
                <w:rStyle w:val="Superscript"/>
              </w:rPr>
              <w:t>,f</w:t>
            </w:r>
            <w:proofErr w:type="spellEnd"/>
          </w:p>
        </w:tc>
      </w:tr>
      <w:tr w:rsidR="00FB4146" w14:paraId="51FAF121"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69E748BD" w14:textId="77777777" w:rsidR="00FB4146" w:rsidRDefault="00FB4146" w:rsidP="00917557">
            <w:pPr>
              <w:pStyle w:val="CDIFigure-Table-BodyTextLeft"/>
            </w:pPr>
            <w:r>
              <w:t>Influenza (sf)</w:t>
            </w:r>
          </w:p>
        </w:tc>
        <w:tc>
          <w:tcPr>
            <w:tcW w:w="1360" w:type="dxa"/>
            <w:shd w:val="clear" w:color="auto" w:fill="F2F2F2" w:themeFill="background1" w:themeFillShade="F2"/>
            <w:tcMar>
              <w:top w:w="99" w:type="dxa"/>
              <w:left w:w="113" w:type="dxa"/>
              <w:bottom w:w="99" w:type="dxa"/>
              <w:right w:w="113" w:type="dxa"/>
            </w:tcMar>
            <w:vAlign w:val="center"/>
          </w:tcPr>
          <w:p w14:paraId="68DE78D6" w14:textId="77777777" w:rsidR="00FB4146" w:rsidRDefault="00FB4146" w:rsidP="00FB4146">
            <w:pPr>
              <w:pStyle w:val="CDIFigure-Table-BodyTextCentre"/>
            </w:pPr>
            <w:r>
              <w:t>840 (24.3)</w:t>
            </w:r>
          </w:p>
        </w:tc>
        <w:tc>
          <w:tcPr>
            <w:tcW w:w="1361" w:type="dxa"/>
            <w:shd w:val="clear" w:color="auto" w:fill="F2F2F2" w:themeFill="background1" w:themeFillShade="F2"/>
            <w:tcMar>
              <w:top w:w="99" w:type="dxa"/>
              <w:left w:w="113" w:type="dxa"/>
              <w:bottom w:w="99" w:type="dxa"/>
              <w:right w:w="113" w:type="dxa"/>
            </w:tcMar>
            <w:vAlign w:val="center"/>
          </w:tcPr>
          <w:p w14:paraId="39CEA573" w14:textId="77777777" w:rsidR="00FB4146" w:rsidRDefault="00FB4146" w:rsidP="00FB4146">
            <w:pPr>
              <w:pStyle w:val="CDIFigure-Table-BodyTextCentre"/>
            </w:pPr>
            <w:r>
              <w:t>685 (81.5)</w:t>
            </w:r>
          </w:p>
        </w:tc>
        <w:tc>
          <w:tcPr>
            <w:tcW w:w="1361" w:type="dxa"/>
            <w:shd w:val="clear" w:color="auto" w:fill="F2F2F2" w:themeFill="background1" w:themeFillShade="F2"/>
            <w:tcMar>
              <w:top w:w="99" w:type="dxa"/>
              <w:left w:w="113" w:type="dxa"/>
              <w:bottom w:w="99" w:type="dxa"/>
              <w:right w:w="113" w:type="dxa"/>
            </w:tcMar>
            <w:vAlign w:val="center"/>
          </w:tcPr>
          <w:p w14:paraId="47AE0258" w14:textId="77777777" w:rsidR="00FB4146" w:rsidRDefault="00FB4146" w:rsidP="00FB4146">
            <w:pPr>
              <w:pStyle w:val="CDIFigure-Table-BodyTextCentre"/>
            </w:pPr>
            <w:r>
              <w:t>217 (25.8)</w:t>
            </w:r>
          </w:p>
        </w:tc>
        <w:tc>
          <w:tcPr>
            <w:tcW w:w="1360" w:type="dxa"/>
            <w:shd w:val="clear" w:color="auto" w:fill="F2F2F2" w:themeFill="background1" w:themeFillShade="F2"/>
            <w:tcMar>
              <w:top w:w="99" w:type="dxa"/>
              <w:left w:w="113" w:type="dxa"/>
              <w:bottom w:w="99" w:type="dxa"/>
              <w:right w:w="113" w:type="dxa"/>
            </w:tcMar>
            <w:vAlign w:val="center"/>
          </w:tcPr>
          <w:p w14:paraId="799CD470" w14:textId="77777777" w:rsidR="00FB4146" w:rsidRDefault="00FB4146" w:rsidP="00FB4146">
            <w:pPr>
              <w:pStyle w:val="CDIFigure-Table-BodyTextCentre"/>
            </w:pPr>
            <w:r>
              <w:t>574 (68.3)</w:t>
            </w:r>
          </w:p>
        </w:tc>
        <w:tc>
          <w:tcPr>
            <w:tcW w:w="1361" w:type="dxa"/>
            <w:shd w:val="clear" w:color="auto" w:fill="F2F2F2" w:themeFill="background1" w:themeFillShade="F2"/>
            <w:tcMar>
              <w:top w:w="99" w:type="dxa"/>
              <w:left w:w="113" w:type="dxa"/>
              <w:bottom w:w="99" w:type="dxa"/>
              <w:right w:w="113" w:type="dxa"/>
            </w:tcMar>
            <w:vAlign w:val="center"/>
          </w:tcPr>
          <w:p w14:paraId="108ED12A" w14:textId="77777777" w:rsidR="00FB4146" w:rsidRDefault="00FB4146" w:rsidP="00FB4146">
            <w:pPr>
              <w:pStyle w:val="CDIFigure-Table-BodyTextCentre"/>
            </w:pPr>
            <w:r>
              <w:t>65 (7.7)</w:t>
            </w:r>
          </w:p>
        </w:tc>
      </w:tr>
      <w:tr w:rsidR="00FB4146" w14:paraId="1A64F682" w14:textId="77777777" w:rsidTr="00917557">
        <w:trPr>
          <w:trHeight w:val="20"/>
        </w:trPr>
        <w:tc>
          <w:tcPr>
            <w:tcW w:w="2835" w:type="dxa"/>
            <w:tcMar>
              <w:top w:w="99" w:type="dxa"/>
              <w:left w:w="113" w:type="dxa"/>
              <w:bottom w:w="99" w:type="dxa"/>
              <w:right w:w="113" w:type="dxa"/>
            </w:tcMar>
            <w:vAlign w:val="center"/>
          </w:tcPr>
          <w:p w14:paraId="230153A9" w14:textId="77777777" w:rsidR="00FB4146" w:rsidRDefault="00FB4146" w:rsidP="00917557">
            <w:pPr>
              <w:pStyle w:val="CDIFigure-Table-BodyTextLeft"/>
            </w:pPr>
            <w:r>
              <w:t>13vPCV</w:t>
            </w:r>
          </w:p>
        </w:tc>
        <w:tc>
          <w:tcPr>
            <w:tcW w:w="1360" w:type="dxa"/>
            <w:tcMar>
              <w:top w:w="99" w:type="dxa"/>
              <w:left w:w="113" w:type="dxa"/>
              <w:bottom w:w="99" w:type="dxa"/>
              <w:right w:w="113" w:type="dxa"/>
            </w:tcMar>
            <w:vAlign w:val="center"/>
          </w:tcPr>
          <w:p w14:paraId="04F3379D" w14:textId="77777777" w:rsidR="00FB4146" w:rsidRDefault="00FB4146" w:rsidP="00FB4146">
            <w:pPr>
              <w:pStyle w:val="CDIFigure-Table-BodyTextCentre"/>
            </w:pPr>
            <w:r>
              <w:t>680 (19.7)</w:t>
            </w:r>
          </w:p>
        </w:tc>
        <w:tc>
          <w:tcPr>
            <w:tcW w:w="1361" w:type="dxa"/>
            <w:tcMar>
              <w:top w:w="99" w:type="dxa"/>
              <w:left w:w="113" w:type="dxa"/>
              <w:bottom w:w="99" w:type="dxa"/>
              <w:right w:w="113" w:type="dxa"/>
            </w:tcMar>
            <w:vAlign w:val="center"/>
          </w:tcPr>
          <w:p w14:paraId="01A944E0" w14:textId="77777777" w:rsidR="00FB4146" w:rsidRDefault="00FB4146" w:rsidP="00FB4146">
            <w:pPr>
              <w:pStyle w:val="CDIFigure-Table-BodyTextCentre"/>
            </w:pPr>
            <w:r>
              <w:t>145 (21.3)</w:t>
            </w:r>
          </w:p>
        </w:tc>
        <w:tc>
          <w:tcPr>
            <w:tcW w:w="1361" w:type="dxa"/>
            <w:tcMar>
              <w:top w:w="99" w:type="dxa"/>
              <w:left w:w="113" w:type="dxa"/>
              <w:bottom w:w="99" w:type="dxa"/>
              <w:right w:w="113" w:type="dxa"/>
            </w:tcMar>
            <w:vAlign w:val="center"/>
          </w:tcPr>
          <w:p w14:paraId="55C3F9C0" w14:textId="77777777" w:rsidR="00FB4146" w:rsidRDefault="00FB4146" w:rsidP="00FB4146">
            <w:pPr>
              <w:pStyle w:val="CDIFigure-Table-BodyTextCentre"/>
            </w:pPr>
            <w:r>
              <w:t>510 (75.0)</w:t>
            </w:r>
          </w:p>
        </w:tc>
        <w:tc>
          <w:tcPr>
            <w:tcW w:w="1360" w:type="dxa"/>
            <w:tcMar>
              <w:top w:w="99" w:type="dxa"/>
              <w:left w:w="113" w:type="dxa"/>
              <w:bottom w:w="99" w:type="dxa"/>
              <w:right w:w="113" w:type="dxa"/>
            </w:tcMar>
            <w:vAlign w:val="center"/>
          </w:tcPr>
          <w:p w14:paraId="5A511351" w14:textId="77777777" w:rsidR="00FB4146" w:rsidRDefault="00FB4146" w:rsidP="00FB4146">
            <w:pPr>
              <w:pStyle w:val="CDIFigure-Table-BodyTextCentre"/>
            </w:pPr>
            <w:r>
              <w:t>153 (22.5)</w:t>
            </w:r>
          </w:p>
        </w:tc>
        <w:tc>
          <w:tcPr>
            <w:tcW w:w="1361" w:type="dxa"/>
            <w:tcMar>
              <w:top w:w="99" w:type="dxa"/>
              <w:left w:w="113" w:type="dxa"/>
              <w:bottom w:w="99" w:type="dxa"/>
              <w:right w:w="113" w:type="dxa"/>
            </w:tcMar>
            <w:vAlign w:val="center"/>
          </w:tcPr>
          <w:p w14:paraId="735EE430" w14:textId="77777777" w:rsidR="00FB4146" w:rsidRDefault="00FB4146" w:rsidP="00FB4146">
            <w:pPr>
              <w:pStyle w:val="CDIFigure-Table-BodyTextCentre"/>
            </w:pPr>
            <w:r>
              <w:t>45 (6.6)</w:t>
            </w:r>
          </w:p>
        </w:tc>
      </w:tr>
      <w:tr w:rsidR="00FB4146" w14:paraId="643A6CCA"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2E519073" w14:textId="77777777" w:rsidR="00FB4146" w:rsidRDefault="00FB4146" w:rsidP="00917557">
            <w:pPr>
              <w:pStyle w:val="CDIFigure-Table-BodyTextLeft"/>
            </w:pPr>
            <w:proofErr w:type="spellStart"/>
            <w:r>
              <w:t>DTPa</w:t>
            </w:r>
            <w:proofErr w:type="spellEnd"/>
            <w:r>
              <w:t>-</w:t>
            </w:r>
            <w:proofErr w:type="spellStart"/>
            <w:r>
              <w:t>HepB</w:t>
            </w:r>
            <w:proofErr w:type="spellEnd"/>
            <w:r>
              <w:t>-IPV-Hib</w:t>
            </w:r>
          </w:p>
        </w:tc>
        <w:tc>
          <w:tcPr>
            <w:tcW w:w="1360" w:type="dxa"/>
            <w:shd w:val="clear" w:color="auto" w:fill="F2F2F2" w:themeFill="background1" w:themeFillShade="F2"/>
            <w:tcMar>
              <w:top w:w="99" w:type="dxa"/>
              <w:left w:w="113" w:type="dxa"/>
              <w:bottom w:w="99" w:type="dxa"/>
              <w:right w:w="113" w:type="dxa"/>
            </w:tcMar>
            <w:vAlign w:val="center"/>
          </w:tcPr>
          <w:p w14:paraId="0A1F609A" w14:textId="77777777" w:rsidR="00FB4146" w:rsidRDefault="00FB4146" w:rsidP="00FB4146">
            <w:pPr>
              <w:pStyle w:val="CDIFigure-Table-BodyTextCentre"/>
            </w:pPr>
            <w:r>
              <w:t>448 (13.0)</w:t>
            </w:r>
          </w:p>
        </w:tc>
        <w:tc>
          <w:tcPr>
            <w:tcW w:w="1361" w:type="dxa"/>
            <w:shd w:val="clear" w:color="auto" w:fill="F2F2F2" w:themeFill="background1" w:themeFillShade="F2"/>
            <w:tcMar>
              <w:top w:w="99" w:type="dxa"/>
              <w:left w:w="113" w:type="dxa"/>
              <w:bottom w:w="99" w:type="dxa"/>
              <w:right w:w="113" w:type="dxa"/>
            </w:tcMar>
            <w:vAlign w:val="center"/>
          </w:tcPr>
          <w:p w14:paraId="70C998BC" w14:textId="77777777" w:rsidR="00FB4146" w:rsidRDefault="00FB4146" w:rsidP="00FB4146">
            <w:pPr>
              <w:pStyle w:val="CDIFigure-Table-BodyTextCentre"/>
            </w:pPr>
            <w:r>
              <w:t>89 (19.9)</w:t>
            </w:r>
          </w:p>
        </w:tc>
        <w:tc>
          <w:tcPr>
            <w:tcW w:w="1361" w:type="dxa"/>
            <w:shd w:val="clear" w:color="auto" w:fill="F2F2F2" w:themeFill="background1" w:themeFillShade="F2"/>
            <w:tcMar>
              <w:top w:w="99" w:type="dxa"/>
              <w:left w:w="113" w:type="dxa"/>
              <w:bottom w:w="99" w:type="dxa"/>
              <w:right w:w="113" w:type="dxa"/>
            </w:tcMar>
            <w:vAlign w:val="center"/>
          </w:tcPr>
          <w:p w14:paraId="00F54542" w14:textId="77777777" w:rsidR="00FB4146" w:rsidRDefault="00FB4146" w:rsidP="00FB4146">
            <w:pPr>
              <w:pStyle w:val="CDIFigure-Table-BodyTextCentre"/>
            </w:pPr>
            <w:r>
              <w:t>429 (95.8)</w:t>
            </w:r>
          </w:p>
        </w:tc>
        <w:tc>
          <w:tcPr>
            <w:tcW w:w="1360" w:type="dxa"/>
            <w:shd w:val="clear" w:color="auto" w:fill="F2F2F2" w:themeFill="background1" w:themeFillShade="F2"/>
            <w:tcMar>
              <w:top w:w="99" w:type="dxa"/>
              <w:left w:w="113" w:type="dxa"/>
              <w:bottom w:w="99" w:type="dxa"/>
              <w:right w:w="113" w:type="dxa"/>
            </w:tcMar>
            <w:vAlign w:val="center"/>
          </w:tcPr>
          <w:p w14:paraId="5C6EAA40" w14:textId="77777777" w:rsidR="00FB4146" w:rsidRDefault="00FB4146" w:rsidP="00FB4146">
            <w:pPr>
              <w:pStyle w:val="CDIFigure-Table-BodyTextCentre"/>
            </w:pPr>
            <w:r>
              <w:t>4 (0.9)</w:t>
            </w:r>
          </w:p>
        </w:tc>
        <w:tc>
          <w:tcPr>
            <w:tcW w:w="1361" w:type="dxa"/>
            <w:shd w:val="clear" w:color="auto" w:fill="F2F2F2" w:themeFill="background1" w:themeFillShade="F2"/>
            <w:tcMar>
              <w:top w:w="99" w:type="dxa"/>
              <w:left w:w="113" w:type="dxa"/>
              <w:bottom w:w="99" w:type="dxa"/>
              <w:right w:w="113" w:type="dxa"/>
            </w:tcMar>
            <w:vAlign w:val="center"/>
          </w:tcPr>
          <w:p w14:paraId="1C8638B6" w14:textId="77777777" w:rsidR="00FB4146" w:rsidRDefault="00FB4146" w:rsidP="00FB4146">
            <w:pPr>
              <w:pStyle w:val="CDIFigure-Table-BodyTextCentre"/>
            </w:pPr>
            <w:r>
              <w:t>35 (7.8)</w:t>
            </w:r>
          </w:p>
        </w:tc>
      </w:tr>
      <w:tr w:rsidR="00FB4146" w14:paraId="2520F9F7" w14:textId="77777777" w:rsidTr="00917557">
        <w:trPr>
          <w:trHeight w:val="20"/>
        </w:trPr>
        <w:tc>
          <w:tcPr>
            <w:tcW w:w="2835" w:type="dxa"/>
            <w:tcMar>
              <w:top w:w="99" w:type="dxa"/>
              <w:left w:w="113" w:type="dxa"/>
              <w:bottom w:w="99" w:type="dxa"/>
              <w:right w:w="113" w:type="dxa"/>
            </w:tcMar>
            <w:vAlign w:val="center"/>
          </w:tcPr>
          <w:p w14:paraId="306C76F2" w14:textId="77777777" w:rsidR="00FB4146" w:rsidRDefault="00FB4146" w:rsidP="00917557">
            <w:pPr>
              <w:pStyle w:val="CDIFigure-Table-BodyTextLeft"/>
            </w:pPr>
            <w:proofErr w:type="spellStart"/>
            <w:r>
              <w:t>DTPa</w:t>
            </w:r>
            <w:proofErr w:type="spellEnd"/>
            <w:r>
              <w:t>-IPV</w:t>
            </w:r>
          </w:p>
        </w:tc>
        <w:tc>
          <w:tcPr>
            <w:tcW w:w="1360" w:type="dxa"/>
            <w:tcMar>
              <w:top w:w="99" w:type="dxa"/>
              <w:left w:w="113" w:type="dxa"/>
              <w:bottom w:w="99" w:type="dxa"/>
              <w:right w:w="113" w:type="dxa"/>
            </w:tcMar>
            <w:vAlign w:val="center"/>
          </w:tcPr>
          <w:p w14:paraId="4C1BFB87" w14:textId="77777777" w:rsidR="00FB4146" w:rsidRDefault="00FB4146" w:rsidP="00FB4146">
            <w:pPr>
              <w:pStyle w:val="CDIFigure-Table-BodyTextCentre"/>
            </w:pPr>
            <w:r>
              <w:t>402 (11.6)</w:t>
            </w:r>
          </w:p>
        </w:tc>
        <w:tc>
          <w:tcPr>
            <w:tcW w:w="1361" w:type="dxa"/>
            <w:tcMar>
              <w:top w:w="99" w:type="dxa"/>
              <w:left w:w="113" w:type="dxa"/>
              <w:bottom w:w="99" w:type="dxa"/>
              <w:right w:w="113" w:type="dxa"/>
            </w:tcMar>
            <w:vAlign w:val="center"/>
          </w:tcPr>
          <w:p w14:paraId="688D4D2C" w14:textId="77777777" w:rsidR="00FB4146" w:rsidRDefault="00FB4146" w:rsidP="00FB4146">
            <w:pPr>
              <w:pStyle w:val="CDIFigure-Table-BodyTextCentre"/>
            </w:pPr>
            <w:r>
              <w:t>334 (83.1)</w:t>
            </w:r>
          </w:p>
        </w:tc>
        <w:tc>
          <w:tcPr>
            <w:tcW w:w="1361" w:type="dxa"/>
            <w:tcMar>
              <w:top w:w="99" w:type="dxa"/>
              <w:left w:w="113" w:type="dxa"/>
              <w:bottom w:w="99" w:type="dxa"/>
              <w:right w:w="113" w:type="dxa"/>
            </w:tcMar>
            <w:vAlign w:val="center"/>
          </w:tcPr>
          <w:p w14:paraId="0FD676BE" w14:textId="77777777" w:rsidR="00FB4146" w:rsidRDefault="00FB4146" w:rsidP="00FB4146">
            <w:pPr>
              <w:pStyle w:val="CDIFigure-Table-BodyTextCentre"/>
            </w:pPr>
            <w:r>
              <w:t>389 (96.8)</w:t>
            </w:r>
          </w:p>
        </w:tc>
        <w:tc>
          <w:tcPr>
            <w:tcW w:w="1360" w:type="dxa"/>
            <w:tcMar>
              <w:top w:w="99" w:type="dxa"/>
              <w:left w:w="113" w:type="dxa"/>
              <w:bottom w:w="99" w:type="dxa"/>
              <w:right w:w="113" w:type="dxa"/>
            </w:tcMar>
            <w:vAlign w:val="center"/>
          </w:tcPr>
          <w:p w14:paraId="3195FDC3" w14:textId="77777777" w:rsidR="00FB4146" w:rsidRDefault="00FB4146" w:rsidP="00FB4146">
            <w:pPr>
              <w:pStyle w:val="CDIFigure-Table-BodyTextCentre"/>
            </w:pPr>
            <w:r>
              <w:t>8 (2.0)</w:t>
            </w:r>
          </w:p>
        </w:tc>
        <w:tc>
          <w:tcPr>
            <w:tcW w:w="1361" w:type="dxa"/>
            <w:tcMar>
              <w:top w:w="99" w:type="dxa"/>
              <w:left w:w="113" w:type="dxa"/>
              <w:bottom w:w="99" w:type="dxa"/>
              <w:right w:w="113" w:type="dxa"/>
            </w:tcMar>
            <w:vAlign w:val="center"/>
          </w:tcPr>
          <w:p w14:paraId="6234F828" w14:textId="77777777" w:rsidR="00FB4146" w:rsidRDefault="00FB4146" w:rsidP="00FB4146">
            <w:pPr>
              <w:pStyle w:val="CDIFigure-Table-BodyTextCentre"/>
            </w:pPr>
            <w:r>
              <w:t>8 (2.0)</w:t>
            </w:r>
          </w:p>
        </w:tc>
      </w:tr>
      <w:tr w:rsidR="00FB4146" w14:paraId="04C883BB"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7D222DA0" w14:textId="77777777" w:rsidR="00FB4146" w:rsidRDefault="00FB4146" w:rsidP="00917557">
            <w:pPr>
              <w:pStyle w:val="CDIFigure-Table-BodyTextLeft"/>
            </w:pPr>
            <w:r>
              <w:t>Rotavirus</w:t>
            </w:r>
          </w:p>
        </w:tc>
        <w:tc>
          <w:tcPr>
            <w:tcW w:w="1360" w:type="dxa"/>
            <w:shd w:val="clear" w:color="auto" w:fill="F2F2F2" w:themeFill="background1" w:themeFillShade="F2"/>
            <w:tcMar>
              <w:top w:w="99" w:type="dxa"/>
              <w:left w:w="113" w:type="dxa"/>
              <w:bottom w:w="99" w:type="dxa"/>
              <w:right w:w="113" w:type="dxa"/>
            </w:tcMar>
            <w:vAlign w:val="center"/>
          </w:tcPr>
          <w:p w14:paraId="233D5C78" w14:textId="77777777" w:rsidR="00FB4146" w:rsidRDefault="00FB4146" w:rsidP="00FB4146">
            <w:pPr>
              <w:pStyle w:val="CDIFigure-Table-BodyTextCentre"/>
            </w:pPr>
            <w:r>
              <w:t>324 (9.4)</w:t>
            </w:r>
          </w:p>
        </w:tc>
        <w:tc>
          <w:tcPr>
            <w:tcW w:w="1361" w:type="dxa"/>
            <w:shd w:val="clear" w:color="auto" w:fill="F2F2F2" w:themeFill="background1" w:themeFillShade="F2"/>
            <w:tcMar>
              <w:top w:w="99" w:type="dxa"/>
              <w:left w:w="113" w:type="dxa"/>
              <w:bottom w:w="99" w:type="dxa"/>
              <w:right w:w="113" w:type="dxa"/>
            </w:tcMar>
            <w:vAlign w:val="center"/>
          </w:tcPr>
          <w:p w14:paraId="04113F7D" w14:textId="77777777" w:rsidR="00FB4146" w:rsidRDefault="00FB4146" w:rsidP="00FB4146">
            <w:pPr>
              <w:pStyle w:val="CDIFigure-Table-BodyTextCentre"/>
            </w:pPr>
            <w:r>
              <w:t>36 (11.1)</w:t>
            </w:r>
          </w:p>
        </w:tc>
        <w:tc>
          <w:tcPr>
            <w:tcW w:w="1361" w:type="dxa"/>
            <w:shd w:val="clear" w:color="auto" w:fill="F2F2F2" w:themeFill="background1" w:themeFillShade="F2"/>
            <w:tcMar>
              <w:top w:w="99" w:type="dxa"/>
              <w:left w:w="113" w:type="dxa"/>
              <w:bottom w:w="99" w:type="dxa"/>
              <w:right w:w="113" w:type="dxa"/>
            </w:tcMar>
            <w:vAlign w:val="center"/>
          </w:tcPr>
          <w:p w14:paraId="24BD545C" w14:textId="77777777" w:rsidR="00FB4146" w:rsidRDefault="00FB4146" w:rsidP="00FB4146">
            <w:pPr>
              <w:pStyle w:val="CDIFigure-Table-BodyTextCentre"/>
            </w:pPr>
            <w:r>
              <w:t>313 (96.6)</w:t>
            </w:r>
          </w:p>
        </w:tc>
        <w:tc>
          <w:tcPr>
            <w:tcW w:w="1360" w:type="dxa"/>
            <w:shd w:val="clear" w:color="auto" w:fill="F2F2F2" w:themeFill="background1" w:themeFillShade="F2"/>
            <w:tcMar>
              <w:top w:w="99" w:type="dxa"/>
              <w:left w:w="113" w:type="dxa"/>
              <w:bottom w:w="99" w:type="dxa"/>
              <w:right w:w="113" w:type="dxa"/>
            </w:tcMar>
            <w:vAlign w:val="center"/>
          </w:tcPr>
          <w:p w14:paraId="0E5A1EDF" w14:textId="77777777" w:rsidR="00FB4146" w:rsidRDefault="00FB4146" w:rsidP="00FB4146">
            <w:pPr>
              <w:pStyle w:val="CDIFigure-Table-BodyTextCentre"/>
            </w:pPr>
            <w:r>
              <w:t>1 (0.3)</w:t>
            </w:r>
          </w:p>
        </w:tc>
        <w:tc>
          <w:tcPr>
            <w:tcW w:w="1361" w:type="dxa"/>
            <w:shd w:val="clear" w:color="auto" w:fill="F2F2F2" w:themeFill="background1" w:themeFillShade="F2"/>
            <w:tcMar>
              <w:top w:w="99" w:type="dxa"/>
              <w:left w:w="113" w:type="dxa"/>
              <w:bottom w:w="99" w:type="dxa"/>
              <w:right w:w="113" w:type="dxa"/>
            </w:tcMar>
            <w:vAlign w:val="center"/>
          </w:tcPr>
          <w:p w14:paraId="325F157F" w14:textId="77777777" w:rsidR="00FB4146" w:rsidRDefault="00FB4146" w:rsidP="00FB4146">
            <w:pPr>
              <w:pStyle w:val="CDIFigure-Table-BodyTextCentre"/>
            </w:pPr>
            <w:r>
              <w:t>44 (13.6)</w:t>
            </w:r>
          </w:p>
        </w:tc>
      </w:tr>
      <w:tr w:rsidR="00FB4146" w14:paraId="146AD326" w14:textId="77777777" w:rsidTr="00917557">
        <w:trPr>
          <w:trHeight w:val="20"/>
        </w:trPr>
        <w:tc>
          <w:tcPr>
            <w:tcW w:w="2835" w:type="dxa"/>
            <w:tcMar>
              <w:top w:w="99" w:type="dxa"/>
              <w:left w:w="113" w:type="dxa"/>
              <w:bottom w:w="99" w:type="dxa"/>
              <w:right w:w="113" w:type="dxa"/>
            </w:tcMar>
            <w:vAlign w:val="center"/>
          </w:tcPr>
          <w:p w14:paraId="1B724134" w14:textId="77777777" w:rsidR="00FB4146" w:rsidRDefault="00FB4146" w:rsidP="00917557">
            <w:pPr>
              <w:pStyle w:val="CDIFigure-Table-BodyTextLeft"/>
            </w:pPr>
            <w:r>
              <w:t>MenACWY</w:t>
            </w:r>
          </w:p>
        </w:tc>
        <w:tc>
          <w:tcPr>
            <w:tcW w:w="1360" w:type="dxa"/>
            <w:tcMar>
              <w:top w:w="99" w:type="dxa"/>
              <w:left w:w="113" w:type="dxa"/>
              <w:bottom w:w="99" w:type="dxa"/>
              <w:right w:w="113" w:type="dxa"/>
            </w:tcMar>
            <w:vAlign w:val="center"/>
          </w:tcPr>
          <w:p w14:paraId="093C1813" w14:textId="77777777" w:rsidR="00FB4146" w:rsidRDefault="00FB4146" w:rsidP="00FB4146">
            <w:pPr>
              <w:pStyle w:val="CDIFigure-Table-BodyTextCentre"/>
            </w:pPr>
            <w:r>
              <w:t>294 (8.5)</w:t>
            </w:r>
          </w:p>
        </w:tc>
        <w:tc>
          <w:tcPr>
            <w:tcW w:w="1361" w:type="dxa"/>
            <w:tcMar>
              <w:top w:w="99" w:type="dxa"/>
              <w:left w:w="113" w:type="dxa"/>
              <w:bottom w:w="99" w:type="dxa"/>
              <w:right w:w="113" w:type="dxa"/>
            </w:tcMar>
            <w:vAlign w:val="center"/>
          </w:tcPr>
          <w:p w14:paraId="61743C82" w14:textId="77777777" w:rsidR="00FB4146" w:rsidRDefault="00FB4146" w:rsidP="00FB4146">
            <w:pPr>
              <w:pStyle w:val="CDIFigure-Table-BodyTextCentre"/>
            </w:pPr>
            <w:r>
              <w:t>61 (20.7)</w:t>
            </w:r>
          </w:p>
        </w:tc>
        <w:tc>
          <w:tcPr>
            <w:tcW w:w="1361" w:type="dxa"/>
            <w:tcMar>
              <w:top w:w="99" w:type="dxa"/>
              <w:left w:w="113" w:type="dxa"/>
              <w:bottom w:w="99" w:type="dxa"/>
              <w:right w:w="113" w:type="dxa"/>
            </w:tcMar>
            <w:vAlign w:val="center"/>
          </w:tcPr>
          <w:p w14:paraId="43423C7D" w14:textId="77777777" w:rsidR="00FB4146" w:rsidRDefault="00FB4146" w:rsidP="00FB4146">
            <w:pPr>
              <w:pStyle w:val="CDIFigure-Table-BodyTextCentre"/>
            </w:pPr>
            <w:r>
              <w:t>221 (75.2)</w:t>
            </w:r>
          </w:p>
        </w:tc>
        <w:tc>
          <w:tcPr>
            <w:tcW w:w="1360" w:type="dxa"/>
            <w:tcMar>
              <w:top w:w="99" w:type="dxa"/>
              <w:left w:w="113" w:type="dxa"/>
              <w:bottom w:w="99" w:type="dxa"/>
              <w:right w:w="113" w:type="dxa"/>
            </w:tcMar>
            <w:vAlign w:val="center"/>
          </w:tcPr>
          <w:p w14:paraId="5F176B83" w14:textId="77777777" w:rsidR="00FB4146" w:rsidRDefault="00FB4146" w:rsidP="00FB4146">
            <w:pPr>
              <w:pStyle w:val="CDIFigure-Table-BodyTextCentre"/>
            </w:pPr>
            <w:r>
              <w:t>68 (23.1)</w:t>
            </w:r>
          </w:p>
        </w:tc>
        <w:tc>
          <w:tcPr>
            <w:tcW w:w="1361" w:type="dxa"/>
            <w:tcMar>
              <w:top w:w="99" w:type="dxa"/>
              <w:left w:w="113" w:type="dxa"/>
              <w:bottom w:w="99" w:type="dxa"/>
              <w:right w:w="113" w:type="dxa"/>
            </w:tcMar>
            <w:vAlign w:val="center"/>
          </w:tcPr>
          <w:p w14:paraId="20847435" w14:textId="77777777" w:rsidR="00FB4146" w:rsidRDefault="00FB4146" w:rsidP="00FB4146">
            <w:pPr>
              <w:pStyle w:val="CDIFigure-Table-BodyTextCentre"/>
            </w:pPr>
            <w:r>
              <w:t>12 (4.1)</w:t>
            </w:r>
          </w:p>
        </w:tc>
      </w:tr>
      <w:tr w:rsidR="00FB4146" w14:paraId="0FF38E43"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61330DA1" w14:textId="77777777" w:rsidR="00FB4146" w:rsidRDefault="00FB4146" w:rsidP="00917557">
            <w:pPr>
              <w:pStyle w:val="CDIFigure-Table-BodyTextLeft"/>
            </w:pPr>
            <w:proofErr w:type="spellStart"/>
            <w:r>
              <w:t>DTPa</w:t>
            </w:r>
            <w:proofErr w:type="spellEnd"/>
          </w:p>
        </w:tc>
        <w:tc>
          <w:tcPr>
            <w:tcW w:w="1360" w:type="dxa"/>
            <w:shd w:val="clear" w:color="auto" w:fill="F2F2F2" w:themeFill="background1" w:themeFillShade="F2"/>
            <w:tcMar>
              <w:top w:w="99" w:type="dxa"/>
              <w:left w:w="113" w:type="dxa"/>
              <w:bottom w:w="99" w:type="dxa"/>
              <w:right w:w="113" w:type="dxa"/>
            </w:tcMar>
            <w:vAlign w:val="center"/>
          </w:tcPr>
          <w:p w14:paraId="7E9EB57F" w14:textId="77777777" w:rsidR="00FB4146" w:rsidRDefault="00FB4146" w:rsidP="00FB4146">
            <w:pPr>
              <w:pStyle w:val="CDIFigure-Table-BodyTextCentre"/>
            </w:pPr>
            <w:r>
              <w:t>286 (8.3)</w:t>
            </w:r>
          </w:p>
        </w:tc>
        <w:tc>
          <w:tcPr>
            <w:tcW w:w="1361" w:type="dxa"/>
            <w:shd w:val="clear" w:color="auto" w:fill="F2F2F2" w:themeFill="background1" w:themeFillShade="F2"/>
            <w:tcMar>
              <w:top w:w="99" w:type="dxa"/>
              <w:left w:w="113" w:type="dxa"/>
              <w:bottom w:w="99" w:type="dxa"/>
              <w:right w:w="113" w:type="dxa"/>
            </w:tcMar>
            <w:vAlign w:val="center"/>
          </w:tcPr>
          <w:p w14:paraId="29A5CB70" w14:textId="77777777" w:rsidR="00FB4146" w:rsidRDefault="00FB4146" w:rsidP="00FB4146">
            <w:pPr>
              <w:pStyle w:val="CDIFigure-Table-BodyTextCentre"/>
            </w:pPr>
            <w:r>
              <w:t>81 (28.3)</w:t>
            </w:r>
          </w:p>
        </w:tc>
        <w:tc>
          <w:tcPr>
            <w:tcW w:w="1361" w:type="dxa"/>
            <w:shd w:val="clear" w:color="auto" w:fill="F2F2F2" w:themeFill="background1" w:themeFillShade="F2"/>
            <w:tcMar>
              <w:top w:w="99" w:type="dxa"/>
              <w:left w:w="113" w:type="dxa"/>
              <w:bottom w:w="99" w:type="dxa"/>
              <w:right w:w="113" w:type="dxa"/>
            </w:tcMar>
            <w:vAlign w:val="center"/>
          </w:tcPr>
          <w:p w14:paraId="587A5CBB" w14:textId="77777777" w:rsidR="00FB4146" w:rsidRDefault="00FB4146" w:rsidP="00FB4146">
            <w:pPr>
              <w:pStyle w:val="CDIFigure-Table-BodyTextCentre"/>
            </w:pPr>
            <w:r>
              <w:t>263 (92.0)</w:t>
            </w:r>
          </w:p>
        </w:tc>
        <w:tc>
          <w:tcPr>
            <w:tcW w:w="1360" w:type="dxa"/>
            <w:shd w:val="clear" w:color="auto" w:fill="F2F2F2" w:themeFill="background1" w:themeFillShade="F2"/>
            <w:tcMar>
              <w:top w:w="99" w:type="dxa"/>
              <w:left w:w="113" w:type="dxa"/>
              <w:bottom w:w="99" w:type="dxa"/>
              <w:right w:w="113" w:type="dxa"/>
            </w:tcMar>
            <w:vAlign w:val="center"/>
          </w:tcPr>
          <w:p w14:paraId="694451FD" w14:textId="77777777" w:rsidR="00FB4146" w:rsidRDefault="00FB4146" w:rsidP="00FB4146">
            <w:pPr>
              <w:pStyle w:val="CDIFigure-Table-BodyTextCentre"/>
            </w:pPr>
            <w:r>
              <w:t>18 (6.3)</w:t>
            </w:r>
          </w:p>
        </w:tc>
        <w:tc>
          <w:tcPr>
            <w:tcW w:w="1361" w:type="dxa"/>
            <w:shd w:val="clear" w:color="auto" w:fill="F2F2F2" w:themeFill="background1" w:themeFillShade="F2"/>
            <w:tcMar>
              <w:top w:w="99" w:type="dxa"/>
              <w:left w:w="113" w:type="dxa"/>
              <w:bottom w:w="99" w:type="dxa"/>
              <w:right w:w="113" w:type="dxa"/>
            </w:tcMar>
            <w:vAlign w:val="center"/>
          </w:tcPr>
          <w:p w14:paraId="7D0A51DD" w14:textId="77777777" w:rsidR="00FB4146" w:rsidRDefault="00FB4146" w:rsidP="00FB4146">
            <w:pPr>
              <w:pStyle w:val="CDIFigure-Table-BodyTextCentre"/>
            </w:pPr>
            <w:r>
              <w:t>16 (5.6)</w:t>
            </w:r>
          </w:p>
        </w:tc>
      </w:tr>
      <w:tr w:rsidR="00FB4146" w14:paraId="6DBD0FC2" w14:textId="77777777" w:rsidTr="00917557">
        <w:trPr>
          <w:trHeight w:val="20"/>
        </w:trPr>
        <w:tc>
          <w:tcPr>
            <w:tcW w:w="2835" w:type="dxa"/>
            <w:tcMar>
              <w:top w:w="99" w:type="dxa"/>
              <w:left w:w="113" w:type="dxa"/>
              <w:bottom w:w="99" w:type="dxa"/>
              <w:right w:w="113" w:type="dxa"/>
            </w:tcMar>
            <w:vAlign w:val="center"/>
          </w:tcPr>
          <w:p w14:paraId="0DA5674D" w14:textId="77777777" w:rsidR="00FB4146" w:rsidRDefault="00FB4146" w:rsidP="00917557">
            <w:pPr>
              <w:pStyle w:val="CDIFigure-Table-BodyTextLeft"/>
            </w:pPr>
            <w:r>
              <w:t>MMR</w:t>
            </w:r>
          </w:p>
        </w:tc>
        <w:tc>
          <w:tcPr>
            <w:tcW w:w="1360" w:type="dxa"/>
            <w:tcMar>
              <w:top w:w="99" w:type="dxa"/>
              <w:left w:w="113" w:type="dxa"/>
              <w:bottom w:w="99" w:type="dxa"/>
              <w:right w:w="113" w:type="dxa"/>
            </w:tcMar>
            <w:vAlign w:val="center"/>
          </w:tcPr>
          <w:p w14:paraId="1D78A8FA" w14:textId="77777777" w:rsidR="00FB4146" w:rsidRDefault="00FB4146" w:rsidP="00FB4146">
            <w:pPr>
              <w:pStyle w:val="CDIFigure-Table-BodyTextCentre"/>
            </w:pPr>
            <w:r>
              <w:t>269 (7.8)</w:t>
            </w:r>
          </w:p>
        </w:tc>
        <w:tc>
          <w:tcPr>
            <w:tcW w:w="1361" w:type="dxa"/>
            <w:tcMar>
              <w:top w:w="99" w:type="dxa"/>
              <w:left w:w="113" w:type="dxa"/>
              <w:bottom w:w="99" w:type="dxa"/>
              <w:right w:w="113" w:type="dxa"/>
            </w:tcMar>
            <w:vAlign w:val="center"/>
          </w:tcPr>
          <w:p w14:paraId="38F7348B" w14:textId="77777777" w:rsidR="00FB4146" w:rsidRDefault="00FB4146" w:rsidP="00FB4146">
            <w:pPr>
              <w:pStyle w:val="CDIFigure-Table-BodyTextCentre"/>
            </w:pPr>
            <w:r>
              <w:t>48 (17.8)</w:t>
            </w:r>
          </w:p>
        </w:tc>
        <w:tc>
          <w:tcPr>
            <w:tcW w:w="1361" w:type="dxa"/>
            <w:tcMar>
              <w:top w:w="99" w:type="dxa"/>
              <w:left w:w="113" w:type="dxa"/>
              <w:bottom w:w="99" w:type="dxa"/>
              <w:right w:w="113" w:type="dxa"/>
            </w:tcMar>
            <w:vAlign w:val="center"/>
          </w:tcPr>
          <w:p w14:paraId="7EA79B66" w14:textId="77777777" w:rsidR="00FB4146" w:rsidRDefault="00FB4146" w:rsidP="00FB4146">
            <w:pPr>
              <w:pStyle w:val="CDIFigure-Table-BodyTextCentre"/>
            </w:pPr>
            <w:r>
              <w:t>233 (86.6)</w:t>
            </w:r>
          </w:p>
        </w:tc>
        <w:tc>
          <w:tcPr>
            <w:tcW w:w="1360" w:type="dxa"/>
            <w:tcMar>
              <w:top w:w="99" w:type="dxa"/>
              <w:left w:w="113" w:type="dxa"/>
              <w:bottom w:w="99" w:type="dxa"/>
              <w:right w:w="113" w:type="dxa"/>
            </w:tcMar>
            <w:vAlign w:val="center"/>
          </w:tcPr>
          <w:p w14:paraId="7F018F43" w14:textId="77777777" w:rsidR="00FB4146" w:rsidRDefault="00FB4146" w:rsidP="00FB4146">
            <w:pPr>
              <w:pStyle w:val="CDIFigure-Table-BodyTextCentre"/>
            </w:pPr>
            <w:r>
              <w:t>31 (11.5)</w:t>
            </w:r>
          </w:p>
        </w:tc>
        <w:tc>
          <w:tcPr>
            <w:tcW w:w="1361" w:type="dxa"/>
            <w:tcMar>
              <w:top w:w="99" w:type="dxa"/>
              <w:left w:w="113" w:type="dxa"/>
              <w:bottom w:w="99" w:type="dxa"/>
              <w:right w:w="113" w:type="dxa"/>
            </w:tcMar>
            <w:vAlign w:val="center"/>
          </w:tcPr>
          <w:p w14:paraId="79E1FD3D" w14:textId="77777777" w:rsidR="00FB4146" w:rsidRDefault="00FB4146" w:rsidP="00FB4146">
            <w:pPr>
              <w:pStyle w:val="CDIFigure-Table-BodyTextCentre"/>
            </w:pPr>
            <w:r>
              <w:t>22 (8.2)</w:t>
            </w:r>
          </w:p>
        </w:tc>
      </w:tr>
      <w:tr w:rsidR="00FB4146" w14:paraId="6A8299A2"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09127666" w14:textId="77777777" w:rsidR="00FB4146" w:rsidRDefault="00FB4146" w:rsidP="00917557">
            <w:pPr>
              <w:pStyle w:val="CDIFigure-Table-BodyTextLeft"/>
            </w:pPr>
            <w:r>
              <w:t>MenB</w:t>
            </w:r>
          </w:p>
        </w:tc>
        <w:tc>
          <w:tcPr>
            <w:tcW w:w="1360" w:type="dxa"/>
            <w:shd w:val="clear" w:color="auto" w:fill="F2F2F2" w:themeFill="background1" w:themeFillShade="F2"/>
            <w:tcMar>
              <w:top w:w="99" w:type="dxa"/>
              <w:left w:w="113" w:type="dxa"/>
              <w:bottom w:w="99" w:type="dxa"/>
              <w:right w:w="113" w:type="dxa"/>
            </w:tcMar>
            <w:vAlign w:val="center"/>
          </w:tcPr>
          <w:p w14:paraId="2454D058" w14:textId="77777777" w:rsidR="00FB4146" w:rsidRDefault="00FB4146" w:rsidP="00FB4146">
            <w:pPr>
              <w:pStyle w:val="CDIFigure-Table-BodyTextCentre"/>
            </w:pPr>
            <w:r>
              <w:t>259 (7.5)</w:t>
            </w:r>
          </w:p>
        </w:tc>
        <w:tc>
          <w:tcPr>
            <w:tcW w:w="1361" w:type="dxa"/>
            <w:shd w:val="clear" w:color="auto" w:fill="F2F2F2" w:themeFill="background1" w:themeFillShade="F2"/>
            <w:tcMar>
              <w:top w:w="99" w:type="dxa"/>
              <w:left w:w="113" w:type="dxa"/>
              <w:bottom w:w="99" w:type="dxa"/>
              <w:right w:w="113" w:type="dxa"/>
            </w:tcMar>
            <w:vAlign w:val="center"/>
          </w:tcPr>
          <w:p w14:paraId="64C976AA" w14:textId="77777777" w:rsidR="00FB4146" w:rsidRDefault="00FB4146" w:rsidP="00FB4146">
            <w:pPr>
              <w:pStyle w:val="CDIFigure-Table-BodyTextCentre"/>
            </w:pPr>
            <w:r>
              <w:t>123 (47.5)</w:t>
            </w:r>
          </w:p>
        </w:tc>
        <w:tc>
          <w:tcPr>
            <w:tcW w:w="1361" w:type="dxa"/>
            <w:shd w:val="clear" w:color="auto" w:fill="F2F2F2" w:themeFill="background1" w:themeFillShade="F2"/>
            <w:tcMar>
              <w:top w:w="99" w:type="dxa"/>
              <w:left w:w="113" w:type="dxa"/>
              <w:bottom w:w="99" w:type="dxa"/>
              <w:right w:w="113" w:type="dxa"/>
            </w:tcMar>
            <w:vAlign w:val="center"/>
          </w:tcPr>
          <w:p w14:paraId="1FDA4887" w14:textId="77777777" w:rsidR="00FB4146" w:rsidRDefault="00FB4146" w:rsidP="00FB4146">
            <w:pPr>
              <w:pStyle w:val="CDIFigure-Table-BodyTextCentre"/>
            </w:pPr>
            <w:r>
              <w:t>219 (84.6)</w:t>
            </w:r>
          </w:p>
        </w:tc>
        <w:tc>
          <w:tcPr>
            <w:tcW w:w="1360" w:type="dxa"/>
            <w:shd w:val="clear" w:color="auto" w:fill="F2F2F2" w:themeFill="background1" w:themeFillShade="F2"/>
            <w:tcMar>
              <w:top w:w="99" w:type="dxa"/>
              <w:left w:w="113" w:type="dxa"/>
              <w:bottom w:w="99" w:type="dxa"/>
              <w:right w:w="113" w:type="dxa"/>
            </w:tcMar>
            <w:vAlign w:val="center"/>
          </w:tcPr>
          <w:p w14:paraId="141D24AF" w14:textId="77777777" w:rsidR="00FB4146" w:rsidRDefault="00FB4146" w:rsidP="00FB4146">
            <w:pPr>
              <w:pStyle w:val="CDIFigure-Table-BodyTextCentre"/>
            </w:pPr>
            <w:r>
              <w:t>33 (12.7)</w:t>
            </w:r>
          </w:p>
        </w:tc>
        <w:tc>
          <w:tcPr>
            <w:tcW w:w="1361" w:type="dxa"/>
            <w:shd w:val="clear" w:color="auto" w:fill="F2F2F2" w:themeFill="background1" w:themeFillShade="F2"/>
            <w:tcMar>
              <w:top w:w="99" w:type="dxa"/>
              <w:left w:w="113" w:type="dxa"/>
              <w:bottom w:w="99" w:type="dxa"/>
              <w:right w:w="113" w:type="dxa"/>
            </w:tcMar>
            <w:vAlign w:val="center"/>
          </w:tcPr>
          <w:p w14:paraId="3D15058C" w14:textId="77777777" w:rsidR="00FB4146" w:rsidRDefault="00FB4146" w:rsidP="00FB4146">
            <w:pPr>
              <w:pStyle w:val="CDIFigure-Table-BodyTextCentre"/>
            </w:pPr>
            <w:r>
              <w:t>19 (7.3)</w:t>
            </w:r>
          </w:p>
        </w:tc>
      </w:tr>
      <w:tr w:rsidR="00FB4146" w14:paraId="376E4178" w14:textId="77777777" w:rsidTr="00917557">
        <w:trPr>
          <w:trHeight w:val="20"/>
        </w:trPr>
        <w:tc>
          <w:tcPr>
            <w:tcW w:w="2835" w:type="dxa"/>
            <w:tcMar>
              <w:top w:w="99" w:type="dxa"/>
              <w:left w:w="113" w:type="dxa"/>
              <w:bottom w:w="99" w:type="dxa"/>
              <w:right w:w="113" w:type="dxa"/>
            </w:tcMar>
            <w:vAlign w:val="center"/>
          </w:tcPr>
          <w:p w14:paraId="2F4CCA86" w14:textId="77777777" w:rsidR="00FB4146" w:rsidRDefault="00FB4146" w:rsidP="00917557">
            <w:pPr>
              <w:pStyle w:val="CDIFigure-Table-BodyTextLeft"/>
            </w:pPr>
            <w:r>
              <w:t>dTpa</w:t>
            </w:r>
          </w:p>
        </w:tc>
        <w:tc>
          <w:tcPr>
            <w:tcW w:w="1360" w:type="dxa"/>
            <w:tcMar>
              <w:top w:w="99" w:type="dxa"/>
              <w:left w:w="113" w:type="dxa"/>
              <w:bottom w:w="99" w:type="dxa"/>
              <w:right w:w="113" w:type="dxa"/>
            </w:tcMar>
            <w:vAlign w:val="center"/>
          </w:tcPr>
          <w:p w14:paraId="30023505" w14:textId="77777777" w:rsidR="00FB4146" w:rsidRDefault="00FB4146" w:rsidP="00FB4146">
            <w:pPr>
              <w:pStyle w:val="CDIFigure-Table-BodyTextCentre"/>
            </w:pPr>
            <w:r>
              <w:t>238 (6.9)</w:t>
            </w:r>
          </w:p>
        </w:tc>
        <w:tc>
          <w:tcPr>
            <w:tcW w:w="1361" w:type="dxa"/>
            <w:tcMar>
              <w:top w:w="99" w:type="dxa"/>
              <w:left w:w="113" w:type="dxa"/>
              <w:bottom w:w="99" w:type="dxa"/>
              <w:right w:w="113" w:type="dxa"/>
            </w:tcMar>
            <w:vAlign w:val="center"/>
          </w:tcPr>
          <w:p w14:paraId="5FB8DF73" w14:textId="77777777" w:rsidR="00FB4146" w:rsidRDefault="00FB4146" w:rsidP="00FB4146">
            <w:pPr>
              <w:pStyle w:val="CDIFigure-Table-BodyTextCentre"/>
            </w:pPr>
            <w:r>
              <w:t>103 (43.3)</w:t>
            </w:r>
          </w:p>
        </w:tc>
        <w:tc>
          <w:tcPr>
            <w:tcW w:w="1361" w:type="dxa"/>
            <w:tcMar>
              <w:top w:w="99" w:type="dxa"/>
              <w:left w:w="113" w:type="dxa"/>
              <w:bottom w:w="99" w:type="dxa"/>
              <w:right w:w="113" w:type="dxa"/>
            </w:tcMar>
            <w:vAlign w:val="center"/>
          </w:tcPr>
          <w:p w14:paraId="5261286D" w14:textId="77777777" w:rsidR="00FB4146" w:rsidRDefault="00FB4146" w:rsidP="00FB4146">
            <w:pPr>
              <w:pStyle w:val="CDIFigure-Table-BodyTextCentre"/>
            </w:pPr>
            <w:r>
              <w:t>5 (2.1)</w:t>
            </w:r>
          </w:p>
        </w:tc>
        <w:tc>
          <w:tcPr>
            <w:tcW w:w="1360" w:type="dxa"/>
            <w:tcMar>
              <w:top w:w="99" w:type="dxa"/>
              <w:left w:w="113" w:type="dxa"/>
              <w:bottom w:w="99" w:type="dxa"/>
              <w:right w:w="113" w:type="dxa"/>
            </w:tcMar>
            <w:vAlign w:val="center"/>
          </w:tcPr>
          <w:p w14:paraId="7458BBC8" w14:textId="77777777" w:rsidR="00FB4146" w:rsidRDefault="00FB4146" w:rsidP="00FB4146">
            <w:pPr>
              <w:pStyle w:val="CDIFigure-Table-BodyTextCentre"/>
            </w:pPr>
            <w:r>
              <w:t>230 (96.6)</w:t>
            </w:r>
          </w:p>
        </w:tc>
        <w:tc>
          <w:tcPr>
            <w:tcW w:w="1361" w:type="dxa"/>
            <w:tcMar>
              <w:top w:w="99" w:type="dxa"/>
              <w:left w:w="113" w:type="dxa"/>
              <w:bottom w:w="99" w:type="dxa"/>
              <w:right w:w="113" w:type="dxa"/>
            </w:tcMar>
            <w:vAlign w:val="center"/>
          </w:tcPr>
          <w:p w14:paraId="0B28CDDD" w14:textId="77777777" w:rsidR="00FB4146" w:rsidRDefault="00FB4146" w:rsidP="00FB4146">
            <w:pPr>
              <w:pStyle w:val="CDIFigure-Table-BodyTextCentre"/>
            </w:pPr>
            <w:r>
              <w:t>12 (5.0)</w:t>
            </w:r>
          </w:p>
        </w:tc>
      </w:tr>
      <w:tr w:rsidR="00FB4146" w14:paraId="2FF6BA03"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1BD27C8D" w14:textId="77777777" w:rsidR="00FB4146" w:rsidRDefault="00FB4146" w:rsidP="00917557">
            <w:pPr>
              <w:pStyle w:val="CDIFigure-Table-BodyTextLeft"/>
            </w:pPr>
            <w:r>
              <w:t>Influenza (</w:t>
            </w:r>
            <w:proofErr w:type="spellStart"/>
            <w:r>
              <w:t>hd</w:t>
            </w:r>
            <w:proofErr w:type="spellEnd"/>
            <w:r>
              <w:t>/a)</w:t>
            </w:r>
          </w:p>
        </w:tc>
        <w:tc>
          <w:tcPr>
            <w:tcW w:w="1360" w:type="dxa"/>
            <w:shd w:val="clear" w:color="auto" w:fill="F2F2F2" w:themeFill="background1" w:themeFillShade="F2"/>
            <w:tcMar>
              <w:top w:w="99" w:type="dxa"/>
              <w:left w:w="113" w:type="dxa"/>
              <w:bottom w:w="99" w:type="dxa"/>
              <w:right w:w="113" w:type="dxa"/>
            </w:tcMar>
            <w:vAlign w:val="center"/>
          </w:tcPr>
          <w:p w14:paraId="7500EC89" w14:textId="77777777" w:rsidR="00FB4146" w:rsidRDefault="00FB4146" w:rsidP="00FB4146">
            <w:pPr>
              <w:pStyle w:val="CDIFigure-Table-BodyTextCentre"/>
            </w:pPr>
            <w:r>
              <w:t>226 (6.5)</w:t>
            </w:r>
          </w:p>
        </w:tc>
        <w:tc>
          <w:tcPr>
            <w:tcW w:w="1361" w:type="dxa"/>
            <w:shd w:val="clear" w:color="auto" w:fill="F2F2F2" w:themeFill="background1" w:themeFillShade="F2"/>
            <w:tcMar>
              <w:top w:w="99" w:type="dxa"/>
              <w:left w:w="113" w:type="dxa"/>
              <w:bottom w:w="99" w:type="dxa"/>
              <w:right w:w="113" w:type="dxa"/>
            </w:tcMar>
            <w:vAlign w:val="center"/>
          </w:tcPr>
          <w:p w14:paraId="3F7F3044" w14:textId="77777777" w:rsidR="00FB4146" w:rsidRDefault="00FB4146" w:rsidP="00FB4146">
            <w:pPr>
              <w:pStyle w:val="CDIFigure-Table-BodyTextCentre"/>
            </w:pPr>
            <w:r>
              <w:t>205 (90.7)</w:t>
            </w:r>
          </w:p>
        </w:tc>
        <w:tc>
          <w:tcPr>
            <w:tcW w:w="1361" w:type="dxa"/>
            <w:shd w:val="clear" w:color="auto" w:fill="F2F2F2" w:themeFill="background1" w:themeFillShade="F2"/>
            <w:tcMar>
              <w:top w:w="99" w:type="dxa"/>
              <w:left w:w="113" w:type="dxa"/>
              <w:bottom w:w="99" w:type="dxa"/>
              <w:right w:w="113" w:type="dxa"/>
            </w:tcMar>
            <w:vAlign w:val="center"/>
          </w:tcPr>
          <w:p w14:paraId="0D6B7B25" w14:textId="77777777" w:rsidR="00FB4146" w:rsidRDefault="00FB4146" w:rsidP="00FB4146">
            <w:pPr>
              <w:pStyle w:val="CDIFigure-Table-BodyTextCentre"/>
            </w:pPr>
            <w:r>
              <w:t>6 (2.7)</w:t>
            </w:r>
          </w:p>
        </w:tc>
        <w:tc>
          <w:tcPr>
            <w:tcW w:w="1360" w:type="dxa"/>
            <w:shd w:val="clear" w:color="auto" w:fill="F2F2F2" w:themeFill="background1" w:themeFillShade="F2"/>
            <w:tcMar>
              <w:top w:w="99" w:type="dxa"/>
              <w:left w:w="113" w:type="dxa"/>
              <w:bottom w:w="99" w:type="dxa"/>
              <w:right w:w="113" w:type="dxa"/>
            </w:tcMar>
            <w:vAlign w:val="center"/>
          </w:tcPr>
          <w:p w14:paraId="6F5FF721" w14:textId="77777777" w:rsidR="00FB4146" w:rsidRDefault="00FB4146" w:rsidP="00FB4146">
            <w:pPr>
              <w:pStyle w:val="CDIFigure-Table-BodyTextCentre"/>
            </w:pPr>
            <w:r>
              <w:t>205 (90.7)</w:t>
            </w:r>
          </w:p>
        </w:tc>
        <w:tc>
          <w:tcPr>
            <w:tcW w:w="1361" w:type="dxa"/>
            <w:shd w:val="clear" w:color="auto" w:fill="F2F2F2" w:themeFill="background1" w:themeFillShade="F2"/>
            <w:tcMar>
              <w:top w:w="99" w:type="dxa"/>
              <w:left w:w="113" w:type="dxa"/>
              <w:bottom w:w="99" w:type="dxa"/>
              <w:right w:w="113" w:type="dxa"/>
            </w:tcMar>
            <w:vAlign w:val="center"/>
          </w:tcPr>
          <w:p w14:paraId="4F98B223" w14:textId="77777777" w:rsidR="00FB4146" w:rsidRDefault="00FB4146" w:rsidP="00FB4146">
            <w:pPr>
              <w:pStyle w:val="CDIFigure-Table-BodyTextCentre"/>
            </w:pPr>
            <w:r>
              <w:t>19 (8.4)</w:t>
            </w:r>
          </w:p>
        </w:tc>
      </w:tr>
      <w:tr w:rsidR="00FB4146" w14:paraId="0DD5943B" w14:textId="77777777" w:rsidTr="00917557">
        <w:trPr>
          <w:trHeight w:val="20"/>
        </w:trPr>
        <w:tc>
          <w:tcPr>
            <w:tcW w:w="2835" w:type="dxa"/>
            <w:tcMar>
              <w:top w:w="99" w:type="dxa"/>
              <w:left w:w="113" w:type="dxa"/>
              <w:bottom w:w="99" w:type="dxa"/>
              <w:right w:w="113" w:type="dxa"/>
            </w:tcMar>
            <w:vAlign w:val="center"/>
          </w:tcPr>
          <w:p w14:paraId="274AE201" w14:textId="77777777" w:rsidR="00FB4146" w:rsidRDefault="00FB4146" w:rsidP="00917557">
            <w:pPr>
              <w:pStyle w:val="CDIFigure-Table-BodyTextLeft"/>
            </w:pPr>
            <w:r>
              <w:t>HPV</w:t>
            </w:r>
          </w:p>
        </w:tc>
        <w:tc>
          <w:tcPr>
            <w:tcW w:w="1360" w:type="dxa"/>
            <w:tcMar>
              <w:top w:w="99" w:type="dxa"/>
              <w:left w:w="113" w:type="dxa"/>
              <w:bottom w:w="99" w:type="dxa"/>
              <w:right w:w="113" w:type="dxa"/>
            </w:tcMar>
            <w:vAlign w:val="center"/>
          </w:tcPr>
          <w:p w14:paraId="7ECCFCD4" w14:textId="77777777" w:rsidR="00FB4146" w:rsidRDefault="00FB4146" w:rsidP="00FB4146">
            <w:pPr>
              <w:pStyle w:val="CDIFigure-Table-BodyTextCentre"/>
            </w:pPr>
            <w:r>
              <w:t>223 (6.5)</w:t>
            </w:r>
          </w:p>
        </w:tc>
        <w:tc>
          <w:tcPr>
            <w:tcW w:w="1361" w:type="dxa"/>
            <w:tcMar>
              <w:top w:w="99" w:type="dxa"/>
              <w:left w:w="113" w:type="dxa"/>
              <w:bottom w:w="99" w:type="dxa"/>
              <w:right w:w="113" w:type="dxa"/>
            </w:tcMar>
            <w:vAlign w:val="center"/>
          </w:tcPr>
          <w:p w14:paraId="190C4143" w14:textId="77777777" w:rsidR="00FB4146" w:rsidRDefault="00FB4146" w:rsidP="00FB4146">
            <w:pPr>
              <w:pStyle w:val="CDIFigure-Table-BodyTextCentre"/>
            </w:pPr>
            <w:r>
              <w:t>102 (45.7)</w:t>
            </w:r>
          </w:p>
        </w:tc>
        <w:tc>
          <w:tcPr>
            <w:tcW w:w="1361" w:type="dxa"/>
            <w:tcMar>
              <w:top w:w="99" w:type="dxa"/>
              <w:left w:w="113" w:type="dxa"/>
              <w:bottom w:w="99" w:type="dxa"/>
              <w:right w:w="113" w:type="dxa"/>
            </w:tcMar>
            <w:vAlign w:val="center"/>
          </w:tcPr>
          <w:p w14:paraId="06305EB7" w14:textId="77777777" w:rsidR="00FB4146" w:rsidRDefault="00FB4146" w:rsidP="00FB4146">
            <w:pPr>
              <w:pStyle w:val="CDIFigure-Table-BodyTextCentre"/>
            </w:pPr>
            <w:r>
              <w:t>2 (0.9)</w:t>
            </w:r>
          </w:p>
        </w:tc>
        <w:tc>
          <w:tcPr>
            <w:tcW w:w="1360" w:type="dxa"/>
            <w:tcMar>
              <w:top w:w="99" w:type="dxa"/>
              <w:left w:w="113" w:type="dxa"/>
              <w:bottom w:w="99" w:type="dxa"/>
              <w:right w:w="113" w:type="dxa"/>
            </w:tcMar>
            <w:vAlign w:val="center"/>
          </w:tcPr>
          <w:p w14:paraId="08AE4EE0" w14:textId="77777777" w:rsidR="00FB4146" w:rsidRDefault="00FB4146" w:rsidP="00FB4146">
            <w:pPr>
              <w:pStyle w:val="CDIFigure-Table-BodyTextCentre"/>
            </w:pPr>
            <w:r>
              <w:t>217 (97.3)</w:t>
            </w:r>
          </w:p>
        </w:tc>
        <w:tc>
          <w:tcPr>
            <w:tcW w:w="1361" w:type="dxa"/>
            <w:tcMar>
              <w:top w:w="99" w:type="dxa"/>
              <w:left w:w="113" w:type="dxa"/>
              <w:bottom w:w="99" w:type="dxa"/>
              <w:right w:w="113" w:type="dxa"/>
            </w:tcMar>
            <w:vAlign w:val="center"/>
          </w:tcPr>
          <w:p w14:paraId="2214AA4A" w14:textId="77777777" w:rsidR="00FB4146" w:rsidRDefault="00FB4146" w:rsidP="00FB4146">
            <w:pPr>
              <w:pStyle w:val="CDIFigure-Table-BodyTextCentre"/>
            </w:pPr>
            <w:r>
              <w:t>9 (4.0)</w:t>
            </w:r>
          </w:p>
        </w:tc>
      </w:tr>
      <w:tr w:rsidR="00FB4146" w14:paraId="16330208"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55A44983" w14:textId="77777777" w:rsidR="00FB4146" w:rsidRDefault="00FB4146" w:rsidP="00917557">
            <w:pPr>
              <w:pStyle w:val="CDIFigure-Table-BodyTextLeft"/>
            </w:pPr>
            <w:r>
              <w:t>MMRV</w:t>
            </w:r>
          </w:p>
        </w:tc>
        <w:tc>
          <w:tcPr>
            <w:tcW w:w="1360" w:type="dxa"/>
            <w:shd w:val="clear" w:color="auto" w:fill="F2F2F2" w:themeFill="background1" w:themeFillShade="F2"/>
            <w:tcMar>
              <w:top w:w="99" w:type="dxa"/>
              <w:left w:w="113" w:type="dxa"/>
              <w:bottom w:w="99" w:type="dxa"/>
              <w:right w:w="113" w:type="dxa"/>
            </w:tcMar>
            <w:vAlign w:val="center"/>
          </w:tcPr>
          <w:p w14:paraId="1AA51BA1" w14:textId="77777777" w:rsidR="00FB4146" w:rsidRDefault="00FB4146" w:rsidP="00FB4146">
            <w:pPr>
              <w:pStyle w:val="CDIFigure-Table-BodyTextCentre"/>
            </w:pPr>
            <w:r>
              <w:t>205 (5.9)</w:t>
            </w:r>
          </w:p>
        </w:tc>
        <w:tc>
          <w:tcPr>
            <w:tcW w:w="1361" w:type="dxa"/>
            <w:shd w:val="clear" w:color="auto" w:fill="F2F2F2" w:themeFill="background1" w:themeFillShade="F2"/>
            <w:tcMar>
              <w:top w:w="99" w:type="dxa"/>
              <w:left w:w="113" w:type="dxa"/>
              <w:bottom w:w="99" w:type="dxa"/>
              <w:right w:w="113" w:type="dxa"/>
            </w:tcMar>
            <w:vAlign w:val="center"/>
          </w:tcPr>
          <w:p w14:paraId="4B21BEB0" w14:textId="77777777" w:rsidR="00FB4146" w:rsidRDefault="00FB4146" w:rsidP="00FB4146">
            <w:pPr>
              <w:pStyle w:val="CDIFigure-Table-BodyTextCentre"/>
            </w:pPr>
            <w:r>
              <w:t>28 (13.7)</w:t>
            </w:r>
          </w:p>
        </w:tc>
        <w:tc>
          <w:tcPr>
            <w:tcW w:w="1361" w:type="dxa"/>
            <w:shd w:val="clear" w:color="auto" w:fill="F2F2F2" w:themeFill="background1" w:themeFillShade="F2"/>
            <w:tcMar>
              <w:top w:w="99" w:type="dxa"/>
              <w:left w:w="113" w:type="dxa"/>
              <w:bottom w:w="99" w:type="dxa"/>
              <w:right w:w="113" w:type="dxa"/>
            </w:tcMar>
            <w:vAlign w:val="center"/>
          </w:tcPr>
          <w:p w14:paraId="689D3F8D" w14:textId="77777777" w:rsidR="00FB4146" w:rsidRDefault="00FB4146" w:rsidP="00FB4146">
            <w:pPr>
              <w:pStyle w:val="CDIFigure-Table-BodyTextCentre"/>
            </w:pPr>
            <w:r>
              <w:t>192 (93.7)</w:t>
            </w:r>
          </w:p>
        </w:tc>
        <w:tc>
          <w:tcPr>
            <w:tcW w:w="1360" w:type="dxa"/>
            <w:shd w:val="clear" w:color="auto" w:fill="F2F2F2" w:themeFill="background1" w:themeFillShade="F2"/>
            <w:tcMar>
              <w:top w:w="99" w:type="dxa"/>
              <w:left w:w="113" w:type="dxa"/>
              <w:bottom w:w="99" w:type="dxa"/>
              <w:right w:w="113" w:type="dxa"/>
            </w:tcMar>
            <w:vAlign w:val="center"/>
          </w:tcPr>
          <w:p w14:paraId="739BE75A" w14:textId="77777777" w:rsidR="00FB4146" w:rsidRDefault="00FB4146" w:rsidP="00FB4146">
            <w:pPr>
              <w:pStyle w:val="CDIFigure-Table-BodyTextCentre"/>
            </w:pPr>
            <w:r>
              <w:t>10 (4.9)</w:t>
            </w:r>
          </w:p>
        </w:tc>
        <w:tc>
          <w:tcPr>
            <w:tcW w:w="1361" w:type="dxa"/>
            <w:shd w:val="clear" w:color="auto" w:fill="F2F2F2" w:themeFill="background1" w:themeFillShade="F2"/>
            <w:tcMar>
              <w:top w:w="99" w:type="dxa"/>
              <w:left w:w="113" w:type="dxa"/>
              <w:bottom w:w="99" w:type="dxa"/>
              <w:right w:w="113" w:type="dxa"/>
            </w:tcMar>
            <w:vAlign w:val="center"/>
          </w:tcPr>
          <w:p w14:paraId="3F074D73" w14:textId="77777777" w:rsidR="00FB4146" w:rsidRDefault="00FB4146" w:rsidP="00FB4146">
            <w:pPr>
              <w:pStyle w:val="CDIFigure-Table-BodyTextCentre"/>
            </w:pPr>
            <w:r>
              <w:t>7 (3.4)</w:t>
            </w:r>
          </w:p>
        </w:tc>
      </w:tr>
      <w:tr w:rsidR="00FB4146" w14:paraId="36A01154" w14:textId="77777777" w:rsidTr="00917557">
        <w:trPr>
          <w:trHeight w:val="20"/>
        </w:trPr>
        <w:tc>
          <w:tcPr>
            <w:tcW w:w="2835" w:type="dxa"/>
            <w:tcMar>
              <w:top w:w="99" w:type="dxa"/>
              <w:left w:w="113" w:type="dxa"/>
              <w:bottom w:w="99" w:type="dxa"/>
              <w:right w:w="113" w:type="dxa"/>
            </w:tcMar>
            <w:vAlign w:val="center"/>
          </w:tcPr>
          <w:p w14:paraId="3DE1AACC" w14:textId="77777777" w:rsidR="00FB4146" w:rsidRDefault="00FB4146" w:rsidP="00917557">
            <w:pPr>
              <w:pStyle w:val="CDIFigure-Table-BodyTextLeft"/>
            </w:pPr>
            <w:r>
              <w:t>Hib</w:t>
            </w:r>
          </w:p>
        </w:tc>
        <w:tc>
          <w:tcPr>
            <w:tcW w:w="1360" w:type="dxa"/>
            <w:tcMar>
              <w:top w:w="99" w:type="dxa"/>
              <w:left w:w="113" w:type="dxa"/>
              <w:bottom w:w="99" w:type="dxa"/>
              <w:right w:w="113" w:type="dxa"/>
            </w:tcMar>
            <w:vAlign w:val="center"/>
          </w:tcPr>
          <w:p w14:paraId="15622F4D" w14:textId="77777777" w:rsidR="00FB4146" w:rsidRDefault="00FB4146" w:rsidP="00FB4146">
            <w:pPr>
              <w:pStyle w:val="CDIFigure-Table-BodyTextCentre"/>
            </w:pPr>
            <w:r>
              <w:t>189 (5.5)</w:t>
            </w:r>
          </w:p>
        </w:tc>
        <w:tc>
          <w:tcPr>
            <w:tcW w:w="1361" w:type="dxa"/>
            <w:tcMar>
              <w:top w:w="99" w:type="dxa"/>
              <w:left w:w="113" w:type="dxa"/>
              <w:bottom w:w="99" w:type="dxa"/>
              <w:right w:w="113" w:type="dxa"/>
            </w:tcMar>
            <w:vAlign w:val="center"/>
          </w:tcPr>
          <w:p w14:paraId="72BD529E" w14:textId="77777777" w:rsidR="00FB4146" w:rsidRDefault="00FB4146" w:rsidP="00FB4146">
            <w:pPr>
              <w:pStyle w:val="CDIFigure-Table-BodyTextCentre"/>
            </w:pPr>
            <w:r>
              <w:t>12 (6.3)</w:t>
            </w:r>
          </w:p>
        </w:tc>
        <w:tc>
          <w:tcPr>
            <w:tcW w:w="1361" w:type="dxa"/>
            <w:tcMar>
              <w:top w:w="99" w:type="dxa"/>
              <w:left w:w="113" w:type="dxa"/>
              <w:bottom w:w="99" w:type="dxa"/>
              <w:right w:w="113" w:type="dxa"/>
            </w:tcMar>
            <w:vAlign w:val="center"/>
          </w:tcPr>
          <w:p w14:paraId="641779B2" w14:textId="77777777" w:rsidR="00FB4146" w:rsidRDefault="00FB4146" w:rsidP="00FB4146">
            <w:pPr>
              <w:pStyle w:val="CDIFigure-Table-BodyTextCentre"/>
            </w:pPr>
            <w:r>
              <w:t>186 (98.4)</w:t>
            </w:r>
          </w:p>
        </w:tc>
        <w:tc>
          <w:tcPr>
            <w:tcW w:w="1360" w:type="dxa"/>
            <w:tcMar>
              <w:top w:w="99" w:type="dxa"/>
              <w:left w:w="113" w:type="dxa"/>
              <w:bottom w:w="99" w:type="dxa"/>
              <w:right w:w="113" w:type="dxa"/>
            </w:tcMar>
            <w:vAlign w:val="center"/>
          </w:tcPr>
          <w:p w14:paraId="73A49D11" w14:textId="77777777" w:rsidR="00FB4146" w:rsidRDefault="00FB4146" w:rsidP="00FB4146">
            <w:pPr>
              <w:pStyle w:val="CDIFigure-Table-BodyTextCentre"/>
            </w:pPr>
            <w:r>
              <w:t>2 (1.1)</w:t>
            </w:r>
          </w:p>
        </w:tc>
        <w:tc>
          <w:tcPr>
            <w:tcW w:w="1361" w:type="dxa"/>
            <w:tcMar>
              <w:top w:w="99" w:type="dxa"/>
              <w:left w:w="113" w:type="dxa"/>
              <w:bottom w:w="99" w:type="dxa"/>
              <w:right w:w="113" w:type="dxa"/>
            </w:tcMar>
            <w:vAlign w:val="center"/>
          </w:tcPr>
          <w:p w14:paraId="0D2A9B9A" w14:textId="77777777" w:rsidR="00FB4146" w:rsidRDefault="00FB4146" w:rsidP="00FB4146">
            <w:pPr>
              <w:pStyle w:val="CDIFigure-Table-BodyTextCentre"/>
            </w:pPr>
            <w:r>
              <w:t>4 (2.1)</w:t>
            </w:r>
          </w:p>
        </w:tc>
      </w:tr>
      <w:tr w:rsidR="00FB4146" w14:paraId="4DD3807F"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35C587B4" w14:textId="77777777" w:rsidR="00FB4146" w:rsidRDefault="00FB4146" w:rsidP="00917557">
            <w:pPr>
              <w:pStyle w:val="CDIFigure-Table-BodyTextLeft"/>
            </w:pPr>
            <w:r>
              <w:t>Zoster (ZVL)</w:t>
            </w:r>
          </w:p>
        </w:tc>
        <w:tc>
          <w:tcPr>
            <w:tcW w:w="1360" w:type="dxa"/>
            <w:shd w:val="clear" w:color="auto" w:fill="F2F2F2" w:themeFill="background1" w:themeFillShade="F2"/>
            <w:tcMar>
              <w:top w:w="99" w:type="dxa"/>
              <w:left w:w="113" w:type="dxa"/>
              <w:bottom w:w="99" w:type="dxa"/>
              <w:right w:w="113" w:type="dxa"/>
            </w:tcMar>
            <w:vAlign w:val="center"/>
          </w:tcPr>
          <w:p w14:paraId="75F3C31A" w14:textId="77777777" w:rsidR="00FB4146" w:rsidRDefault="00FB4146" w:rsidP="00FB4146">
            <w:pPr>
              <w:pStyle w:val="CDIFigure-Table-BodyTextCentre"/>
            </w:pPr>
            <w:r>
              <w:t>115 (3.3)</w:t>
            </w:r>
          </w:p>
        </w:tc>
        <w:tc>
          <w:tcPr>
            <w:tcW w:w="1361" w:type="dxa"/>
            <w:shd w:val="clear" w:color="auto" w:fill="F2F2F2" w:themeFill="background1" w:themeFillShade="F2"/>
            <w:tcMar>
              <w:top w:w="99" w:type="dxa"/>
              <w:left w:w="113" w:type="dxa"/>
              <w:bottom w:w="99" w:type="dxa"/>
              <w:right w:w="113" w:type="dxa"/>
            </w:tcMar>
            <w:vAlign w:val="center"/>
          </w:tcPr>
          <w:p w14:paraId="2390BDEC" w14:textId="77777777" w:rsidR="00FB4146" w:rsidRDefault="00FB4146" w:rsidP="00FB4146">
            <w:pPr>
              <w:pStyle w:val="CDIFigure-Table-BodyTextCentre"/>
            </w:pPr>
            <w:r>
              <w:t>102 (88.7)</w:t>
            </w:r>
          </w:p>
        </w:tc>
        <w:tc>
          <w:tcPr>
            <w:tcW w:w="1361" w:type="dxa"/>
            <w:shd w:val="clear" w:color="auto" w:fill="F2F2F2" w:themeFill="background1" w:themeFillShade="F2"/>
            <w:tcMar>
              <w:top w:w="99" w:type="dxa"/>
              <w:left w:w="113" w:type="dxa"/>
              <w:bottom w:w="99" w:type="dxa"/>
              <w:right w:w="113" w:type="dxa"/>
            </w:tcMar>
            <w:vAlign w:val="center"/>
          </w:tcPr>
          <w:p w14:paraId="02D2DBC8" w14:textId="77777777" w:rsidR="00FB4146" w:rsidRDefault="00FB4146" w:rsidP="00FB4146">
            <w:pPr>
              <w:pStyle w:val="CDIFigure-Table-BodyTextCentre"/>
            </w:pPr>
            <w:r>
              <w:t>1 (0.9)</w:t>
            </w:r>
          </w:p>
        </w:tc>
        <w:tc>
          <w:tcPr>
            <w:tcW w:w="1360" w:type="dxa"/>
            <w:shd w:val="clear" w:color="auto" w:fill="F2F2F2" w:themeFill="background1" w:themeFillShade="F2"/>
            <w:tcMar>
              <w:top w:w="99" w:type="dxa"/>
              <w:left w:w="113" w:type="dxa"/>
              <w:bottom w:w="99" w:type="dxa"/>
              <w:right w:w="113" w:type="dxa"/>
            </w:tcMar>
            <w:vAlign w:val="center"/>
          </w:tcPr>
          <w:p w14:paraId="6E464159" w14:textId="77777777" w:rsidR="00FB4146" w:rsidRDefault="00FB4146" w:rsidP="00FB4146">
            <w:pPr>
              <w:pStyle w:val="CDIFigure-Table-BodyTextCentre"/>
            </w:pPr>
            <w:r>
              <w:t>107 (93)</w:t>
            </w:r>
          </w:p>
        </w:tc>
        <w:tc>
          <w:tcPr>
            <w:tcW w:w="1361" w:type="dxa"/>
            <w:shd w:val="clear" w:color="auto" w:fill="F2F2F2" w:themeFill="background1" w:themeFillShade="F2"/>
            <w:tcMar>
              <w:top w:w="99" w:type="dxa"/>
              <w:left w:w="113" w:type="dxa"/>
              <w:bottom w:w="99" w:type="dxa"/>
              <w:right w:w="113" w:type="dxa"/>
            </w:tcMar>
            <w:vAlign w:val="center"/>
          </w:tcPr>
          <w:p w14:paraId="1845EE4B" w14:textId="77777777" w:rsidR="00FB4146" w:rsidRDefault="00FB4146" w:rsidP="00FB4146">
            <w:pPr>
              <w:pStyle w:val="CDIFigure-Table-BodyTextCentre"/>
            </w:pPr>
            <w:r>
              <w:t>8 (7.0)</w:t>
            </w:r>
          </w:p>
        </w:tc>
      </w:tr>
      <w:tr w:rsidR="00FB4146" w14:paraId="538B0F21" w14:textId="77777777" w:rsidTr="00917557">
        <w:trPr>
          <w:trHeight w:val="20"/>
        </w:trPr>
        <w:tc>
          <w:tcPr>
            <w:tcW w:w="2835" w:type="dxa"/>
            <w:tcMar>
              <w:top w:w="99" w:type="dxa"/>
              <w:left w:w="113" w:type="dxa"/>
              <w:bottom w:w="99" w:type="dxa"/>
              <w:right w:w="113" w:type="dxa"/>
            </w:tcMar>
            <w:vAlign w:val="center"/>
          </w:tcPr>
          <w:p w14:paraId="45F56C64" w14:textId="77777777" w:rsidR="00FB4146" w:rsidRDefault="00FB4146" w:rsidP="00917557">
            <w:pPr>
              <w:pStyle w:val="CDIFigure-Table-BodyTextLeft"/>
            </w:pPr>
            <w:r>
              <w:t>23vPPV</w:t>
            </w:r>
          </w:p>
        </w:tc>
        <w:tc>
          <w:tcPr>
            <w:tcW w:w="1360" w:type="dxa"/>
            <w:tcMar>
              <w:top w:w="99" w:type="dxa"/>
              <w:left w:w="113" w:type="dxa"/>
              <w:bottom w:w="99" w:type="dxa"/>
              <w:right w:w="113" w:type="dxa"/>
            </w:tcMar>
            <w:vAlign w:val="center"/>
          </w:tcPr>
          <w:p w14:paraId="734C1383" w14:textId="77777777" w:rsidR="00FB4146" w:rsidRDefault="00FB4146" w:rsidP="00FB4146">
            <w:pPr>
              <w:pStyle w:val="CDIFigure-Table-BodyTextCentre"/>
            </w:pPr>
            <w:r>
              <w:t>82 (2.4)</w:t>
            </w:r>
          </w:p>
        </w:tc>
        <w:tc>
          <w:tcPr>
            <w:tcW w:w="1361" w:type="dxa"/>
            <w:tcMar>
              <w:top w:w="99" w:type="dxa"/>
              <w:left w:w="113" w:type="dxa"/>
              <w:bottom w:w="99" w:type="dxa"/>
              <w:right w:w="113" w:type="dxa"/>
            </w:tcMar>
            <w:vAlign w:val="center"/>
          </w:tcPr>
          <w:p w14:paraId="48958AF7" w14:textId="77777777" w:rsidR="00FB4146" w:rsidRDefault="00FB4146" w:rsidP="00FB4146">
            <w:pPr>
              <w:pStyle w:val="CDIFigure-Table-BodyTextCentre"/>
            </w:pPr>
            <w:r>
              <w:t>47 (57.3)</w:t>
            </w:r>
          </w:p>
        </w:tc>
        <w:tc>
          <w:tcPr>
            <w:tcW w:w="1361" w:type="dxa"/>
            <w:tcMar>
              <w:top w:w="99" w:type="dxa"/>
              <w:left w:w="113" w:type="dxa"/>
              <w:bottom w:w="99" w:type="dxa"/>
              <w:right w:w="113" w:type="dxa"/>
            </w:tcMar>
            <w:vAlign w:val="center"/>
          </w:tcPr>
          <w:p w14:paraId="2C0101AB" w14:textId="77777777" w:rsidR="00FB4146" w:rsidRDefault="00FB4146" w:rsidP="00FB4146">
            <w:pPr>
              <w:pStyle w:val="CDIFigure-Table-BodyTextCentre"/>
            </w:pPr>
            <w:r>
              <w:t>26 (31.7)</w:t>
            </w:r>
          </w:p>
        </w:tc>
        <w:tc>
          <w:tcPr>
            <w:tcW w:w="1360" w:type="dxa"/>
            <w:tcMar>
              <w:top w:w="99" w:type="dxa"/>
              <w:left w:w="113" w:type="dxa"/>
              <w:bottom w:w="99" w:type="dxa"/>
              <w:right w:w="113" w:type="dxa"/>
            </w:tcMar>
            <w:vAlign w:val="center"/>
          </w:tcPr>
          <w:p w14:paraId="3DA9D217" w14:textId="77777777" w:rsidR="00FB4146" w:rsidRDefault="00FB4146" w:rsidP="00FB4146">
            <w:pPr>
              <w:pStyle w:val="CDIFigure-Table-BodyTextCentre"/>
            </w:pPr>
            <w:r>
              <w:t>51 (62.2)</w:t>
            </w:r>
          </w:p>
        </w:tc>
        <w:tc>
          <w:tcPr>
            <w:tcW w:w="1361" w:type="dxa"/>
            <w:tcMar>
              <w:top w:w="99" w:type="dxa"/>
              <w:left w:w="113" w:type="dxa"/>
              <w:bottom w:w="99" w:type="dxa"/>
              <w:right w:w="113" w:type="dxa"/>
            </w:tcMar>
            <w:vAlign w:val="center"/>
          </w:tcPr>
          <w:p w14:paraId="36ED9572" w14:textId="77777777" w:rsidR="00FB4146" w:rsidRDefault="00FB4146" w:rsidP="00FB4146">
            <w:pPr>
              <w:pStyle w:val="CDIFigure-Table-BodyTextCentre"/>
            </w:pPr>
            <w:r>
              <w:t>4 (4.9)</w:t>
            </w:r>
          </w:p>
        </w:tc>
      </w:tr>
      <w:tr w:rsidR="00FB4146" w14:paraId="41F16FE4"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18D0413A" w14:textId="77777777" w:rsidR="00FB4146" w:rsidRDefault="00FB4146" w:rsidP="00917557">
            <w:pPr>
              <w:pStyle w:val="CDIFigure-Table-BodyTextLeft"/>
            </w:pPr>
            <w:proofErr w:type="spellStart"/>
            <w:r>
              <w:t>HepB</w:t>
            </w:r>
            <w:proofErr w:type="spellEnd"/>
          </w:p>
        </w:tc>
        <w:tc>
          <w:tcPr>
            <w:tcW w:w="1360" w:type="dxa"/>
            <w:shd w:val="clear" w:color="auto" w:fill="F2F2F2" w:themeFill="background1" w:themeFillShade="F2"/>
            <w:tcMar>
              <w:top w:w="99" w:type="dxa"/>
              <w:left w:w="113" w:type="dxa"/>
              <w:bottom w:w="99" w:type="dxa"/>
              <w:right w:w="113" w:type="dxa"/>
            </w:tcMar>
            <w:vAlign w:val="center"/>
          </w:tcPr>
          <w:p w14:paraId="0863188E" w14:textId="77777777" w:rsidR="00FB4146" w:rsidRDefault="00FB4146" w:rsidP="00FB4146">
            <w:pPr>
              <w:pStyle w:val="CDIFigure-Table-BodyTextCentre"/>
            </w:pPr>
            <w:r>
              <w:t>41 (1.2)</w:t>
            </w:r>
          </w:p>
        </w:tc>
        <w:tc>
          <w:tcPr>
            <w:tcW w:w="1361" w:type="dxa"/>
            <w:shd w:val="clear" w:color="auto" w:fill="F2F2F2" w:themeFill="background1" w:themeFillShade="F2"/>
            <w:tcMar>
              <w:top w:w="99" w:type="dxa"/>
              <w:left w:w="113" w:type="dxa"/>
              <w:bottom w:w="99" w:type="dxa"/>
              <w:right w:w="113" w:type="dxa"/>
            </w:tcMar>
            <w:vAlign w:val="center"/>
          </w:tcPr>
          <w:p w14:paraId="5CB1A1D4" w14:textId="77777777" w:rsidR="00FB4146" w:rsidRDefault="00FB4146" w:rsidP="00FB4146">
            <w:pPr>
              <w:pStyle w:val="CDIFigure-Table-BodyTextCentre"/>
            </w:pPr>
            <w:r>
              <w:t>24 (58.5)</w:t>
            </w:r>
          </w:p>
        </w:tc>
        <w:tc>
          <w:tcPr>
            <w:tcW w:w="1361" w:type="dxa"/>
            <w:shd w:val="clear" w:color="auto" w:fill="F2F2F2" w:themeFill="background1" w:themeFillShade="F2"/>
            <w:tcMar>
              <w:top w:w="99" w:type="dxa"/>
              <w:left w:w="113" w:type="dxa"/>
              <w:bottom w:w="99" w:type="dxa"/>
              <w:right w:w="113" w:type="dxa"/>
            </w:tcMar>
            <w:vAlign w:val="center"/>
          </w:tcPr>
          <w:p w14:paraId="259A1C3B" w14:textId="77777777" w:rsidR="00FB4146" w:rsidRDefault="00FB4146" w:rsidP="00FB4146">
            <w:pPr>
              <w:pStyle w:val="CDIFigure-Table-BodyTextCentre"/>
            </w:pPr>
            <w:r>
              <w:t>3 (7.3)</w:t>
            </w:r>
          </w:p>
        </w:tc>
        <w:tc>
          <w:tcPr>
            <w:tcW w:w="1360" w:type="dxa"/>
            <w:shd w:val="clear" w:color="auto" w:fill="F2F2F2" w:themeFill="background1" w:themeFillShade="F2"/>
            <w:tcMar>
              <w:top w:w="99" w:type="dxa"/>
              <w:left w:w="113" w:type="dxa"/>
              <w:bottom w:w="99" w:type="dxa"/>
              <w:right w:w="113" w:type="dxa"/>
            </w:tcMar>
            <w:vAlign w:val="center"/>
          </w:tcPr>
          <w:p w14:paraId="2439D196" w14:textId="77777777" w:rsidR="00FB4146" w:rsidRDefault="00FB4146" w:rsidP="00FB4146">
            <w:pPr>
              <w:pStyle w:val="CDIFigure-Table-BodyTextCentre"/>
            </w:pPr>
            <w:r>
              <w:t>37 (90.2)</w:t>
            </w:r>
          </w:p>
        </w:tc>
        <w:tc>
          <w:tcPr>
            <w:tcW w:w="1361" w:type="dxa"/>
            <w:shd w:val="clear" w:color="auto" w:fill="F2F2F2" w:themeFill="background1" w:themeFillShade="F2"/>
            <w:tcMar>
              <w:top w:w="99" w:type="dxa"/>
              <w:left w:w="113" w:type="dxa"/>
              <w:bottom w:w="99" w:type="dxa"/>
              <w:right w:w="113" w:type="dxa"/>
            </w:tcMar>
            <w:vAlign w:val="center"/>
          </w:tcPr>
          <w:p w14:paraId="592A2C46" w14:textId="77777777" w:rsidR="00FB4146" w:rsidRDefault="00FB4146" w:rsidP="00FB4146">
            <w:pPr>
              <w:pStyle w:val="CDIFigure-Table-BodyTextCentre"/>
            </w:pPr>
            <w:r>
              <w:t>4 (9.8)</w:t>
            </w:r>
          </w:p>
        </w:tc>
      </w:tr>
      <w:tr w:rsidR="00FB4146" w14:paraId="5A9B9F74" w14:textId="77777777" w:rsidTr="00917557">
        <w:trPr>
          <w:trHeight w:val="20"/>
        </w:trPr>
        <w:tc>
          <w:tcPr>
            <w:tcW w:w="2835" w:type="dxa"/>
            <w:tcMar>
              <w:top w:w="99" w:type="dxa"/>
              <w:left w:w="113" w:type="dxa"/>
              <w:bottom w:w="99" w:type="dxa"/>
              <w:right w:w="113" w:type="dxa"/>
            </w:tcMar>
            <w:vAlign w:val="center"/>
          </w:tcPr>
          <w:p w14:paraId="665E5E55" w14:textId="77777777" w:rsidR="00FB4146" w:rsidRDefault="00FB4146" w:rsidP="00917557">
            <w:pPr>
              <w:pStyle w:val="CDIFigure-Table-BodyTextLeft"/>
            </w:pPr>
            <w:r>
              <w:t>Varicella</w:t>
            </w:r>
          </w:p>
        </w:tc>
        <w:tc>
          <w:tcPr>
            <w:tcW w:w="1360" w:type="dxa"/>
            <w:tcMar>
              <w:top w:w="99" w:type="dxa"/>
              <w:left w:w="113" w:type="dxa"/>
              <w:bottom w:w="99" w:type="dxa"/>
              <w:right w:w="113" w:type="dxa"/>
            </w:tcMar>
            <w:vAlign w:val="center"/>
          </w:tcPr>
          <w:p w14:paraId="4D55E148" w14:textId="77777777" w:rsidR="00FB4146" w:rsidRDefault="00FB4146" w:rsidP="00FB4146">
            <w:pPr>
              <w:pStyle w:val="CDIFigure-Table-BodyTextCentre"/>
            </w:pPr>
            <w:r>
              <w:t>40 (1.2)</w:t>
            </w:r>
          </w:p>
        </w:tc>
        <w:tc>
          <w:tcPr>
            <w:tcW w:w="1361" w:type="dxa"/>
            <w:tcMar>
              <w:top w:w="99" w:type="dxa"/>
              <w:left w:w="113" w:type="dxa"/>
              <w:bottom w:w="99" w:type="dxa"/>
              <w:right w:w="113" w:type="dxa"/>
            </w:tcMar>
            <w:vAlign w:val="center"/>
          </w:tcPr>
          <w:p w14:paraId="72B07167" w14:textId="77777777" w:rsidR="00FB4146" w:rsidRDefault="00FB4146" w:rsidP="00FB4146">
            <w:pPr>
              <w:pStyle w:val="CDIFigure-Table-BodyTextCentre"/>
            </w:pPr>
            <w:r>
              <w:t>18 (45.0)</w:t>
            </w:r>
          </w:p>
        </w:tc>
        <w:tc>
          <w:tcPr>
            <w:tcW w:w="1361" w:type="dxa"/>
            <w:tcMar>
              <w:top w:w="99" w:type="dxa"/>
              <w:left w:w="113" w:type="dxa"/>
              <w:bottom w:w="99" w:type="dxa"/>
              <w:right w:w="113" w:type="dxa"/>
            </w:tcMar>
            <w:vAlign w:val="center"/>
          </w:tcPr>
          <w:p w14:paraId="75FB6BFC" w14:textId="77777777" w:rsidR="00FB4146" w:rsidRDefault="00FB4146" w:rsidP="00FB4146">
            <w:pPr>
              <w:pStyle w:val="CDIFigure-Table-BodyTextCentre"/>
            </w:pPr>
            <w:r>
              <w:t>20 (50.0)</w:t>
            </w:r>
          </w:p>
        </w:tc>
        <w:tc>
          <w:tcPr>
            <w:tcW w:w="1360" w:type="dxa"/>
            <w:tcMar>
              <w:top w:w="99" w:type="dxa"/>
              <w:left w:w="113" w:type="dxa"/>
              <w:bottom w:w="99" w:type="dxa"/>
              <w:right w:w="113" w:type="dxa"/>
            </w:tcMar>
            <w:vAlign w:val="center"/>
          </w:tcPr>
          <w:p w14:paraId="496A8E38" w14:textId="77777777" w:rsidR="00FB4146" w:rsidRDefault="00FB4146" w:rsidP="00FB4146">
            <w:pPr>
              <w:pStyle w:val="CDIFigure-Table-BodyTextCentre"/>
            </w:pPr>
            <w:r>
              <w:t>20 (50.0)</w:t>
            </w:r>
          </w:p>
        </w:tc>
        <w:tc>
          <w:tcPr>
            <w:tcW w:w="1361" w:type="dxa"/>
            <w:tcMar>
              <w:top w:w="99" w:type="dxa"/>
              <w:left w:w="113" w:type="dxa"/>
              <w:bottom w:w="99" w:type="dxa"/>
              <w:right w:w="113" w:type="dxa"/>
            </w:tcMar>
            <w:vAlign w:val="center"/>
          </w:tcPr>
          <w:p w14:paraId="17DED4EF" w14:textId="77777777" w:rsidR="00FB4146" w:rsidRDefault="00FB4146" w:rsidP="00FB4146">
            <w:pPr>
              <w:pStyle w:val="CDIFigure-Table-BodyTextCentre"/>
            </w:pPr>
            <w:r>
              <w:t>6 (15.0)</w:t>
            </w:r>
          </w:p>
        </w:tc>
      </w:tr>
      <w:tr w:rsidR="00FB4146" w14:paraId="5D2DD7F6"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1F40FBAF" w14:textId="77777777" w:rsidR="00FB4146" w:rsidRDefault="00FB4146" w:rsidP="00917557">
            <w:pPr>
              <w:pStyle w:val="CDIFigure-Table-BodyTextLeft"/>
            </w:pPr>
            <w:r>
              <w:t>DT</w:t>
            </w:r>
          </w:p>
        </w:tc>
        <w:tc>
          <w:tcPr>
            <w:tcW w:w="1360" w:type="dxa"/>
            <w:shd w:val="clear" w:color="auto" w:fill="F2F2F2" w:themeFill="background1" w:themeFillShade="F2"/>
            <w:tcMar>
              <w:top w:w="99" w:type="dxa"/>
              <w:left w:w="113" w:type="dxa"/>
              <w:bottom w:w="99" w:type="dxa"/>
              <w:right w:w="113" w:type="dxa"/>
            </w:tcMar>
            <w:vAlign w:val="center"/>
          </w:tcPr>
          <w:p w14:paraId="1B043A8C" w14:textId="77777777" w:rsidR="00FB4146" w:rsidRDefault="00FB4146" w:rsidP="00FB4146">
            <w:pPr>
              <w:pStyle w:val="CDIFigure-Table-BodyTextCentre"/>
            </w:pPr>
            <w:r>
              <w:t>29 (0.8)</w:t>
            </w:r>
          </w:p>
        </w:tc>
        <w:tc>
          <w:tcPr>
            <w:tcW w:w="1361" w:type="dxa"/>
            <w:shd w:val="clear" w:color="auto" w:fill="F2F2F2" w:themeFill="background1" w:themeFillShade="F2"/>
            <w:tcMar>
              <w:top w:w="99" w:type="dxa"/>
              <w:left w:w="113" w:type="dxa"/>
              <w:bottom w:w="99" w:type="dxa"/>
              <w:right w:w="113" w:type="dxa"/>
            </w:tcMar>
            <w:vAlign w:val="center"/>
          </w:tcPr>
          <w:p w14:paraId="0C46DBC3" w14:textId="77777777" w:rsidR="00FB4146" w:rsidRDefault="00FB4146" w:rsidP="00FB4146">
            <w:pPr>
              <w:pStyle w:val="CDIFigure-Table-BodyTextCentre"/>
            </w:pPr>
            <w:r>
              <w:t>26 (89.7)</w:t>
            </w:r>
          </w:p>
        </w:tc>
        <w:tc>
          <w:tcPr>
            <w:tcW w:w="1361" w:type="dxa"/>
            <w:shd w:val="clear" w:color="auto" w:fill="F2F2F2" w:themeFill="background1" w:themeFillShade="F2"/>
            <w:tcMar>
              <w:top w:w="99" w:type="dxa"/>
              <w:left w:w="113" w:type="dxa"/>
              <w:bottom w:w="99" w:type="dxa"/>
              <w:right w:w="113" w:type="dxa"/>
            </w:tcMar>
            <w:vAlign w:val="center"/>
          </w:tcPr>
          <w:p w14:paraId="15698595" w14:textId="77777777" w:rsidR="00FB4146" w:rsidRDefault="00FB4146" w:rsidP="00FB4146">
            <w:pPr>
              <w:pStyle w:val="CDIFigure-Table-BodyTextCentre"/>
            </w:pPr>
            <w:r>
              <w:t>3 (10.3)</w:t>
            </w:r>
          </w:p>
        </w:tc>
        <w:tc>
          <w:tcPr>
            <w:tcW w:w="1360" w:type="dxa"/>
            <w:shd w:val="clear" w:color="auto" w:fill="F2F2F2" w:themeFill="background1" w:themeFillShade="F2"/>
            <w:tcMar>
              <w:top w:w="99" w:type="dxa"/>
              <w:left w:w="113" w:type="dxa"/>
              <w:bottom w:w="99" w:type="dxa"/>
              <w:right w:w="113" w:type="dxa"/>
            </w:tcMar>
            <w:vAlign w:val="center"/>
          </w:tcPr>
          <w:p w14:paraId="0C367262" w14:textId="77777777" w:rsidR="00FB4146" w:rsidRDefault="00FB4146" w:rsidP="00FB4146">
            <w:pPr>
              <w:pStyle w:val="CDIFigure-Table-BodyTextCentre"/>
            </w:pPr>
            <w:r>
              <w:t>25 (86.2)</w:t>
            </w:r>
          </w:p>
        </w:tc>
        <w:tc>
          <w:tcPr>
            <w:tcW w:w="1361" w:type="dxa"/>
            <w:shd w:val="clear" w:color="auto" w:fill="F2F2F2" w:themeFill="background1" w:themeFillShade="F2"/>
            <w:tcMar>
              <w:top w:w="99" w:type="dxa"/>
              <w:left w:w="113" w:type="dxa"/>
              <w:bottom w:w="99" w:type="dxa"/>
              <w:right w:w="113" w:type="dxa"/>
            </w:tcMar>
            <w:vAlign w:val="center"/>
          </w:tcPr>
          <w:p w14:paraId="1FCED77F" w14:textId="77777777" w:rsidR="00FB4146" w:rsidRDefault="00FB4146" w:rsidP="00FB4146">
            <w:pPr>
              <w:pStyle w:val="CDIFigure-Table-BodyTextCentre"/>
            </w:pPr>
            <w:r>
              <w:t>4 (13.8)</w:t>
            </w:r>
          </w:p>
        </w:tc>
      </w:tr>
      <w:tr w:rsidR="00FB4146" w14:paraId="4CD0ADA9" w14:textId="77777777" w:rsidTr="00917557">
        <w:trPr>
          <w:trHeight w:val="20"/>
        </w:trPr>
        <w:tc>
          <w:tcPr>
            <w:tcW w:w="2835" w:type="dxa"/>
            <w:tcMar>
              <w:top w:w="99" w:type="dxa"/>
              <w:left w:w="113" w:type="dxa"/>
              <w:bottom w:w="99" w:type="dxa"/>
              <w:right w:w="113" w:type="dxa"/>
            </w:tcMar>
            <w:vAlign w:val="center"/>
          </w:tcPr>
          <w:p w14:paraId="42C2D461" w14:textId="77777777" w:rsidR="00FB4146" w:rsidRDefault="00FB4146" w:rsidP="00917557">
            <w:pPr>
              <w:pStyle w:val="CDIFigure-Table-BodyTextLeft"/>
            </w:pPr>
            <w:r>
              <w:t>Zoster (RZV)</w:t>
            </w:r>
          </w:p>
        </w:tc>
        <w:tc>
          <w:tcPr>
            <w:tcW w:w="1360" w:type="dxa"/>
            <w:tcMar>
              <w:top w:w="99" w:type="dxa"/>
              <w:left w:w="113" w:type="dxa"/>
              <w:bottom w:w="99" w:type="dxa"/>
              <w:right w:w="113" w:type="dxa"/>
            </w:tcMar>
            <w:vAlign w:val="center"/>
          </w:tcPr>
          <w:p w14:paraId="475A692D" w14:textId="77777777" w:rsidR="00FB4146" w:rsidRDefault="00FB4146" w:rsidP="00FB4146">
            <w:pPr>
              <w:pStyle w:val="CDIFigure-Table-BodyTextCentre"/>
            </w:pPr>
            <w:r>
              <w:t>29 (0.8)</w:t>
            </w:r>
          </w:p>
        </w:tc>
        <w:tc>
          <w:tcPr>
            <w:tcW w:w="1361" w:type="dxa"/>
            <w:tcMar>
              <w:top w:w="99" w:type="dxa"/>
              <w:left w:w="113" w:type="dxa"/>
              <w:bottom w:w="99" w:type="dxa"/>
              <w:right w:w="113" w:type="dxa"/>
            </w:tcMar>
            <w:vAlign w:val="center"/>
          </w:tcPr>
          <w:p w14:paraId="7281B850" w14:textId="77777777" w:rsidR="00FB4146" w:rsidRDefault="00FB4146" w:rsidP="00FB4146">
            <w:pPr>
              <w:pStyle w:val="CDIFigure-Table-BodyTextCentre"/>
            </w:pPr>
            <w:r>
              <w:t>28 (96.6)</w:t>
            </w:r>
          </w:p>
        </w:tc>
        <w:tc>
          <w:tcPr>
            <w:tcW w:w="1361" w:type="dxa"/>
            <w:tcMar>
              <w:top w:w="99" w:type="dxa"/>
              <w:left w:w="113" w:type="dxa"/>
              <w:bottom w:w="99" w:type="dxa"/>
              <w:right w:w="113" w:type="dxa"/>
            </w:tcMar>
            <w:vAlign w:val="center"/>
          </w:tcPr>
          <w:p w14:paraId="7588D483"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1D4DA4BF" w14:textId="77777777" w:rsidR="00FB4146" w:rsidRDefault="00FB4146" w:rsidP="00FB4146">
            <w:pPr>
              <w:pStyle w:val="CDIFigure-Table-BodyTextCentre"/>
            </w:pPr>
            <w:r>
              <w:t>27 (93.1)</w:t>
            </w:r>
          </w:p>
        </w:tc>
        <w:tc>
          <w:tcPr>
            <w:tcW w:w="1361" w:type="dxa"/>
            <w:tcMar>
              <w:top w:w="99" w:type="dxa"/>
              <w:left w:w="113" w:type="dxa"/>
              <w:bottom w:w="99" w:type="dxa"/>
              <w:right w:w="113" w:type="dxa"/>
            </w:tcMar>
            <w:vAlign w:val="center"/>
          </w:tcPr>
          <w:p w14:paraId="46B5F04E" w14:textId="77777777" w:rsidR="00FB4146" w:rsidRDefault="00FB4146" w:rsidP="00FB4146">
            <w:pPr>
              <w:pStyle w:val="CDIFigure-Table-BodyTextCentre"/>
            </w:pPr>
            <w:r>
              <w:t>5 (17.2)</w:t>
            </w:r>
          </w:p>
        </w:tc>
      </w:tr>
      <w:tr w:rsidR="00FB4146" w14:paraId="720B36AD"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7CA3179D" w14:textId="77777777" w:rsidR="00FB4146" w:rsidRDefault="00FB4146" w:rsidP="00917557">
            <w:pPr>
              <w:pStyle w:val="CDIFigure-Table-BodyTextLeft"/>
            </w:pPr>
            <w:r>
              <w:t>Tuberculosis</w:t>
            </w:r>
          </w:p>
        </w:tc>
        <w:tc>
          <w:tcPr>
            <w:tcW w:w="1360" w:type="dxa"/>
            <w:shd w:val="clear" w:color="auto" w:fill="F2F2F2" w:themeFill="background1" w:themeFillShade="F2"/>
            <w:tcMar>
              <w:top w:w="99" w:type="dxa"/>
              <w:left w:w="113" w:type="dxa"/>
              <w:bottom w:w="99" w:type="dxa"/>
              <w:right w:w="113" w:type="dxa"/>
            </w:tcMar>
            <w:vAlign w:val="center"/>
          </w:tcPr>
          <w:p w14:paraId="17CDDF78" w14:textId="77777777" w:rsidR="00FB4146" w:rsidRDefault="00FB4146" w:rsidP="00FB4146">
            <w:pPr>
              <w:pStyle w:val="CDIFigure-Table-BodyTextCentre"/>
            </w:pPr>
            <w:r>
              <w:t>17 (0.5)</w:t>
            </w:r>
          </w:p>
        </w:tc>
        <w:tc>
          <w:tcPr>
            <w:tcW w:w="1361" w:type="dxa"/>
            <w:shd w:val="clear" w:color="auto" w:fill="F2F2F2" w:themeFill="background1" w:themeFillShade="F2"/>
            <w:tcMar>
              <w:top w:w="99" w:type="dxa"/>
              <w:left w:w="113" w:type="dxa"/>
              <w:bottom w:w="99" w:type="dxa"/>
              <w:right w:w="113" w:type="dxa"/>
            </w:tcMar>
            <w:vAlign w:val="center"/>
          </w:tcPr>
          <w:p w14:paraId="5002B4C4" w14:textId="77777777" w:rsidR="00FB4146" w:rsidRDefault="00FB4146" w:rsidP="00FB4146">
            <w:pPr>
              <w:pStyle w:val="CDIFigure-Table-BodyTextCentre"/>
            </w:pPr>
            <w:r>
              <w:t>14 (82.4)</w:t>
            </w:r>
          </w:p>
        </w:tc>
        <w:tc>
          <w:tcPr>
            <w:tcW w:w="1361" w:type="dxa"/>
            <w:shd w:val="clear" w:color="auto" w:fill="F2F2F2" w:themeFill="background1" w:themeFillShade="F2"/>
            <w:tcMar>
              <w:top w:w="99" w:type="dxa"/>
              <w:left w:w="113" w:type="dxa"/>
              <w:bottom w:w="99" w:type="dxa"/>
              <w:right w:w="113" w:type="dxa"/>
            </w:tcMar>
            <w:vAlign w:val="center"/>
          </w:tcPr>
          <w:p w14:paraId="12DDA98F" w14:textId="77777777" w:rsidR="00FB4146" w:rsidRDefault="00FB4146" w:rsidP="00FB4146">
            <w:pPr>
              <w:pStyle w:val="CDIFigure-Table-BodyTextCentre"/>
            </w:pPr>
            <w:r>
              <w:t>16 (94.1)</w:t>
            </w:r>
          </w:p>
        </w:tc>
        <w:tc>
          <w:tcPr>
            <w:tcW w:w="1360" w:type="dxa"/>
            <w:shd w:val="clear" w:color="auto" w:fill="F2F2F2" w:themeFill="background1" w:themeFillShade="F2"/>
            <w:tcMar>
              <w:top w:w="99" w:type="dxa"/>
              <w:left w:w="113" w:type="dxa"/>
              <w:bottom w:w="99" w:type="dxa"/>
              <w:right w:w="113" w:type="dxa"/>
            </w:tcMar>
            <w:vAlign w:val="center"/>
          </w:tcPr>
          <w:p w14:paraId="5CBE8B12"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14EA0D41" w14:textId="77777777" w:rsidR="00FB4146" w:rsidRDefault="00FB4146" w:rsidP="00FB4146">
            <w:pPr>
              <w:pStyle w:val="CDIFigure-Table-BodyTextCentre"/>
            </w:pPr>
            <w:r>
              <w:t>1 (5.9)</w:t>
            </w:r>
          </w:p>
        </w:tc>
      </w:tr>
      <w:tr w:rsidR="00FB4146" w14:paraId="346DBB30" w14:textId="77777777" w:rsidTr="00917557">
        <w:trPr>
          <w:trHeight w:val="20"/>
        </w:trPr>
        <w:tc>
          <w:tcPr>
            <w:tcW w:w="2835" w:type="dxa"/>
            <w:tcMar>
              <w:top w:w="99" w:type="dxa"/>
              <w:left w:w="113" w:type="dxa"/>
              <w:bottom w:w="99" w:type="dxa"/>
              <w:right w:w="113" w:type="dxa"/>
            </w:tcMar>
            <w:vAlign w:val="center"/>
          </w:tcPr>
          <w:p w14:paraId="333D704D" w14:textId="77777777" w:rsidR="00FB4146" w:rsidRDefault="00FB4146" w:rsidP="00917557">
            <w:pPr>
              <w:pStyle w:val="CDIFigure-Table-BodyTextLeft"/>
            </w:pPr>
            <w:r>
              <w:t>Pneumococcal (unspecified)</w:t>
            </w:r>
          </w:p>
        </w:tc>
        <w:tc>
          <w:tcPr>
            <w:tcW w:w="1360" w:type="dxa"/>
            <w:tcMar>
              <w:top w:w="99" w:type="dxa"/>
              <w:left w:w="113" w:type="dxa"/>
              <w:bottom w:w="99" w:type="dxa"/>
              <w:right w:w="113" w:type="dxa"/>
            </w:tcMar>
            <w:vAlign w:val="center"/>
          </w:tcPr>
          <w:p w14:paraId="570A11B6" w14:textId="77777777" w:rsidR="00FB4146" w:rsidRDefault="00FB4146" w:rsidP="00FB4146">
            <w:pPr>
              <w:pStyle w:val="CDIFigure-Table-BodyTextCentre"/>
            </w:pPr>
            <w:r>
              <w:t>15 (0.4)</w:t>
            </w:r>
          </w:p>
        </w:tc>
        <w:tc>
          <w:tcPr>
            <w:tcW w:w="1361" w:type="dxa"/>
            <w:tcMar>
              <w:top w:w="99" w:type="dxa"/>
              <w:left w:w="113" w:type="dxa"/>
              <w:bottom w:w="99" w:type="dxa"/>
              <w:right w:w="113" w:type="dxa"/>
            </w:tcMar>
            <w:vAlign w:val="center"/>
          </w:tcPr>
          <w:p w14:paraId="385667DB" w14:textId="77777777" w:rsidR="00FB4146" w:rsidRDefault="00FB4146" w:rsidP="00FB4146">
            <w:pPr>
              <w:pStyle w:val="CDIFigure-Table-BodyTextCentre"/>
            </w:pPr>
            <w:r>
              <w:t>6 (40.0)</w:t>
            </w:r>
          </w:p>
        </w:tc>
        <w:tc>
          <w:tcPr>
            <w:tcW w:w="1361" w:type="dxa"/>
            <w:tcMar>
              <w:top w:w="99" w:type="dxa"/>
              <w:left w:w="113" w:type="dxa"/>
              <w:bottom w:w="99" w:type="dxa"/>
              <w:right w:w="113" w:type="dxa"/>
            </w:tcMar>
            <w:vAlign w:val="center"/>
          </w:tcPr>
          <w:p w14:paraId="65DB163F" w14:textId="77777777" w:rsidR="00FB4146" w:rsidRDefault="00FB4146" w:rsidP="00FB4146">
            <w:pPr>
              <w:pStyle w:val="CDIFigure-Table-BodyTextCentre"/>
            </w:pPr>
            <w:r>
              <w:t>8 (53.3)</w:t>
            </w:r>
          </w:p>
        </w:tc>
        <w:tc>
          <w:tcPr>
            <w:tcW w:w="1360" w:type="dxa"/>
            <w:tcMar>
              <w:top w:w="99" w:type="dxa"/>
              <w:left w:w="113" w:type="dxa"/>
              <w:bottom w:w="99" w:type="dxa"/>
              <w:right w:w="113" w:type="dxa"/>
            </w:tcMar>
            <w:vAlign w:val="center"/>
          </w:tcPr>
          <w:p w14:paraId="20F158FD" w14:textId="77777777" w:rsidR="00FB4146" w:rsidRDefault="00FB4146" w:rsidP="00FB4146">
            <w:pPr>
              <w:pStyle w:val="CDIFigure-Table-BodyTextCentre"/>
            </w:pPr>
            <w:r>
              <w:t>7 (46.7)</w:t>
            </w:r>
          </w:p>
        </w:tc>
        <w:tc>
          <w:tcPr>
            <w:tcW w:w="1361" w:type="dxa"/>
            <w:tcMar>
              <w:top w:w="99" w:type="dxa"/>
              <w:left w:w="113" w:type="dxa"/>
              <w:bottom w:w="99" w:type="dxa"/>
              <w:right w:w="113" w:type="dxa"/>
            </w:tcMar>
            <w:vAlign w:val="center"/>
          </w:tcPr>
          <w:p w14:paraId="65EF9D2D" w14:textId="77777777" w:rsidR="00FB4146" w:rsidRDefault="00FB4146" w:rsidP="00FB4146">
            <w:pPr>
              <w:pStyle w:val="CDIFigure-Table-BodyTextCentre"/>
            </w:pPr>
            <w:r>
              <w:t>4 (26.7)</w:t>
            </w:r>
          </w:p>
        </w:tc>
      </w:tr>
      <w:tr w:rsidR="00FB4146" w14:paraId="01EB9AAA"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70B2F33B" w14:textId="77777777" w:rsidR="00FB4146" w:rsidRDefault="00FB4146" w:rsidP="00917557">
            <w:pPr>
              <w:pStyle w:val="CDIFigure-Table-BodyTextLeft"/>
            </w:pPr>
            <w:proofErr w:type="spellStart"/>
            <w:r>
              <w:t>HepA</w:t>
            </w:r>
            <w:proofErr w:type="spellEnd"/>
          </w:p>
        </w:tc>
        <w:tc>
          <w:tcPr>
            <w:tcW w:w="1360" w:type="dxa"/>
            <w:shd w:val="clear" w:color="auto" w:fill="F2F2F2" w:themeFill="background1" w:themeFillShade="F2"/>
            <w:tcMar>
              <w:top w:w="99" w:type="dxa"/>
              <w:left w:w="113" w:type="dxa"/>
              <w:bottom w:w="99" w:type="dxa"/>
              <w:right w:w="113" w:type="dxa"/>
            </w:tcMar>
            <w:vAlign w:val="center"/>
          </w:tcPr>
          <w:p w14:paraId="1C2A13A0" w14:textId="77777777" w:rsidR="00FB4146" w:rsidRDefault="00FB4146" w:rsidP="00FB4146">
            <w:pPr>
              <w:pStyle w:val="CDIFigure-Table-BodyTextCentre"/>
            </w:pPr>
            <w:r>
              <w:t>13 (0.4)</w:t>
            </w:r>
          </w:p>
        </w:tc>
        <w:tc>
          <w:tcPr>
            <w:tcW w:w="1361" w:type="dxa"/>
            <w:shd w:val="clear" w:color="auto" w:fill="F2F2F2" w:themeFill="background1" w:themeFillShade="F2"/>
            <w:tcMar>
              <w:top w:w="99" w:type="dxa"/>
              <w:left w:w="113" w:type="dxa"/>
              <w:bottom w:w="99" w:type="dxa"/>
              <w:right w:w="113" w:type="dxa"/>
            </w:tcMar>
            <w:vAlign w:val="center"/>
          </w:tcPr>
          <w:p w14:paraId="153F97E7" w14:textId="77777777" w:rsidR="00FB4146" w:rsidRDefault="00FB4146" w:rsidP="00FB4146">
            <w:pPr>
              <w:pStyle w:val="CDIFigure-Table-BodyTextCentre"/>
            </w:pPr>
            <w:r>
              <w:t>4 (30.8)</w:t>
            </w:r>
          </w:p>
        </w:tc>
        <w:tc>
          <w:tcPr>
            <w:tcW w:w="1361" w:type="dxa"/>
            <w:shd w:val="clear" w:color="auto" w:fill="F2F2F2" w:themeFill="background1" w:themeFillShade="F2"/>
            <w:tcMar>
              <w:top w:w="99" w:type="dxa"/>
              <w:left w:w="113" w:type="dxa"/>
              <w:bottom w:w="99" w:type="dxa"/>
              <w:right w:w="113" w:type="dxa"/>
            </w:tcMar>
            <w:vAlign w:val="center"/>
          </w:tcPr>
          <w:p w14:paraId="43B323ED" w14:textId="77777777" w:rsidR="00FB4146" w:rsidRDefault="00FB4146" w:rsidP="00FB4146">
            <w:pPr>
              <w:pStyle w:val="CDIFigure-Table-BodyTextCentre"/>
            </w:pPr>
            <w:r>
              <w:t>7 (53.8)</w:t>
            </w:r>
          </w:p>
        </w:tc>
        <w:tc>
          <w:tcPr>
            <w:tcW w:w="1360" w:type="dxa"/>
            <w:shd w:val="clear" w:color="auto" w:fill="F2F2F2" w:themeFill="background1" w:themeFillShade="F2"/>
            <w:tcMar>
              <w:top w:w="99" w:type="dxa"/>
              <w:left w:w="113" w:type="dxa"/>
              <w:bottom w:w="99" w:type="dxa"/>
              <w:right w:w="113" w:type="dxa"/>
            </w:tcMar>
            <w:vAlign w:val="center"/>
          </w:tcPr>
          <w:p w14:paraId="4A761EFA" w14:textId="77777777" w:rsidR="00FB4146" w:rsidRDefault="00FB4146" w:rsidP="00FB4146">
            <w:pPr>
              <w:pStyle w:val="CDIFigure-Table-BodyTextCentre"/>
            </w:pPr>
            <w:r>
              <w:t>5 (38.5)</w:t>
            </w:r>
          </w:p>
        </w:tc>
        <w:tc>
          <w:tcPr>
            <w:tcW w:w="1361" w:type="dxa"/>
            <w:shd w:val="clear" w:color="auto" w:fill="F2F2F2" w:themeFill="background1" w:themeFillShade="F2"/>
            <w:tcMar>
              <w:top w:w="99" w:type="dxa"/>
              <w:left w:w="113" w:type="dxa"/>
              <w:bottom w:w="99" w:type="dxa"/>
              <w:right w:w="113" w:type="dxa"/>
            </w:tcMar>
            <w:vAlign w:val="center"/>
          </w:tcPr>
          <w:p w14:paraId="308F3B88" w14:textId="77777777" w:rsidR="00FB4146" w:rsidRDefault="00FB4146" w:rsidP="00FB4146">
            <w:pPr>
              <w:pStyle w:val="CDIFigure-Table-BodyTextCentre"/>
            </w:pPr>
            <w:r>
              <w:t>0 (0.0)</w:t>
            </w:r>
          </w:p>
        </w:tc>
      </w:tr>
      <w:tr w:rsidR="00FB4146" w14:paraId="6BC66BCB" w14:textId="77777777" w:rsidTr="00917557">
        <w:trPr>
          <w:trHeight w:val="20"/>
        </w:trPr>
        <w:tc>
          <w:tcPr>
            <w:tcW w:w="2835" w:type="dxa"/>
            <w:tcMar>
              <w:top w:w="99" w:type="dxa"/>
              <w:left w:w="113" w:type="dxa"/>
              <w:bottom w:w="99" w:type="dxa"/>
              <w:right w:w="113" w:type="dxa"/>
            </w:tcMar>
            <w:vAlign w:val="center"/>
          </w:tcPr>
          <w:p w14:paraId="46991F75" w14:textId="77777777" w:rsidR="00FB4146" w:rsidRDefault="00FB4146" w:rsidP="00917557">
            <w:pPr>
              <w:pStyle w:val="CDIFigure-Table-BodyTextLeft"/>
            </w:pPr>
            <w:r>
              <w:t>7vPCV</w:t>
            </w:r>
          </w:p>
        </w:tc>
        <w:tc>
          <w:tcPr>
            <w:tcW w:w="1360" w:type="dxa"/>
            <w:tcMar>
              <w:top w:w="99" w:type="dxa"/>
              <w:left w:w="113" w:type="dxa"/>
              <w:bottom w:w="99" w:type="dxa"/>
              <w:right w:w="113" w:type="dxa"/>
            </w:tcMar>
            <w:vAlign w:val="center"/>
          </w:tcPr>
          <w:p w14:paraId="7B58B214" w14:textId="77777777" w:rsidR="00FB4146" w:rsidRDefault="00FB4146" w:rsidP="00FB4146">
            <w:pPr>
              <w:pStyle w:val="CDIFigure-Table-BodyTextCentre"/>
            </w:pPr>
            <w:r>
              <w:t>11 (0.3)</w:t>
            </w:r>
          </w:p>
        </w:tc>
        <w:tc>
          <w:tcPr>
            <w:tcW w:w="1361" w:type="dxa"/>
            <w:tcMar>
              <w:top w:w="99" w:type="dxa"/>
              <w:left w:w="113" w:type="dxa"/>
              <w:bottom w:w="99" w:type="dxa"/>
              <w:right w:w="113" w:type="dxa"/>
            </w:tcMar>
            <w:vAlign w:val="center"/>
          </w:tcPr>
          <w:p w14:paraId="14B4B3A9" w14:textId="77777777" w:rsidR="00FB4146" w:rsidRDefault="00FB4146" w:rsidP="00FB4146">
            <w:pPr>
              <w:pStyle w:val="CDIFigure-Table-BodyTextCentre"/>
            </w:pPr>
            <w:r>
              <w:t>0 (0.0)</w:t>
            </w:r>
          </w:p>
        </w:tc>
        <w:tc>
          <w:tcPr>
            <w:tcW w:w="1361" w:type="dxa"/>
            <w:tcMar>
              <w:top w:w="99" w:type="dxa"/>
              <w:left w:w="113" w:type="dxa"/>
              <w:bottom w:w="99" w:type="dxa"/>
              <w:right w:w="113" w:type="dxa"/>
            </w:tcMar>
            <w:vAlign w:val="center"/>
          </w:tcPr>
          <w:p w14:paraId="735D20C0" w14:textId="77777777" w:rsidR="00FB4146" w:rsidRDefault="00FB4146" w:rsidP="00FB4146">
            <w:pPr>
              <w:pStyle w:val="CDIFigure-Table-BodyTextCentre"/>
            </w:pPr>
            <w:r>
              <w:t>10 (90.9)</w:t>
            </w:r>
          </w:p>
        </w:tc>
        <w:tc>
          <w:tcPr>
            <w:tcW w:w="1360" w:type="dxa"/>
            <w:tcMar>
              <w:top w:w="99" w:type="dxa"/>
              <w:left w:w="113" w:type="dxa"/>
              <w:bottom w:w="99" w:type="dxa"/>
              <w:right w:w="113" w:type="dxa"/>
            </w:tcMar>
            <w:vAlign w:val="center"/>
          </w:tcPr>
          <w:p w14:paraId="56BE5518" w14:textId="77777777" w:rsidR="00FB4146" w:rsidRDefault="00FB4146" w:rsidP="00FB4146">
            <w:pPr>
              <w:pStyle w:val="CDIFigure-Table-BodyTextCentre"/>
            </w:pPr>
            <w:r>
              <w:t>0 (0.0)</w:t>
            </w:r>
          </w:p>
        </w:tc>
        <w:tc>
          <w:tcPr>
            <w:tcW w:w="1361" w:type="dxa"/>
            <w:tcMar>
              <w:top w:w="99" w:type="dxa"/>
              <w:left w:w="113" w:type="dxa"/>
              <w:bottom w:w="99" w:type="dxa"/>
              <w:right w:w="113" w:type="dxa"/>
            </w:tcMar>
            <w:vAlign w:val="center"/>
          </w:tcPr>
          <w:p w14:paraId="5ED3508F" w14:textId="77777777" w:rsidR="00FB4146" w:rsidRDefault="00FB4146" w:rsidP="00FB4146">
            <w:pPr>
              <w:pStyle w:val="CDIFigure-Table-BodyTextCentre"/>
            </w:pPr>
            <w:r>
              <w:t>2 (18.2)</w:t>
            </w:r>
          </w:p>
        </w:tc>
      </w:tr>
      <w:tr w:rsidR="00FB4146" w14:paraId="370C545A"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36222F87" w14:textId="77777777" w:rsidR="00FB4146" w:rsidRDefault="00FB4146" w:rsidP="00917557">
            <w:pPr>
              <w:pStyle w:val="CDIFigure-Table-BodyTextLeft"/>
            </w:pPr>
            <w:proofErr w:type="spellStart"/>
            <w:r>
              <w:t>HepA</w:t>
            </w:r>
            <w:proofErr w:type="spellEnd"/>
            <w:r>
              <w:t xml:space="preserve"> and </w:t>
            </w:r>
            <w:proofErr w:type="spellStart"/>
            <w:r>
              <w:t>HepB</w:t>
            </w:r>
            <w:proofErr w:type="spellEnd"/>
          </w:p>
        </w:tc>
        <w:tc>
          <w:tcPr>
            <w:tcW w:w="1360" w:type="dxa"/>
            <w:shd w:val="clear" w:color="auto" w:fill="F2F2F2" w:themeFill="background1" w:themeFillShade="F2"/>
            <w:tcMar>
              <w:top w:w="99" w:type="dxa"/>
              <w:left w:w="113" w:type="dxa"/>
              <w:bottom w:w="99" w:type="dxa"/>
              <w:right w:w="113" w:type="dxa"/>
            </w:tcMar>
            <w:vAlign w:val="center"/>
          </w:tcPr>
          <w:p w14:paraId="58860D5B" w14:textId="77777777" w:rsidR="00FB4146" w:rsidRDefault="00FB4146" w:rsidP="00FB4146">
            <w:pPr>
              <w:pStyle w:val="CDIFigure-Table-BodyTextCentre"/>
            </w:pPr>
            <w:r>
              <w:t>6 (0.2)</w:t>
            </w:r>
          </w:p>
        </w:tc>
        <w:tc>
          <w:tcPr>
            <w:tcW w:w="1361" w:type="dxa"/>
            <w:shd w:val="clear" w:color="auto" w:fill="F2F2F2" w:themeFill="background1" w:themeFillShade="F2"/>
            <w:tcMar>
              <w:top w:w="99" w:type="dxa"/>
              <w:left w:w="113" w:type="dxa"/>
              <w:bottom w:w="99" w:type="dxa"/>
              <w:right w:w="113" w:type="dxa"/>
            </w:tcMar>
            <w:vAlign w:val="center"/>
          </w:tcPr>
          <w:p w14:paraId="29BB488E" w14:textId="77777777" w:rsidR="00FB4146" w:rsidRDefault="00FB4146" w:rsidP="00FB4146">
            <w:pPr>
              <w:pStyle w:val="CDIFigure-Table-BodyTextCentre"/>
            </w:pPr>
            <w:r>
              <w:t>2 (33.3)</w:t>
            </w:r>
          </w:p>
        </w:tc>
        <w:tc>
          <w:tcPr>
            <w:tcW w:w="1361" w:type="dxa"/>
            <w:shd w:val="clear" w:color="auto" w:fill="F2F2F2" w:themeFill="background1" w:themeFillShade="F2"/>
            <w:tcMar>
              <w:top w:w="99" w:type="dxa"/>
              <w:left w:w="113" w:type="dxa"/>
              <w:bottom w:w="99" w:type="dxa"/>
              <w:right w:w="113" w:type="dxa"/>
            </w:tcMar>
            <w:vAlign w:val="center"/>
          </w:tcPr>
          <w:p w14:paraId="10DB4A07" w14:textId="77777777" w:rsidR="00FB4146" w:rsidRDefault="00FB4146" w:rsidP="00FB4146">
            <w:pPr>
              <w:pStyle w:val="CDIFigure-Table-BodyTextCentre"/>
            </w:pPr>
            <w:r>
              <w:t>1 (16.7)</w:t>
            </w:r>
          </w:p>
        </w:tc>
        <w:tc>
          <w:tcPr>
            <w:tcW w:w="1360" w:type="dxa"/>
            <w:shd w:val="clear" w:color="auto" w:fill="F2F2F2" w:themeFill="background1" w:themeFillShade="F2"/>
            <w:tcMar>
              <w:top w:w="99" w:type="dxa"/>
              <w:left w:w="113" w:type="dxa"/>
              <w:bottom w:w="99" w:type="dxa"/>
              <w:right w:w="113" w:type="dxa"/>
            </w:tcMar>
            <w:vAlign w:val="center"/>
          </w:tcPr>
          <w:p w14:paraId="47B3AB3C" w14:textId="77777777" w:rsidR="00FB4146" w:rsidRDefault="00FB4146" w:rsidP="00FB4146">
            <w:pPr>
              <w:pStyle w:val="CDIFigure-Table-BodyTextCentre"/>
            </w:pPr>
            <w:r>
              <w:t>4 (66.7)</w:t>
            </w:r>
          </w:p>
        </w:tc>
        <w:tc>
          <w:tcPr>
            <w:tcW w:w="1361" w:type="dxa"/>
            <w:shd w:val="clear" w:color="auto" w:fill="F2F2F2" w:themeFill="background1" w:themeFillShade="F2"/>
            <w:tcMar>
              <w:top w:w="99" w:type="dxa"/>
              <w:left w:w="113" w:type="dxa"/>
              <w:bottom w:w="99" w:type="dxa"/>
              <w:right w:w="113" w:type="dxa"/>
            </w:tcMar>
            <w:vAlign w:val="center"/>
          </w:tcPr>
          <w:p w14:paraId="52BCFB95" w14:textId="77777777" w:rsidR="00FB4146" w:rsidRDefault="00FB4146" w:rsidP="00FB4146">
            <w:pPr>
              <w:pStyle w:val="CDIFigure-Table-BodyTextCentre"/>
            </w:pPr>
            <w:r>
              <w:t>0 (0.0)</w:t>
            </w:r>
          </w:p>
        </w:tc>
      </w:tr>
      <w:tr w:rsidR="00FB4146" w14:paraId="37DE3634" w14:textId="77777777" w:rsidTr="00917557">
        <w:trPr>
          <w:trHeight w:val="20"/>
        </w:trPr>
        <w:tc>
          <w:tcPr>
            <w:tcW w:w="2835" w:type="dxa"/>
            <w:tcMar>
              <w:top w:w="99" w:type="dxa"/>
              <w:left w:w="113" w:type="dxa"/>
              <w:bottom w:w="99" w:type="dxa"/>
              <w:right w:w="113" w:type="dxa"/>
            </w:tcMar>
            <w:vAlign w:val="center"/>
          </w:tcPr>
          <w:p w14:paraId="6F0CD6A3" w14:textId="77777777" w:rsidR="00FB4146" w:rsidRDefault="00FB4146" w:rsidP="00917557">
            <w:pPr>
              <w:pStyle w:val="CDIFigure-Table-BodyTextLeft"/>
            </w:pPr>
            <w:r>
              <w:t>Meningococcal (unspecified)</w:t>
            </w:r>
          </w:p>
        </w:tc>
        <w:tc>
          <w:tcPr>
            <w:tcW w:w="1360" w:type="dxa"/>
            <w:tcMar>
              <w:top w:w="99" w:type="dxa"/>
              <w:left w:w="113" w:type="dxa"/>
              <w:bottom w:w="99" w:type="dxa"/>
              <w:right w:w="113" w:type="dxa"/>
            </w:tcMar>
            <w:vAlign w:val="center"/>
          </w:tcPr>
          <w:p w14:paraId="5A93122A" w14:textId="77777777" w:rsidR="00FB4146" w:rsidRDefault="00FB4146" w:rsidP="00FB4146">
            <w:pPr>
              <w:pStyle w:val="CDIFigure-Table-BodyTextCentre"/>
            </w:pPr>
            <w:r>
              <w:t>6 (0.2)</w:t>
            </w:r>
          </w:p>
        </w:tc>
        <w:tc>
          <w:tcPr>
            <w:tcW w:w="1361" w:type="dxa"/>
            <w:tcMar>
              <w:top w:w="99" w:type="dxa"/>
              <w:left w:w="113" w:type="dxa"/>
              <w:bottom w:w="99" w:type="dxa"/>
              <w:right w:w="113" w:type="dxa"/>
            </w:tcMar>
            <w:vAlign w:val="center"/>
          </w:tcPr>
          <w:p w14:paraId="572CC546" w14:textId="77777777" w:rsidR="00FB4146" w:rsidRDefault="00FB4146" w:rsidP="00FB4146">
            <w:pPr>
              <w:pStyle w:val="CDIFigure-Table-BodyTextCentre"/>
            </w:pPr>
            <w:r>
              <w:t>3 (50.0)</w:t>
            </w:r>
          </w:p>
        </w:tc>
        <w:tc>
          <w:tcPr>
            <w:tcW w:w="1361" w:type="dxa"/>
            <w:tcMar>
              <w:top w:w="99" w:type="dxa"/>
              <w:left w:w="113" w:type="dxa"/>
              <w:bottom w:w="99" w:type="dxa"/>
              <w:right w:w="113" w:type="dxa"/>
            </w:tcMar>
            <w:vAlign w:val="center"/>
          </w:tcPr>
          <w:p w14:paraId="6B98FD79" w14:textId="77777777" w:rsidR="00FB4146" w:rsidRDefault="00FB4146" w:rsidP="00FB4146">
            <w:pPr>
              <w:pStyle w:val="CDIFigure-Table-BodyTextCentre"/>
            </w:pPr>
            <w:r>
              <w:t>4 (66.7)</w:t>
            </w:r>
          </w:p>
        </w:tc>
        <w:tc>
          <w:tcPr>
            <w:tcW w:w="1360" w:type="dxa"/>
            <w:tcMar>
              <w:top w:w="99" w:type="dxa"/>
              <w:left w:w="113" w:type="dxa"/>
              <w:bottom w:w="99" w:type="dxa"/>
              <w:right w:w="113" w:type="dxa"/>
            </w:tcMar>
            <w:vAlign w:val="center"/>
          </w:tcPr>
          <w:p w14:paraId="6740EC23" w14:textId="77777777" w:rsidR="00FB4146" w:rsidRDefault="00FB4146" w:rsidP="00FB4146">
            <w:pPr>
              <w:pStyle w:val="CDIFigure-Table-BodyTextCentre"/>
            </w:pPr>
            <w:r>
              <w:t>2 (33.3)</w:t>
            </w:r>
          </w:p>
        </w:tc>
        <w:tc>
          <w:tcPr>
            <w:tcW w:w="1361" w:type="dxa"/>
            <w:tcMar>
              <w:top w:w="99" w:type="dxa"/>
              <w:left w:w="113" w:type="dxa"/>
              <w:bottom w:w="99" w:type="dxa"/>
              <w:right w:w="113" w:type="dxa"/>
            </w:tcMar>
            <w:vAlign w:val="center"/>
          </w:tcPr>
          <w:p w14:paraId="40AFEB2F" w14:textId="77777777" w:rsidR="00FB4146" w:rsidRDefault="00FB4146" w:rsidP="00FB4146">
            <w:pPr>
              <w:pStyle w:val="CDIFigure-Table-BodyTextCentre"/>
            </w:pPr>
            <w:r>
              <w:t>4 (66.7)</w:t>
            </w:r>
          </w:p>
        </w:tc>
      </w:tr>
      <w:tr w:rsidR="00FB4146" w14:paraId="4CEC58AC"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62D23158" w14:textId="77777777" w:rsidR="00FB4146" w:rsidRDefault="00FB4146" w:rsidP="00917557">
            <w:pPr>
              <w:pStyle w:val="CDIFigure-Table-BodyTextLeft"/>
            </w:pPr>
            <w:proofErr w:type="spellStart"/>
            <w:r>
              <w:t>DTPa</w:t>
            </w:r>
            <w:proofErr w:type="spellEnd"/>
            <w:r>
              <w:t>-Hib</w:t>
            </w:r>
          </w:p>
        </w:tc>
        <w:tc>
          <w:tcPr>
            <w:tcW w:w="1360" w:type="dxa"/>
            <w:shd w:val="clear" w:color="auto" w:fill="F2F2F2" w:themeFill="background1" w:themeFillShade="F2"/>
            <w:tcMar>
              <w:top w:w="99" w:type="dxa"/>
              <w:left w:w="113" w:type="dxa"/>
              <w:bottom w:w="99" w:type="dxa"/>
              <w:right w:w="113" w:type="dxa"/>
            </w:tcMar>
            <w:vAlign w:val="center"/>
          </w:tcPr>
          <w:p w14:paraId="34BBEF9C" w14:textId="77777777" w:rsidR="00FB4146" w:rsidRDefault="00FB4146" w:rsidP="00FB4146">
            <w:pPr>
              <w:pStyle w:val="CDIFigure-Table-BodyTextCentre"/>
            </w:pPr>
            <w:r>
              <w:t>5 (0.1)</w:t>
            </w:r>
          </w:p>
        </w:tc>
        <w:tc>
          <w:tcPr>
            <w:tcW w:w="1361" w:type="dxa"/>
            <w:shd w:val="clear" w:color="auto" w:fill="F2F2F2" w:themeFill="background1" w:themeFillShade="F2"/>
            <w:tcMar>
              <w:top w:w="99" w:type="dxa"/>
              <w:left w:w="113" w:type="dxa"/>
              <w:bottom w:w="99" w:type="dxa"/>
              <w:right w:w="113" w:type="dxa"/>
            </w:tcMar>
            <w:vAlign w:val="center"/>
          </w:tcPr>
          <w:p w14:paraId="28E40A11" w14:textId="77777777" w:rsidR="00FB4146" w:rsidRDefault="00FB4146" w:rsidP="00FB4146">
            <w:pPr>
              <w:pStyle w:val="CDIFigure-Table-BodyTextCentre"/>
            </w:pPr>
            <w:r>
              <w:t>2 (40.0)</w:t>
            </w:r>
          </w:p>
        </w:tc>
        <w:tc>
          <w:tcPr>
            <w:tcW w:w="1361" w:type="dxa"/>
            <w:shd w:val="clear" w:color="auto" w:fill="F2F2F2" w:themeFill="background1" w:themeFillShade="F2"/>
            <w:tcMar>
              <w:top w:w="99" w:type="dxa"/>
              <w:left w:w="113" w:type="dxa"/>
              <w:bottom w:w="99" w:type="dxa"/>
              <w:right w:w="113" w:type="dxa"/>
            </w:tcMar>
            <w:vAlign w:val="center"/>
          </w:tcPr>
          <w:p w14:paraId="4F62F236" w14:textId="77777777" w:rsidR="00FB4146" w:rsidRDefault="00FB4146" w:rsidP="00FB4146">
            <w:pPr>
              <w:pStyle w:val="CDIFigure-Table-BodyTextCentre"/>
            </w:pPr>
            <w:r>
              <w:t>5 (100.0)</w:t>
            </w:r>
          </w:p>
        </w:tc>
        <w:tc>
          <w:tcPr>
            <w:tcW w:w="1360" w:type="dxa"/>
            <w:shd w:val="clear" w:color="auto" w:fill="F2F2F2" w:themeFill="background1" w:themeFillShade="F2"/>
            <w:tcMar>
              <w:top w:w="99" w:type="dxa"/>
              <w:left w:w="113" w:type="dxa"/>
              <w:bottom w:w="99" w:type="dxa"/>
              <w:right w:w="113" w:type="dxa"/>
            </w:tcMar>
            <w:vAlign w:val="center"/>
          </w:tcPr>
          <w:p w14:paraId="21F2D8C3"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7C726DD4" w14:textId="77777777" w:rsidR="00FB4146" w:rsidRDefault="00FB4146" w:rsidP="00FB4146">
            <w:pPr>
              <w:pStyle w:val="CDIFigure-Table-BodyTextCentre"/>
            </w:pPr>
            <w:r>
              <w:t>1 (20.0)</w:t>
            </w:r>
          </w:p>
        </w:tc>
      </w:tr>
      <w:tr w:rsidR="00FB4146" w14:paraId="76F3F3D7" w14:textId="77777777" w:rsidTr="00917557">
        <w:trPr>
          <w:trHeight w:val="20"/>
        </w:trPr>
        <w:tc>
          <w:tcPr>
            <w:tcW w:w="2835" w:type="dxa"/>
            <w:tcMar>
              <w:top w:w="99" w:type="dxa"/>
              <w:left w:w="113" w:type="dxa"/>
              <w:bottom w:w="99" w:type="dxa"/>
              <w:right w:w="113" w:type="dxa"/>
            </w:tcMar>
            <w:vAlign w:val="center"/>
          </w:tcPr>
          <w:p w14:paraId="2212A5AA" w14:textId="77777777" w:rsidR="00FB4146" w:rsidRDefault="00FB4146" w:rsidP="00917557">
            <w:pPr>
              <w:pStyle w:val="CDIFigure-Table-BodyTextLeft"/>
            </w:pPr>
            <w:r>
              <w:t>Polio</w:t>
            </w:r>
          </w:p>
        </w:tc>
        <w:tc>
          <w:tcPr>
            <w:tcW w:w="1360" w:type="dxa"/>
            <w:tcMar>
              <w:top w:w="99" w:type="dxa"/>
              <w:left w:w="113" w:type="dxa"/>
              <w:bottom w:w="99" w:type="dxa"/>
              <w:right w:w="113" w:type="dxa"/>
            </w:tcMar>
            <w:vAlign w:val="center"/>
          </w:tcPr>
          <w:p w14:paraId="406A22CE" w14:textId="77777777" w:rsidR="00FB4146" w:rsidRDefault="00FB4146" w:rsidP="00FB4146">
            <w:pPr>
              <w:pStyle w:val="CDIFigure-Table-BodyTextCentre"/>
            </w:pPr>
            <w:r>
              <w:t>5 (0.1)</w:t>
            </w:r>
          </w:p>
        </w:tc>
        <w:tc>
          <w:tcPr>
            <w:tcW w:w="1361" w:type="dxa"/>
            <w:tcMar>
              <w:top w:w="99" w:type="dxa"/>
              <w:left w:w="113" w:type="dxa"/>
              <w:bottom w:w="99" w:type="dxa"/>
              <w:right w:w="113" w:type="dxa"/>
            </w:tcMar>
            <w:vAlign w:val="center"/>
          </w:tcPr>
          <w:p w14:paraId="42C60D94" w14:textId="77777777" w:rsidR="00FB4146" w:rsidRDefault="00FB4146" w:rsidP="00FB4146">
            <w:pPr>
              <w:pStyle w:val="CDIFigure-Table-BodyTextCentre"/>
            </w:pPr>
            <w:r>
              <w:t>2 (40.0)</w:t>
            </w:r>
          </w:p>
        </w:tc>
        <w:tc>
          <w:tcPr>
            <w:tcW w:w="1361" w:type="dxa"/>
            <w:tcMar>
              <w:top w:w="99" w:type="dxa"/>
              <w:left w:w="113" w:type="dxa"/>
              <w:bottom w:w="99" w:type="dxa"/>
              <w:right w:w="113" w:type="dxa"/>
            </w:tcMar>
            <w:vAlign w:val="center"/>
          </w:tcPr>
          <w:p w14:paraId="4303D150" w14:textId="77777777" w:rsidR="00FB4146" w:rsidRDefault="00FB4146" w:rsidP="00FB4146">
            <w:pPr>
              <w:pStyle w:val="CDIFigure-Table-BodyTextCentre"/>
            </w:pPr>
            <w:r>
              <w:t>1 (20.0)</w:t>
            </w:r>
          </w:p>
        </w:tc>
        <w:tc>
          <w:tcPr>
            <w:tcW w:w="1360" w:type="dxa"/>
            <w:tcMar>
              <w:top w:w="99" w:type="dxa"/>
              <w:left w:w="113" w:type="dxa"/>
              <w:bottom w:w="99" w:type="dxa"/>
              <w:right w:w="113" w:type="dxa"/>
            </w:tcMar>
            <w:vAlign w:val="center"/>
          </w:tcPr>
          <w:p w14:paraId="0481CF25" w14:textId="77777777" w:rsidR="00FB4146" w:rsidRDefault="00FB4146" w:rsidP="00FB4146">
            <w:pPr>
              <w:pStyle w:val="CDIFigure-Table-BodyTextCentre"/>
            </w:pPr>
            <w:r>
              <w:t>4 (80.0)</w:t>
            </w:r>
          </w:p>
        </w:tc>
        <w:tc>
          <w:tcPr>
            <w:tcW w:w="1361" w:type="dxa"/>
            <w:tcMar>
              <w:top w:w="99" w:type="dxa"/>
              <w:left w:w="113" w:type="dxa"/>
              <w:bottom w:w="99" w:type="dxa"/>
              <w:right w:w="113" w:type="dxa"/>
            </w:tcMar>
            <w:vAlign w:val="center"/>
          </w:tcPr>
          <w:p w14:paraId="02F47332" w14:textId="77777777" w:rsidR="00FB4146" w:rsidRDefault="00FB4146" w:rsidP="00FB4146">
            <w:pPr>
              <w:pStyle w:val="CDIFigure-Table-BodyTextCentre"/>
            </w:pPr>
            <w:r>
              <w:t>0 (0.0)</w:t>
            </w:r>
          </w:p>
        </w:tc>
      </w:tr>
      <w:tr w:rsidR="00FB4146" w14:paraId="52CB72F7"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07DE8588" w14:textId="77777777" w:rsidR="00FB4146" w:rsidRDefault="00FB4146" w:rsidP="00917557">
            <w:pPr>
              <w:pStyle w:val="CDIFigure-Table-BodyTextLeft"/>
            </w:pPr>
            <w:r>
              <w:t>DTP</w:t>
            </w:r>
          </w:p>
        </w:tc>
        <w:tc>
          <w:tcPr>
            <w:tcW w:w="1360" w:type="dxa"/>
            <w:shd w:val="clear" w:color="auto" w:fill="F2F2F2" w:themeFill="background1" w:themeFillShade="F2"/>
            <w:tcMar>
              <w:top w:w="99" w:type="dxa"/>
              <w:left w:w="113" w:type="dxa"/>
              <w:bottom w:w="99" w:type="dxa"/>
              <w:right w:w="113" w:type="dxa"/>
            </w:tcMar>
            <w:vAlign w:val="center"/>
          </w:tcPr>
          <w:p w14:paraId="7EB577B6" w14:textId="77777777" w:rsidR="00FB4146" w:rsidRDefault="00FB4146" w:rsidP="00FB4146">
            <w:pPr>
              <w:pStyle w:val="CDIFigure-Table-BodyTextCentre"/>
            </w:pPr>
            <w:r>
              <w:t>4 (0.1)</w:t>
            </w:r>
          </w:p>
        </w:tc>
        <w:tc>
          <w:tcPr>
            <w:tcW w:w="1361" w:type="dxa"/>
            <w:shd w:val="clear" w:color="auto" w:fill="F2F2F2" w:themeFill="background1" w:themeFillShade="F2"/>
            <w:tcMar>
              <w:top w:w="99" w:type="dxa"/>
              <w:left w:w="113" w:type="dxa"/>
              <w:bottom w:w="99" w:type="dxa"/>
              <w:right w:w="113" w:type="dxa"/>
            </w:tcMar>
            <w:vAlign w:val="center"/>
          </w:tcPr>
          <w:p w14:paraId="12BE81FF" w14:textId="77777777" w:rsidR="00FB4146" w:rsidRDefault="00FB4146" w:rsidP="00FB4146">
            <w:pPr>
              <w:pStyle w:val="CDIFigure-Table-BodyTextCentre"/>
            </w:pPr>
            <w:r>
              <w:t>1 (25.0)</w:t>
            </w:r>
          </w:p>
        </w:tc>
        <w:tc>
          <w:tcPr>
            <w:tcW w:w="1361" w:type="dxa"/>
            <w:shd w:val="clear" w:color="auto" w:fill="F2F2F2" w:themeFill="background1" w:themeFillShade="F2"/>
            <w:tcMar>
              <w:top w:w="99" w:type="dxa"/>
              <w:left w:w="113" w:type="dxa"/>
              <w:bottom w:w="99" w:type="dxa"/>
              <w:right w:w="113" w:type="dxa"/>
            </w:tcMar>
            <w:vAlign w:val="center"/>
          </w:tcPr>
          <w:p w14:paraId="318DD74C" w14:textId="77777777" w:rsidR="00FB4146" w:rsidRDefault="00FB4146" w:rsidP="00FB4146">
            <w:pPr>
              <w:pStyle w:val="CDIFigure-Table-BodyTextCentre"/>
            </w:pPr>
            <w:r>
              <w:t>3 (75.0)</w:t>
            </w:r>
          </w:p>
        </w:tc>
        <w:tc>
          <w:tcPr>
            <w:tcW w:w="1360" w:type="dxa"/>
            <w:shd w:val="clear" w:color="auto" w:fill="F2F2F2" w:themeFill="background1" w:themeFillShade="F2"/>
            <w:tcMar>
              <w:top w:w="99" w:type="dxa"/>
              <w:left w:w="113" w:type="dxa"/>
              <w:bottom w:w="99" w:type="dxa"/>
              <w:right w:w="113" w:type="dxa"/>
            </w:tcMar>
            <w:vAlign w:val="center"/>
          </w:tcPr>
          <w:p w14:paraId="29895946" w14:textId="77777777" w:rsidR="00FB4146" w:rsidRDefault="00FB4146" w:rsidP="00FB4146">
            <w:pPr>
              <w:pStyle w:val="CDIFigure-Table-BodyTextCentre"/>
            </w:pPr>
            <w:r>
              <w:t>1 (25.0)</w:t>
            </w:r>
          </w:p>
        </w:tc>
        <w:tc>
          <w:tcPr>
            <w:tcW w:w="1361" w:type="dxa"/>
            <w:shd w:val="clear" w:color="auto" w:fill="F2F2F2" w:themeFill="background1" w:themeFillShade="F2"/>
            <w:tcMar>
              <w:top w:w="99" w:type="dxa"/>
              <w:left w:w="113" w:type="dxa"/>
              <w:bottom w:w="99" w:type="dxa"/>
              <w:right w:w="113" w:type="dxa"/>
            </w:tcMar>
            <w:vAlign w:val="center"/>
          </w:tcPr>
          <w:p w14:paraId="1532A408" w14:textId="77777777" w:rsidR="00FB4146" w:rsidRDefault="00FB4146" w:rsidP="00FB4146">
            <w:pPr>
              <w:pStyle w:val="CDIFigure-Table-BodyTextCentre"/>
            </w:pPr>
            <w:r>
              <w:t>1 (25.0)</w:t>
            </w:r>
          </w:p>
        </w:tc>
      </w:tr>
      <w:tr w:rsidR="00FB4146" w14:paraId="4B55960F" w14:textId="77777777" w:rsidTr="00917557">
        <w:trPr>
          <w:trHeight w:val="20"/>
        </w:trPr>
        <w:tc>
          <w:tcPr>
            <w:tcW w:w="2835" w:type="dxa"/>
            <w:tcMar>
              <w:top w:w="99" w:type="dxa"/>
              <w:left w:w="113" w:type="dxa"/>
              <w:bottom w:w="99" w:type="dxa"/>
              <w:right w:w="113" w:type="dxa"/>
            </w:tcMar>
            <w:vAlign w:val="center"/>
          </w:tcPr>
          <w:p w14:paraId="62064013" w14:textId="77777777" w:rsidR="00FB4146" w:rsidRDefault="00FB4146" w:rsidP="00917557">
            <w:pPr>
              <w:pStyle w:val="CDIFigure-Table-BodyTextLeft"/>
            </w:pPr>
            <w:r>
              <w:t>Influenza (H1N1pdm09)</w:t>
            </w:r>
          </w:p>
        </w:tc>
        <w:tc>
          <w:tcPr>
            <w:tcW w:w="1360" w:type="dxa"/>
            <w:tcMar>
              <w:top w:w="99" w:type="dxa"/>
              <w:left w:w="113" w:type="dxa"/>
              <w:bottom w:w="99" w:type="dxa"/>
              <w:right w:w="113" w:type="dxa"/>
            </w:tcMar>
            <w:vAlign w:val="center"/>
          </w:tcPr>
          <w:p w14:paraId="24D50AA5" w14:textId="77777777" w:rsidR="00FB4146" w:rsidRDefault="00FB4146" w:rsidP="00FB4146">
            <w:pPr>
              <w:pStyle w:val="CDIFigure-Table-BodyTextCentre"/>
            </w:pPr>
            <w:r>
              <w:t>3 (0.1)</w:t>
            </w:r>
          </w:p>
        </w:tc>
        <w:tc>
          <w:tcPr>
            <w:tcW w:w="1361" w:type="dxa"/>
            <w:tcMar>
              <w:top w:w="99" w:type="dxa"/>
              <w:left w:w="113" w:type="dxa"/>
              <w:bottom w:w="99" w:type="dxa"/>
              <w:right w:w="113" w:type="dxa"/>
            </w:tcMar>
            <w:vAlign w:val="center"/>
          </w:tcPr>
          <w:p w14:paraId="1C062B71" w14:textId="77777777" w:rsidR="00FB4146" w:rsidRDefault="00FB4146" w:rsidP="00FB4146">
            <w:pPr>
              <w:pStyle w:val="CDIFigure-Table-BodyTextCentre"/>
            </w:pPr>
            <w:r>
              <w:t>2 (66.7)</w:t>
            </w:r>
          </w:p>
        </w:tc>
        <w:tc>
          <w:tcPr>
            <w:tcW w:w="1361" w:type="dxa"/>
            <w:tcMar>
              <w:top w:w="99" w:type="dxa"/>
              <w:left w:w="113" w:type="dxa"/>
              <w:bottom w:w="99" w:type="dxa"/>
              <w:right w:w="113" w:type="dxa"/>
            </w:tcMar>
            <w:vAlign w:val="center"/>
          </w:tcPr>
          <w:p w14:paraId="33BD5D2D"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02AC59FF" w14:textId="77777777" w:rsidR="00FB4146" w:rsidRDefault="00FB4146" w:rsidP="00FB4146">
            <w:pPr>
              <w:pStyle w:val="CDIFigure-Table-BodyTextCentre"/>
            </w:pPr>
            <w:r>
              <w:t>2 (66.7)</w:t>
            </w:r>
          </w:p>
        </w:tc>
        <w:tc>
          <w:tcPr>
            <w:tcW w:w="1361" w:type="dxa"/>
            <w:tcMar>
              <w:top w:w="99" w:type="dxa"/>
              <w:left w:w="113" w:type="dxa"/>
              <w:bottom w:w="99" w:type="dxa"/>
              <w:right w:w="113" w:type="dxa"/>
            </w:tcMar>
            <w:vAlign w:val="center"/>
          </w:tcPr>
          <w:p w14:paraId="29054C87" w14:textId="77777777" w:rsidR="00FB4146" w:rsidRDefault="00FB4146" w:rsidP="00FB4146">
            <w:pPr>
              <w:pStyle w:val="CDIFigure-Table-BodyTextCentre"/>
            </w:pPr>
            <w:r>
              <w:t>1 (33.3)</w:t>
            </w:r>
          </w:p>
        </w:tc>
      </w:tr>
      <w:tr w:rsidR="00FB4146" w14:paraId="41D05B18"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2D6AA514" w14:textId="77777777" w:rsidR="00FB4146" w:rsidRDefault="00FB4146" w:rsidP="00917557">
            <w:pPr>
              <w:pStyle w:val="CDIFigure-Table-BodyTextLeft"/>
            </w:pPr>
            <w:r>
              <w:t>Hib and MenCY</w:t>
            </w:r>
          </w:p>
        </w:tc>
        <w:tc>
          <w:tcPr>
            <w:tcW w:w="1360" w:type="dxa"/>
            <w:shd w:val="clear" w:color="auto" w:fill="F2F2F2" w:themeFill="background1" w:themeFillShade="F2"/>
            <w:tcMar>
              <w:top w:w="99" w:type="dxa"/>
              <w:left w:w="113" w:type="dxa"/>
              <w:bottom w:w="99" w:type="dxa"/>
              <w:right w:w="113" w:type="dxa"/>
            </w:tcMar>
            <w:vAlign w:val="center"/>
          </w:tcPr>
          <w:p w14:paraId="6F4BABC2" w14:textId="77777777" w:rsidR="00FB4146" w:rsidRDefault="00FB4146" w:rsidP="00FB4146">
            <w:pPr>
              <w:pStyle w:val="CDIFigure-Table-BodyTextCentre"/>
            </w:pPr>
            <w:r>
              <w:t>3 (0.1)</w:t>
            </w:r>
          </w:p>
        </w:tc>
        <w:tc>
          <w:tcPr>
            <w:tcW w:w="1361" w:type="dxa"/>
            <w:shd w:val="clear" w:color="auto" w:fill="F2F2F2" w:themeFill="background1" w:themeFillShade="F2"/>
            <w:tcMar>
              <w:top w:w="99" w:type="dxa"/>
              <w:left w:w="113" w:type="dxa"/>
              <w:bottom w:w="99" w:type="dxa"/>
              <w:right w:w="113" w:type="dxa"/>
            </w:tcMar>
            <w:vAlign w:val="center"/>
          </w:tcPr>
          <w:p w14:paraId="450913DC"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084BA56F" w14:textId="77777777" w:rsidR="00FB4146" w:rsidRDefault="00FB4146" w:rsidP="00FB4146">
            <w:pPr>
              <w:pStyle w:val="CDIFigure-Table-BodyTextCentre"/>
            </w:pPr>
            <w:r>
              <w:t>2 (66.7)</w:t>
            </w:r>
          </w:p>
        </w:tc>
        <w:tc>
          <w:tcPr>
            <w:tcW w:w="1360" w:type="dxa"/>
            <w:shd w:val="clear" w:color="auto" w:fill="F2F2F2" w:themeFill="background1" w:themeFillShade="F2"/>
            <w:tcMar>
              <w:top w:w="99" w:type="dxa"/>
              <w:left w:w="113" w:type="dxa"/>
              <w:bottom w:w="99" w:type="dxa"/>
              <w:right w:w="113" w:type="dxa"/>
            </w:tcMar>
            <w:vAlign w:val="center"/>
          </w:tcPr>
          <w:p w14:paraId="591643E0"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4636DD30" w14:textId="77777777" w:rsidR="00FB4146" w:rsidRDefault="00FB4146" w:rsidP="00FB4146">
            <w:pPr>
              <w:pStyle w:val="CDIFigure-Table-BodyTextCentre"/>
            </w:pPr>
            <w:r>
              <w:t>2 (66.7)</w:t>
            </w:r>
          </w:p>
        </w:tc>
      </w:tr>
      <w:tr w:rsidR="00FB4146" w14:paraId="3B1B783C" w14:textId="77777777" w:rsidTr="00917557">
        <w:trPr>
          <w:trHeight w:val="20"/>
        </w:trPr>
        <w:tc>
          <w:tcPr>
            <w:tcW w:w="2835" w:type="dxa"/>
            <w:tcMar>
              <w:top w:w="99" w:type="dxa"/>
              <w:left w:w="113" w:type="dxa"/>
              <w:bottom w:w="99" w:type="dxa"/>
              <w:right w:w="113" w:type="dxa"/>
            </w:tcMar>
            <w:vAlign w:val="center"/>
          </w:tcPr>
          <w:p w14:paraId="71438DB2" w14:textId="77777777" w:rsidR="00FB4146" w:rsidRDefault="00FB4146" w:rsidP="00917557">
            <w:pPr>
              <w:pStyle w:val="CDIFigure-Table-BodyTextLeft"/>
            </w:pPr>
            <w:r>
              <w:t>Pertussis</w:t>
            </w:r>
          </w:p>
        </w:tc>
        <w:tc>
          <w:tcPr>
            <w:tcW w:w="1360" w:type="dxa"/>
            <w:tcMar>
              <w:top w:w="99" w:type="dxa"/>
              <w:left w:w="113" w:type="dxa"/>
              <w:bottom w:w="99" w:type="dxa"/>
              <w:right w:w="113" w:type="dxa"/>
            </w:tcMar>
            <w:vAlign w:val="center"/>
          </w:tcPr>
          <w:p w14:paraId="479FC7AC" w14:textId="77777777" w:rsidR="00FB4146" w:rsidRDefault="00FB4146" w:rsidP="00FB4146">
            <w:pPr>
              <w:pStyle w:val="CDIFigure-Table-BodyTextCentre"/>
            </w:pPr>
            <w:r>
              <w:t>3 (0.1)</w:t>
            </w:r>
          </w:p>
        </w:tc>
        <w:tc>
          <w:tcPr>
            <w:tcW w:w="1361" w:type="dxa"/>
            <w:tcMar>
              <w:top w:w="99" w:type="dxa"/>
              <w:left w:w="113" w:type="dxa"/>
              <w:bottom w:w="99" w:type="dxa"/>
              <w:right w:w="113" w:type="dxa"/>
            </w:tcMar>
            <w:vAlign w:val="center"/>
          </w:tcPr>
          <w:p w14:paraId="57BBDB70" w14:textId="77777777" w:rsidR="00FB4146" w:rsidRDefault="00FB4146" w:rsidP="00FB4146">
            <w:pPr>
              <w:pStyle w:val="CDIFigure-Table-BodyTextCentre"/>
            </w:pPr>
            <w:r>
              <w:t>3 (100.0)</w:t>
            </w:r>
          </w:p>
        </w:tc>
        <w:tc>
          <w:tcPr>
            <w:tcW w:w="1361" w:type="dxa"/>
            <w:tcMar>
              <w:top w:w="99" w:type="dxa"/>
              <w:left w:w="113" w:type="dxa"/>
              <w:bottom w:w="99" w:type="dxa"/>
              <w:right w:w="113" w:type="dxa"/>
            </w:tcMar>
            <w:vAlign w:val="center"/>
          </w:tcPr>
          <w:p w14:paraId="5CDE3C3D"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54B9E738" w14:textId="77777777" w:rsidR="00FB4146" w:rsidRDefault="00FB4146" w:rsidP="00FB4146">
            <w:pPr>
              <w:pStyle w:val="CDIFigure-Table-BodyTextCentre"/>
            </w:pPr>
            <w:r>
              <w:t>3 (100.0)</w:t>
            </w:r>
          </w:p>
        </w:tc>
        <w:tc>
          <w:tcPr>
            <w:tcW w:w="1361" w:type="dxa"/>
            <w:tcMar>
              <w:top w:w="99" w:type="dxa"/>
              <w:left w:w="113" w:type="dxa"/>
              <w:bottom w:w="99" w:type="dxa"/>
              <w:right w:w="113" w:type="dxa"/>
            </w:tcMar>
            <w:vAlign w:val="center"/>
          </w:tcPr>
          <w:p w14:paraId="7AE8413B" w14:textId="77777777" w:rsidR="00FB4146" w:rsidRDefault="00FB4146" w:rsidP="00FB4146">
            <w:pPr>
              <w:pStyle w:val="CDIFigure-Table-BodyTextCentre"/>
            </w:pPr>
            <w:r>
              <w:t>2 (66.7)</w:t>
            </w:r>
          </w:p>
        </w:tc>
      </w:tr>
      <w:tr w:rsidR="00FB4146" w14:paraId="26B4383F"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27E05CC1" w14:textId="77777777" w:rsidR="00FB4146" w:rsidRDefault="00FB4146" w:rsidP="00917557">
            <w:pPr>
              <w:pStyle w:val="CDIFigure-Table-BodyTextLeft"/>
            </w:pPr>
            <w:r>
              <w:t>Rabies</w:t>
            </w:r>
          </w:p>
        </w:tc>
        <w:tc>
          <w:tcPr>
            <w:tcW w:w="1360" w:type="dxa"/>
            <w:shd w:val="clear" w:color="auto" w:fill="F2F2F2" w:themeFill="background1" w:themeFillShade="F2"/>
            <w:tcMar>
              <w:top w:w="99" w:type="dxa"/>
              <w:left w:w="113" w:type="dxa"/>
              <w:bottom w:w="99" w:type="dxa"/>
              <w:right w:w="113" w:type="dxa"/>
            </w:tcMar>
            <w:vAlign w:val="center"/>
          </w:tcPr>
          <w:p w14:paraId="6553327A" w14:textId="77777777" w:rsidR="00FB4146" w:rsidRDefault="00FB4146" w:rsidP="00FB4146">
            <w:pPr>
              <w:pStyle w:val="CDIFigure-Table-BodyTextCentre"/>
            </w:pPr>
            <w:r>
              <w:t>3 (0.1)</w:t>
            </w:r>
          </w:p>
        </w:tc>
        <w:tc>
          <w:tcPr>
            <w:tcW w:w="1361" w:type="dxa"/>
            <w:shd w:val="clear" w:color="auto" w:fill="F2F2F2" w:themeFill="background1" w:themeFillShade="F2"/>
            <w:tcMar>
              <w:top w:w="99" w:type="dxa"/>
              <w:left w:w="113" w:type="dxa"/>
              <w:bottom w:w="99" w:type="dxa"/>
              <w:right w:w="113" w:type="dxa"/>
            </w:tcMar>
            <w:vAlign w:val="center"/>
          </w:tcPr>
          <w:p w14:paraId="43C44E68" w14:textId="77777777" w:rsidR="00FB4146" w:rsidRDefault="00FB4146" w:rsidP="00FB4146">
            <w:pPr>
              <w:pStyle w:val="CDIFigure-Table-BodyTextCentre"/>
            </w:pPr>
            <w:r>
              <w:t>2 (66.7)</w:t>
            </w:r>
          </w:p>
        </w:tc>
        <w:tc>
          <w:tcPr>
            <w:tcW w:w="1361" w:type="dxa"/>
            <w:shd w:val="clear" w:color="auto" w:fill="F2F2F2" w:themeFill="background1" w:themeFillShade="F2"/>
            <w:tcMar>
              <w:top w:w="99" w:type="dxa"/>
              <w:left w:w="113" w:type="dxa"/>
              <w:bottom w:w="99" w:type="dxa"/>
              <w:right w:w="113" w:type="dxa"/>
            </w:tcMar>
            <w:vAlign w:val="center"/>
          </w:tcPr>
          <w:p w14:paraId="5D00CEAF" w14:textId="77777777" w:rsidR="00FB4146" w:rsidRDefault="00FB4146" w:rsidP="00FB4146">
            <w:pPr>
              <w:pStyle w:val="CDIFigure-Table-BodyTextCentre"/>
            </w:pPr>
            <w:r>
              <w:t>1 (33.3)</w:t>
            </w:r>
          </w:p>
        </w:tc>
        <w:tc>
          <w:tcPr>
            <w:tcW w:w="1360" w:type="dxa"/>
            <w:shd w:val="clear" w:color="auto" w:fill="F2F2F2" w:themeFill="background1" w:themeFillShade="F2"/>
            <w:tcMar>
              <w:top w:w="99" w:type="dxa"/>
              <w:left w:w="113" w:type="dxa"/>
              <w:bottom w:w="99" w:type="dxa"/>
              <w:right w:w="113" w:type="dxa"/>
            </w:tcMar>
            <w:vAlign w:val="center"/>
          </w:tcPr>
          <w:p w14:paraId="030606CA" w14:textId="77777777" w:rsidR="00FB4146" w:rsidRDefault="00FB4146" w:rsidP="00FB4146">
            <w:pPr>
              <w:pStyle w:val="CDIFigure-Table-BodyTextCentre"/>
            </w:pPr>
            <w:r>
              <w:t>2 (66.7)</w:t>
            </w:r>
          </w:p>
        </w:tc>
        <w:tc>
          <w:tcPr>
            <w:tcW w:w="1361" w:type="dxa"/>
            <w:shd w:val="clear" w:color="auto" w:fill="F2F2F2" w:themeFill="background1" w:themeFillShade="F2"/>
            <w:tcMar>
              <w:top w:w="99" w:type="dxa"/>
              <w:left w:w="113" w:type="dxa"/>
              <w:bottom w:w="99" w:type="dxa"/>
              <w:right w:w="113" w:type="dxa"/>
            </w:tcMar>
            <w:vAlign w:val="center"/>
          </w:tcPr>
          <w:p w14:paraId="193F267D" w14:textId="77777777" w:rsidR="00FB4146" w:rsidRDefault="00FB4146" w:rsidP="00FB4146">
            <w:pPr>
              <w:pStyle w:val="CDIFigure-Table-BodyTextCentre"/>
            </w:pPr>
            <w:r>
              <w:t>0 (0.0)</w:t>
            </w:r>
          </w:p>
        </w:tc>
      </w:tr>
      <w:tr w:rsidR="00FB4146" w14:paraId="6EAD85E4" w14:textId="77777777" w:rsidTr="00917557">
        <w:trPr>
          <w:trHeight w:val="20"/>
        </w:trPr>
        <w:tc>
          <w:tcPr>
            <w:tcW w:w="2835" w:type="dxa"/>
            <w:tcMar>
              <w:top w:w="99" w:type="dxa"/>
              <w:left w:w="113" w:type="dxa"/>
              <w:bottom w:w="99" w:type="dxa"/>
              <w:right w:w="113" w:type="dxa"/>
            </w:tcMar>
            <w:vAlign w:val="center"/>
          </w:tcPr>
          <w:p w14:paraId="6ADE8128" w14:textId="77777777" w:rsidR="00FB4146" w:rsidRDefault="00FB4146" w:rsidP="00917557">
            <w:pPr>
              <w:pStyle w:val="CDIFigure-Table-BodyTextLeft"/>
            </w:pPr>
            <w:r>
              <w:t>Tetanus</w:t>
            </w:r>
          </w:p>
        </w:tc>
        <w:tc>
          <w:tcPr>
            <w:tcW w:w="1360" w:type="dxa"/>
            <w:tcMar>
              <w:top w:w="99" w:type="dxa"/>
              <w:left w:w="113" w:type="dxa"/>
              <w:bottom w:w="99" w:type="dxa"/>
              <w:right w:w="113" w:type="dxa"/>
            </w:tcMar>
            <w:vAlign w:val="center"/>
          </w:tcPr>
          <w:p w14:paraId="750DC52D" w14:textId="77777777" w:rsidR="00FB4146" w:rsidRDefault="00FB4146" w:rsidP="00FB4146">
            <w:pPr>
              <w:pStyle w:val="CDIFigure-Table-BodyTextCentre"/>
            </w:pPr>
            <w:r>
              <w:t>3 (0.1)</w:t>
            </w:r>
          </w:p>
        </w:tc>
        <w:tc>
          <w:tcPr>
            <w:tcW w:w="1361" w:type="dxa"/>
            <w:tcMar>
              <w:top w:w="99" w:type="dxa"/>
              <w:left w:w="113" w:type="dxa"/>
              <w:bottom w:w="99" w:type="dxa"/>
              <w:right w:w="113" w:type="dxa"/>
            </w:tcMar>
            <w:vAlign w:val="center"/>
          </w:tcPr>
          <w:p w14:paraId="2C52540C" w14:textId="77777777" w:rsidR="00FB4146" w:rsidRDefault="00FB4146" w:rsidP="00FB4146">
            <w:pPr>
              <w:pStyle w:val="CDIFigure-Table-BodyTextCentre"/>
            </w:pPr>
            <w:r>
              <w:t>3 (100.0)</w:t>
            </w:r>
          </w:p>
        </w:tc>
        <w:tc>
          <w:tcPr>
            <w:tcW w:w="1361" w:type="dxa"/>
            <w:tcMar>
              <w:top w:w="99" w:type="dxa"/>
              <w:left w:w="113" w:type="dxa"/>
              <w:bottom w:w="99" w:type="dxa"/>
              <w:right w:w="113" w:type="dxa"/>
            </w:tcMar>
            <w:vAlign w:val="center"/>
          </w:tcPr>
          <w:p w14:paraId="6D6F1E35"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5AE6CCE4" w14:textId="77777777" w:rsidR="00FB4146" w:rsidRDefault="00FB4146" w:rsidP="00FB4146">
            <w:pPr>
              <w:pStyle w:val="CDIFigure-Table-BodyTextCentre"/>
            </w:pPr>
            <w:r>
              <w:t>2 (66.7)</w:t>
            </w:r>
          </w:p>
        </w:tc>
        <w:tc>
          <w:tcPr>
            <w:tcW w:w="1361" w:type="dxa"/>
            <w:tcMar>
              <w:top w:w="99" w:type="dxa"/>
              <w:left w:w="113" w:type="dxa"/>
              <w:bottom w:w="99" w:type="dxa"/>
              <w:right w:w="113" w:type="dxa"/>
            </w:tcMar>
            <w:vAlign w:val="center"/>
          </w:tcPr>
          <w:p w14:paraId="634F278F" w14:textId="77777777" w:rsidR="00FB4146" w:rsidRDefault="00FB4146" w:rsidP="00FB4146">
            <w:pPr>
              <w:pStyle w:val="CDIFigure-Table-BodyTextCentre"/>
            </w:pPr>
            <w:r>
              <w:t>0 (0.0)</w:t>
            </w:r>
          </w:p>
        </w:tc>
      </w:tr>
      <w:tr w:rsidR="00FB4146" w14:paraId="40A03004"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11F68014" w14:textId="77777777" w:rsidR="00FB4146" w:rsidRDefault="00FB4146" w:rsidP="00917557">
            <w:pPr>
              <w:pStyle w:val="CDIFigure-Table-BodyTextLeft"/>
            </w:pPr>
            <w:r>
              <w:t xml:space="preserve">Typhoid and </w:t>
            </w:r>
            <w:proofErr w:type="spellStart"/>
            <w:r>
              <w:t>HepA</w:t>
            </w:r>
            <w:proofErr w:type="spellEnd"/>
          </w:p>
        </w:tc>
        <w:tc>
          <w:tcPr>
            <w:tcW w:w="1360" w:type="dxa"/>
            <w:shd w:val="clear" w:color="auto" w:fill="F2F2F2" w:themeFill="background1" w:themeFillShade="F2"/>
            <w:tcMar>
              <w:top w:w="99" w:type="dxa"/>
              <w:left w:w="113" w:type="dxa"/>
              <w:bottom w:w="99" w:type="dxa"/>
              <w:right w:w="113" w:type="dxa"/>
            </w:tcMar>
            <w:vAlign w:val="center"/>
          </w:tcPr>
          <w:p w14:paraId="389C49AC" w14:textId="77777777" w:rsidR="00FB4146" w:rsidRDefault="00FB4146" w:rsidP="00FB4146">
            <w:pPr>
              <w:pStyle w:val="CDIFigure-Table-BodyTextCentre"/>
            </w:pPr>
            <w:r>
              <w:t>3 (0.1)</w:t>
            </w:r>
          </w:p>
        </w:tc>
        <w:tc>
          <w:tcPr>
            <w:tcW w:w="1361" w:type="dxa"/>
            <w:shd w:val="clear" w:color="auto" w:fill="F2F2F2" w:themeFill="background1" w:themeFillShade="F2"/>
            <w:tcMar>
              <w:top w:w="99" w:type="dxa"/>
              <w:left w:w="113" w:type="dxa"/>
              <w:bottom w:w="99" w:type="dxa"/>
              <w:right w:w="113" w:type="dxa"/>
            </w:tcMar>
            <w:vAlign w:val="center"/>
          </w:tcPr>
          <w:p w14:paraId="5EC30D1F" w14:textId="77777777" w:rsidR="00FB4146" w:rsidRDefault="00FB4146" w:rsidP="00FB4146">
            <w:pPr>
              <w:pStyle w:val="CDIFigure-Table-BodyTextCentre"/>
            </w:pPr>
            <w:r>
              <w:t>2 (66.7)</w:t>
            </w:r>
          </w:p>
        </w:tc>
        <w:tc>
          <w:tcPr>
            <w:tcW w:w="1361" w:type="dxa"/>
            <w:shd w:val="clear" w:color="auto" w:fill="F2F2F2" w:themeFill="background1" w:themeFillShade="F2"/>
            <w:tcMar>
              <w:top w:w="99" w:type="dxa"/>
              <w:left w:w="113" w:type="dxa"/>
              <w:bottom w:w="99" w:type="dxa"/>
              <w:right w:w="113" w:type="dxa"/>
            </w:tcMar>
            <w:vAlign w:val="center"/>
          </w:tcPr>
          <w:p w14:paraId="7BDB3C98" w14:textId="77777777" w:rsidR="00FB4146" w:rsidRDefault="00FB4146" w:rsidP="00FB4146">
            <w:pPr>
              <w:pStyle w:val="CDIFigure-Table-BodyTextCentre"/>
            </w:pPr>
            <w:r>
              <w:t>0 (0.0)</w:t>
            </w:r>
          </w:p>
        </w:tc>
        <w:tc>
          <w:tcPr>
            <w:tcW w:w="1360" w:type="dxa"/>
            <w:shd w:val="clear" w:color="auto" w:fill="F2F2F2" w:themeFill="background1" w:themeFillShade="F2"/>
            <w:tcMar>
              <w:top w:w="99" w:type="dxa"/>
              <w:left w:w="113" w:type="dxa"/>
              <w:bottom w:w="99" w:type="dxa"/>
              <w:right w:w="113" w:type="dxa"/>
            </w:tcMar>
            <w:vAlign w:val="center"/>
          </w:tcPr>
          <w:p w14:paraId="24B0875C" w14:textId="77777777" w:rsidR="00FB4146" w:rsidRDefault="00FB4146" w:rsidP="00FB4146">
            <w:pPr>
              <w:pStyle w:val="CDIFigure-Table-BodyTextCentre"/>
            </w:pPr>
            <w:r>
              <w:t>3 (100.0)</w:t>
            </w:r>
          </w:p>
        </w:tc>
        <w:tc>
          <w:tcPr>
            <w:tcW w:w="1361" w:type="dxa"/>
            <w:shd w:val="clear" w:color="auto" w:fill="F2F2F2" w:themeFill="background1" w:themeFillShade="F2"/>
            <w:tcMar>
              <w:top w:w="99" w:type="dxa"/>
              <w:left w:w="113" w:type="dxa"/>
              <w:bottom w:w="99" w:type="dxa"/>
              <w:right w:w="113" w:type="dxa"/>
            </w:tcMar>
            <w:vAlign w:val="center"/>
          </w:tcPr>
          <w:p w14:paraId="23459CE1" w14:textId="77777777" w:rsidR="00FB4146" w:rsidRDefault="00FB4146" w:rsidP="00FB4146">
            <w:pPr>
              <w:pStyle w:val="CDIFigure-Table-BodyTextCentre"/>
            </w:pPr>
            <w:r>
              <w:t>0 (0.0)</w:t>
            </w:r>
          </w:p>
        </w:tc>
      </w:tr>
      <w:tr w:rsidR="00FB4146" w14:paraId="0600A378" w14:textId="77777777" w:rsidTr="00917557">
        <w:trPr>
          <w:trHeight w:val="20"/>
        </w:trPr>
        <w:tc>
          <w:tcPr>
            <w:tcW w:w="2835" w:type="dxa"/>
            <w:tcMar>
              <w:top w:w="99" w:type="dxa"/>
              <w:left w:w="113" w:type="dxa"/>
              <w:bottom w:w="99" w:type="dxa"/>
              <w:right w:w="113" w:type="dxa"/>
            </w:tcMar>
            <w:vAlign w:val="center"/>
          </w:tcPr>
          <w:p w14:paraId="5C5EDFD8" w14:textId="77777777" w:rsidR="00FB4146" w:rsidRDefault="00FB4146" w:rsidP="00917557">
            <w:pPr>
              <w:pStyle w:val="CDIFigure-Table-BodyTextLeft"/>
            </w:pPr>
            <w:r>
              <w:t>Yellow fever</w:t>
            </w:r>
          </w:p>
        </w:tc>
        <w:tc>
          <w:tcPr>
            <w:tcW w:w="1360" w:type="dxa"/>
            <w:tcMar>
              <w:top w:w="99" w:type="dxa"/>
              <w:left w:w="113" w:type="dxa"/>
              <w:bottom w:w="99" w:type="dxa"/>
              <w:right w:w="113" w:type="dxa"/>
            </w:tcMar>
            <w:vAlign w:val="center"/>
          </w:tcPr>
          <w:p w14:paraId="3EBE4BDE" w14:textId="77777777" w:rsidR="00FB4146" w:rsidRDefault="00FB4146" w:rsidP="00FB4146">
            <w:pPr>
              <w:pStyle w:val="CDIFigure-Table-BodyTextCentre"/>
            </w:pPr>
            <w:r>
              <w:t>3 (0.1)</w:t>
            </w:r>
          </w:p>
        </w:tc>
        <w:tc>
          <w:tcPr>
            <w:tcW w:w="1361" w:type="dxa"/>
            <w:tcMar>
              <w:top w:w="99" w:type="dxa"/>
              <w:left w:w="113" w:type="dxa"/>
              <w:bottom w:w="99" w:type="dxa"/>
              <w:right w:w="113" w:type="dxa"/>
            </w:tcMar>
            <w:vAlign w:val="center"/>
          </w:tcPr>
          <w:p w14:paraId="25715ACB" w14:textId="77777777" w:rsidR="00FB4146" w:rsidRDefault="00FB4146" w:rsidP="00FB4146">
            <w:pPr>
              <w:pStyle w:val="CDIFigure-Table-BodyTextCentre"/>
            </w:pPr>
            <w:r>
              <w:t>3 (100.0)</w:t>
            </w:r>
          </w:p>
        </w:tc>
        <w:tc>
          <w:tcPr>
            <w:tcW w:w="1361" w:type="dxa"/>
            <w:tcMar>
              <w:top w:w="99" w:type="dxa"/>
              <w:left w:w="113" w:type="dxa"/>
              <w:bottom w:w="99" w:type="dxa"/>
              <w:right w:w="113" w:type="dxa"/>
            </w:tcMar>
            <w:vAlign w:val="center"/>
          </w:tcPr>
          <w:p w14:paraId="08B4DABE" w14:textId="77777777" w:rsidR="00FB4146" w:rsidRDefault="00FB4146" w:rsidP="00FB4146">
            <w:pPr>
              <w:pStyle w:val="CDIFigure-Table-BodyTextCentre"/>
            </w:pPr>
            <w:r>
              <w:t>1 (33.3)</w:t>
            </w:r>
          </w:p>
        </w:tc>
        <w:tc>
          <w:tcPr>
            <w:tcW w:w="1360" w:type="dxa"/>
            <w:tcMar>
              <w:top w:w="99" w:type="dxa"/>
              <w:left w:w="113" w:type="dxa"/>
              <w:bottom w:w="99" w:type="dxa"/>
              <w:right w:w="113" w:type="dxa"/>
            </w:tcMar>
            <w:vAlign w:val="center"/>
          </w:tcPr>
          <w:p w14:paraId="1D3858F5" w14:textId="77777777" w:rsidR="00FB4146" w:rsidRDefault="00FB4146" w:rsidP="00FB4146">
            <w:pPr>
              <w:pStyle w:val="CDIFigure-Table-BodyTextCentre"/>
            </w:pPr>
            <w:r>
              <w:t>2 (66.7)</w:t>
            </w:r>
          </w:p>
        </w:tc>
        <w:tc>
          <w:tcPr>
            <w:tcW w:w="1361" w:type="dxa"/>
            <w:tcMar>
              <w:top w:w="99" w:type="dxa"/>
              <w:left w:w="113" w:type="dxa"/>
              <w:bottom w:w="99" w:type="dxa"/>
              <w:right w:w="113" w:type="dxa"/>
            </w:tcMar>
            <w:vAlign w:val="center"/>
          </w:tcPr>
          <w:p w14:paraId="15B96FBF" w14:textId="77777777" w:rsidR="00FB4146" w:rsidRDefault="00FB4146" w:rsidP="00FB4146">
            <w:pPr>
              <w:pStyle w:val="CDIFigure-Table-BodyTextCentre"/>
            </w:pPr>
            <w:r>
              <w:t>0 (0.0)</w:t>
            </w:r>
          </w:p>
        </w:tc>
      </w:tr>
      <w:tr w:rsidR="00FB4146" w14:paraId="7CB75DFE"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618BE518" w14:textId="77777777" w:rsidR="00FB4146" w:rsidRDefault="00FB4146" w:rsidP="00917557">
            <w:pPr>
              <w:pStyle w:val="CDIFigure-Table-BodyTextLeft"/>
            </w:pPr>
            <w:r>
              <w:t>dTpa-IPV</w:t>
            </w:r>
          </w:p>
        </w:tc>
        <w:tc>
          <w:tcPr>
            <w:tcW w:w="1360" w:type="dxa"/>
            <w:shd w:val="clear" w:color="auto" w:fill="F2F2F2" w:themeFill="background1" w:themeFillShade="F2"/>
            <w:tcMar>
              <w:top w:w="99" w:type="dxa"/>
              <w:left w:w="113" w:type="dxa"/>
              <w:bottom w:w="99" w:type="dxa"/>
              <w:right w:w="113" w:type="dxa"/>
            </w:tcMar>
            <w:vAlign w:val="center"/>
          </w:tcPr>
          <w:p w14:paraId="4EE0B3E4" w14:textId="77777777" w:rsidR="00FB4146" w:rsidRDefault="00FB4146" w:rsidP="00FB4146">
            <w:pPr>
              <w:pStyle w:val="CDIFigure-Table-BodyTextCentre"/>
            </w:pPr>
            <w:r>
              <w:t>2 (0.1)</w:t>
            </w:r>
          </w:p>
        </w:tc>
        <w:tc>
          <w:tcPr>
            <w:tcW w:w="1361" w:type="dxa"/>
            <w:shd w:val="clear" w:color="auto" w:fill="F2F2F2" w:themeFill="background1" w:themeFillShade="F2"/>
            <w:tcMar>
              <w:top w:w="99" w:type="dxa"/>
              <w:left w:w="113" w:type="dxa"/>
              <w:bottom w:w="99" w:type="dxa"/>
              <w:right w:w="113" w:type="dxa"/>
            </w:tcMar>
            <w:vAlign w:val="center"/>
          </w:tcPr>
          <w:p w14:paraId="1D621A6E" w14:textId="77777777" w:rsidR="00FB4146" w:rsidRDefault="00FB4146" w:rsidP="00FB4146">
            <w:pPr>
              <w:pStyle w:val="CDIFigure-Table-BodyTextCentre"/>
            </w:pPr>
            <w:r>
              <w:t>1 (50.0)</w:t>
            </w:r>
          </w:p>
        </w:tc>
        <w:tc>
          <w:tcPr>
            <w:tcW w:w="1361" w:type="dxa"/>
            <w:shd w:val="clear" w:color="auto" w:fill="F2F2F2" w:themeFill="background1" w:themeFillShade="F2"/>
            <w:tcMar>
              <w:top w:w="99" w:type="dxa"/>
              <w:left w:w="113" w:type="dxa"/>
              <w:bottom w:w="99" w:type="dxa"/>
              <w:right w:w="113" w:type="dxa"/>
            </w:tcMar>
            <w:vAlign w:val="center"/>
          </w:tcPr>
          <w:p w14:paraId="579CB751" w14:textId="77777777" w:rsidR="00FB4146" w:rsidRDefault="00FB4146" w:rsidP="00FB4146">
            <w:pPr>
              <w:pStyle w:val="CDIFigure-Table-BodyTextCentre"/>
            </w:pPr>
            <w:r>
              <w:t>0 (0.0)</w:t>
            </w:r>
          </w:p>
        </w:tc>
        <w:tc>
          <w:tcPr>
            <w:tcW w:w="1360" w:type="dxa"/>
            <w:shd w:val="clear" w:color="auto" w:fill="F2F2F2" w:themeFill="background1" w:themeFillShade="F2"/>
            <w:tcMar>
              <w:top w:w="99" w:type="dxa"/>
              <w:left w:w="113" w:type="dxa"/>
              <w:bottom w:w="99" w:type="dxa"/>
              <w:right w:w="113" w:type="dxa"/>
            </w:tcMar>
            <w:vAlign w:val="center"/>
          </w:tcPr>
          <w:p w14:paraId="32317199" w14:textId="77777777" w:rsidR="00FB4146" w:rsidRDefault="00FB4146" w:rsidP="00FB4146">
            <w:pPr>
              <w:pStyle w:val="CDIFigure-Table-BodyTextCentre"/>
            </w:pPr>
            <w:r>
              <w:t>2 (100.0)</w:t>
            </w:r>
          </w:p>
        </w:tc>
        <w:tc>
          <w:tcPr>
            <w:tcW w:w="1361" w:type="dxa"/>
            <w:shd w:val="clear" w:color="auto" w:fill="F2F2F2" w:themeFill="background1" w:themeFillShade="F2"/>
            <w:tcMar>
              <w:top w:w="99" w:type="dxa"/>
              <w:left w:w="113" w:type="dxa"/>
              <w:bottom w:w="99" w:type="dxa"/>
              <w:right w:w="113" w:type="dxa"/>
            </w:tcMar>
            <w:vAlign w:val="center"/>
          </w:tcPr>
          <w:p w14:paraId="2DDFC5E3" w14:textId="77777777" w:rsidR="00FB4146" w:rsidRDefault="00FB4146" w:rsidP="00FB4146">
            <w:pPr>
              <w:pStyle w:val="CDIFigure-Table-BodyTextCentre"/>
            </w:pPr>
            <w:r>
              <w:t>0 (0.0)</w:t>
            </w:r>
          </w:p>
        </w:tc>
      </w:tr>
      <w:tr w:rsidR="00FB4146" w14:paraId="64BDC9B1" w14:textId="77777777" w:rsidTr="00917557">
        <w:trPr>
          <w:trHeight w:val="20"/>
        </w:trPr>
        <w:tc>
          <w:tcPr>
            <w:tcW w:w="2835" w:type="dxa"/>
            <w:tcMar>
              <w:top w:w="99" w:type="dxa"/>
              <w:left w:w="113" w:type="dxa"/>
              <w:bottom w:w="99" w:type="dxa"/>
              <w:right w:w="113" w:type="dxa"/>
            </w:tcMar>
            <w:vAlign w:val="center"/>
          </w:tcPr>
          <w:p w14:paraId="219DD2E2" w14:textId="77777777" w:rsidR="00FB4146" w:rsidRDefault="00FB4146" w:rsidP="00917557">
            <w:pPr>
              <w:pStyle w:val="CDIFigure-Table-BodyTextLeft"/>
            </w:pPr>
            <w:r>
              <w:t>Q fever</w:t>
            </w:r>
          </w:p>
        </w:tc>
        <w:tc>
          <w:tcPr>
            <w:tcW w:w="1360" w:type="dxa"/>
            <w:tcMar>
              <w:top w:w="99" w:type="dxa"/>
              <w:left w:w="113" w:type="dxa"/>
              <w:bottom w:w="99" w:type="dxa"/>
              <w:right w:w="113" w:type="dxa"/>
            </w:tcMar>
            <w:vAlign w:val="center"/>
          </w:tcPr>
          <w:p w14:paraId="3EAFFA73" w14:textId="77777777" w:rsidR="00FB4146" w:rsidRDefault="00FB4146" w:rsidP="00FB4146">
            <w:pPr>
              <w:pStyle w:val="CDIFigure-Table-BodyTextCentre"/>
            </w:pPr>
            <w:r>
              <w:t>2 (0.1)</w:t>
            </w:r>
          </w:p>
        </w:tc>
        <w:tc>
          <w:tcPr>
            <w:tcW w:w="1361" w:type="dxa"/>
            <w:tcMar>
              <w:top w:w="99" w:type="dxa"/>
              <w:left w:w="113" w:type="dxa"/>
              <w:bottom w:w="99" w:type="dxa"/>
              <w:right w:w="113" w:type="dxa"/>
            </w:tcMar>
            <w:vAlign w:val="center"/>
          </w:tcPr>
          <w:p w14:paraId="0027D929" w14:textId="77777777" w:rsidR="00FB4146" w:rsidRDefault="00FB4146" w:rsidP="00FB4146">
            <w:pPr>
              <w:pStyle w:val="CDIFigure-Table-BodyTextCentre"/>
            </w:pPr>
            <w:r>
              <w:t>2 (100.0)</w:t>
            </w:r>
          </w:p>
        </w:tc>
        <w:tc>
          <w:tcPr>
            <w:tcW w:w="1361" w:type="dxa"/>
            <w:tcMar>
              <w:top w:w="99" w:type="dxa"/>
              <w:left w:w="113" w:type="dxa"/>
              <w:bottom w:w="99" w:type="dxa"/>
              <w:right w:w="113" w:type="dxa"/>
            </w:tcMar>
            <w:vAlign w:val="center"/>
          </w:tcPr>
          <w:p w14:paraId="13C2A308"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2CF53909" w14:textId="77777777" w:rsidR="00FB4146" w:rsidRDefault="00FB4146" w:rsidP="00FB4146">
            <w:pPr>
              <w:pStyle w:val="CDIFigure-Table-BodyTextCentre"/>
            </w:pPr>
            <w:r>
              <w:t>2 (100.0)</w:t>
            </w:r>
          </w:p>
        </w:tc>
        <w:tc>
          <w:tcPr>
            <w:tcW w:w="1361" w:type="dxa"/>
            <w:tcMar>
              <w:top w:w="99" w:type="dxa"/>
              <w:left w:w="113" w:type="dxa"/>
              <w:bottom w:w="99" w:type="dxa"/>
              <w:right w:w="113" w:type="dxa"/>
            </w:tcMar>
            <w:vAlign w:val="center"/>
          </w:tcPr>
          <w:p w14:paraId="5699C8EB" w14:textId="77777777" w:rsidR="00FB4146" w:rsidRDefault="00FB4146" w:rsidP="00FB4146">
            <w:pPr>
              <w:pStyle w:val="CDIFigure-Table-BodyTextCentre"/>
            </w:pPr>
            <w:r>
              <w:t>0 (0.0)</w:t>
            </w:r>
          </w:p>
        </w:tc>
      </w:tr>
      <w:tr w:rsidR="00FB4146" w14:paraId="1CC7BF2B"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5FEF81D6" w14:textId="77777777" w:rsidR="00FB4146" w:rsidRDefault="00FB4146" w:rsidP="00917557">
            <w:pPr>
              <w:pStyle w:val="CDIFigure-Table-BodyTextLeft"/>
            </w:pPr>
            <w:r>
              <w:t>Typhoid</w:t>
            </w:r>
          </w:p>
        </w:tc>
        <w:tc>
          <w:tcPr>
            <w:tcW w:w="1360" w:type="dxa"/>
            <w:shd w:val="clear" w:color="auto" w:fill="F2F2F2" w:themeFill="background1" w:themeFillShade="F2"/>
            <w:tcMar>
              <w:top w:w="99" w:type="dxa"/>
              <w:left w:w="113" w:type="dxa"/>
              <w:bottom w:w="99" w:type="dxa"/>
              <w:right w:w="113" w:type="dxa"/>
            </w:tcMar>
            <w:vAlign w:val="center"/>
          </w:tcPr>
          <w:p w14:paraId="0254D639" w14:textId="77777777" w:rsidR="00FB4146" w:rsidRDefault="00FB4146" w:rsidP="00FB4146">
            <w:pPr>
              <w:pStyle w:val="CDIFigure-Table-BodyTextCentre"/>
            </w:pPr>
            <w:r>
              <w:t>2 (0.1)</w:t>
            </w:r>
          </w:p>
        </w:tc>
        <w:tc>
          <w:tcPr>
            <w:tcW w:w="1361" w:type="dxa"/>
            <w:shd w:val="clear" w:color="auto" w:fill="F2F2F2" w:themeFill="background1" w:themeFillShade="F2"/>
            <w:tcMar>
              <w:top w:w="99" w:type="dxa"/>
              <w:left w:w="113" w:type="dxa"/>
              <w:bottom w:w="99" w:type="dxa"/>
              <w:right w:w="113" w:type="dxa"/>
            </w:tcMar>
            <w:vAlign w:val="center"/>
          </w:tcPr>
          <w:p w14:paraId="0BAAF644" w14:textId="77777777" w:rsidR="00FB4146" w:rsidRDefault="00FB4146" w:rsidP="00FB4146">
            <w:pPr>
              <w:pStyle w:val="CDIFigure-Table-BodyTextCentre"/>
            </w:pPr>
            <w:r>
              <w:t>1 (50.0)</w:t>
            </w:r>
          </w:p>
        </w:tc>
        <w:tc>
          <w:tcPr>
            <w:tcW w:w="1361" w:type="dxa"/>
            <w:shd w:val="clear" w:color="auto" w:fill="F2F2F2" w:themeFill="background1" w:themeFillShade="F2"/>
            <w:tcMar>
              <w:top w:w="99" w:type="dxa"/>
              <w:left w:w="113" w:type="dxa"/>
              <w:bottom w:w="99" w:type="dxa"/>
              <w:right w:w="113" w:type="dxa"/>
            </w:tcMar>
            <w:vAlign w:val="center"/>
          </w:tcPr>
          <w:p w14:paraId="38B652F7" w14:textId="77777777" w:rsidR="00FB4146" w:rsidRDefault="00FB4146" w:rsidP="00FB4146">
            <w:pPr>
              <w:pStyle w:val="CDIFigure-Table-BodyTextCentre"/>
            </w:pPr>
            <w:r>
              <w:t>0 (0.0)</w:t>
            </w:r>
          </w:p>
        </w:tc>
        <w:tc>
          <w:tcPr>
            <w:tcW w:w="1360" w:type="dxa"/>
            <w:shd w:val="clear" w:color="auto" w:fill="F2F2F2" w:themeFill="background1" w:themeFillShade="F2"/>
            <w:tcMar>
              <w:top w:w="99" w:type="dxa"/>
              <w:left w:w="113" w:type="dxa"/>
              <w:bottom w:w="99" w:type="dxa"/>
              <w:right w:w="113" w:type="dxa"/>
            </w:tcMar>
            <w:vAlign w:val="center"/>
          </w:tcPr>
          <w:p w14:paraId="4599AA68" w14:textId="77777777" w:rsidR="00FB4146" w:rsidRDefault="00FB4146" w:rsidP="00FB4146">
            <w:pPr>
              <w:pStyle w:val="CDIFigure-Table-BodyTextCentre"/>
            </w:pPr>
            <w:r>
              <w:t>1 (50.0)</w:t>
            </w:r>
          </w:p>
        </w:tc>
        <w:tc>
          <w:tcPr>
            <w:tcW w:w="1361" w:type="dxa"/>
            <w:shd w:val="clear" w:color="auto" w:fill="F2F2F2" w:themeFill="background1" w:themeFillShade="F2"/>
            <w:tcMar>
              <w:top w:w="99" w:type="dxa"/>
              <w:left w:w="113" w:type="dxa"/>
              <w:bottom w:w="99" w:type="dxa"/>
              <w:right w:w="113" w:type="dxa"/>
            </w:tcMar>
            <w:vAlign w:val="center"/>
          </w:tcPr>
          <w:p w14:paraId="332B3CC9" w14:textId="77777777" w:rsidR="00FB4146" w:rsidRDefault="00FB4146" w:rsidP="00FB4146">
            <w:pPr>
              <w:pStyle w:val="CDIFigure-Table-BodyTextCentre"/>
            </w:pPr>
            <w:r>
              <w:t>0 (0.0)</w:t>
            </w:r>
          </w:p>
        </w:tc>
      </w:tr>
      <w:tr w:rsidR="00FB4146" w14:paraId="3D6BE14C" w14:textId="77777777" w:rsidTr="00917557">
        <w:trPr>
          <w:trHeight w:val="20"/>
        </w:trPr>
        <w:tc>
          <w:tcPr>
            <w:tcW w:w="2835" w:type="dxa"/>
            <w:tcMar>
              <w:top w:w="99" w:type="dxa"/>
              <w:left w:w="113" w:type="dxa"/>
              <w:bottom w:w="99" w:type="dxa"/>
              <w:right w:w="113" w:type="dxa"/>
            </w:tcMar>
            <w:vAlign w:val="center"/>
          </w:tcPr>
          <w:p w14:paraId="35FD876C" w14:textId="77777777" w:rsidR="00FB4146" w:rsidRDefault="00FB4146" w:rsidP="00917557">
            <w:pPr>
              <w:pStyle w:val="CDIFigure-Table-BodyTextLeft"/>
            </w:pPr>
            <w:r>
              <w:t>Cholera</w:t>
            </w:r>
          </w:p>
        </w:tc>
        <w:tc>
          <w:tcPr>
            <w:tcW w:w="1360" w:type="dxa"/>
            <w:tcMar>
              <w:top w:w="99" w:type="dxa"/>
              <w:left w:w="113" w:type="dxa"/>
              <w:bottom w:w="99" w:type="dxa"/>
              <w:right w:w="113" w:type="dxa"/>
            </w:tcMar>
            <w:vAlign w:val="center"/>
          </w:tcPr>
          <w:p w14:paraId="5A4119EB" w14:textId="77777777" w:rsidR="00FB4146" w:rsidRDefault="00FB4146" w:rsidP="00FB4146">
            <w:pPr>
              <w:pStyle w:val="CDIFigure-Table-BodyTextCentre"/>
            </w:pPr>
            <w:r>
              <w:t>1 (0.03)</w:t>
            </w:r>
          </w:p>
        </w:tc>
        <w:tc>
          <w:tcPr>
            <w:tcW w:w="1361" w:type="dxa"/>
            <w:tcMar>
              <w:top w:w="99" w:type="dxa"/>
              <w:left w:w="113" w:type="dxa"/>
              <w:bottom w:w="99" w:type="dxa"/>
              <w:right w:w="113" w:type="dxa"/>
            </w:tcMar>
            <w:vAlign w:val="center"/>
          </w:tcPr>
          <w:p w14:paraId="0E8C247D" w14:textId="77777777" w:rsidR="00FB4146" w:rsidRDefault="00FB4146" w:rsidP="00FB4146">
            <w:pPr>
              <w:pStyle w:val="CDIFigure-Table-BodyTextCentre"/>
            </w:pPr>
            <w:r>
              <w:t>1 (100.0)</w:t>
            </w:r>
          </w:p>
        </w:tc>
        <w:tc>
          <w:tcPr>
            <w:tcW w:w="1361" w:type="dxa"/>
            <w:tcMar>
              <w:top w:w="99" w:type="dxa"/>
              <w:left w:w="113" w:type="dxa"/>
              <w:bottom w:w="99" w:type="dxa"/>
              <w:right w:w="113" w:type="dxa"/>
            </w:tcMar>
            <w:vAlign w:val="center"/>
          </w:tcPr>
          <w:p w14:paraId="31609A44"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620AE7C9" w14:textId="77777777" w:rsidR="00FB4146" w:rsidRDefault="00FB4146" w:rsidP="00FB4146">
            <w:pPr>
              <w:pStyle w:val="CDIFigure-Table-BodyTextCentre"/>
            </w:pPr>
            <w:r>
              <w:t>1 (100.0)</w:t>
            </w:r>
          </w:p>
        </w:tc>
        <w:tc>
          <w:tcPr>
            <w:tcW w:w="1361" w:type="dxa"/>
            <w:tcMar>
              <w:top w:w="99" w:type="dxa"/>
              <w:left w:w="113" w:type="dxa"/>
              <w:bottom w:w="99" w:type="dxa"/>
              <w:right w:w="113" w:type="dxa"/>
            </w:tcMar>
            <w:vAlign w:val="center"/>
          </w:tcPr>
          <w:p w14:paraId="576AF5FD" w14:textId="77777777" w:rsidR="00FB4146" w:rsidRDefault="00FB4146" w:rsidP="00FB4146">
            <w:pPr>
              <w:pStyle w:val="CDIFigure-Table-BodyTextCentre"/>
            </w:pPr>
            <w:r>
              <w:t>0 (0.0)</w:t>
            </w:r>
          </w:p>
        </w:tc>
      </w:tr>
      <w:tr w:rsidR="00FB4146" w14:paraId="09177B8C"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6EAEFA25" w14:textId="77777777" w:rsidR="00FB4146" w:rsidRDefault="00FB4146" w:rsidP="00917557">
            <w:pPr>
              <w:pStyle w:val="CDIFigure-Table-BodyTextLeft"/>
            </w:pPr>
            <w:proofErr w:type="spellStart"/>
            <w:r>
              <w:t>DTPa</w:t>
            </w:r>
            <w:proofErr w:type="spellEnd"/>
            <w:r>
              <w:t>-</w:t>
            </w:r>
            <w:proofErr w:type="spellStart"/>
            <w:r>
              <w:t>HepB</w:t>
            </w:r>
            <w:proofErr w:type="spellEnd"/>
            <w:r>
              <w:t>-IPV-Hib (</w:t>
            </w:r>
            <w:proofErr w:type="spellStart"/>
            <w:r>
              <w:t>Hexaxim</w:t>
            </w:r>
            <w:proofErr w:type="spellEnd"/>
            <w:r>
              <w:t>)</w:t>
            </w:r>
          </w:p>
        </w:tc>
        <w:tc>
          <w:tcPr>
            <w:tcW w:w="1360" w:type="dxa"/>
            <w:shd w:val="clear" w:color="auto" w:fill="F2F2F2" w:themeFill="background1" w:themeFillShade="F2"/>
            <w:tcMar>
              <w:top w:w="99" w:type="dxa"/>
              <w:left w:w="113" w:type="dxa"/>
              <w:bottom w:w="99" w:type="dxa"/>
              <w:right w:w="113" w:type="dxa"/>
            </w:tcMar>
            <w:vAlign w:val="center"/>
          </w:tcPr>
          <w:p w14:paraId="49BF5FF7" w14:textId="77777777" w:rsidR="00FB4146" w:rsidRDefault="00FB4146" w:rsidP="00FB4146">
            <w:pPr>
              <w:pStyle w:val="CDIFigure-Table-BodyTextCentre"/>
            </w:pPr>
            <w:r>
              <w:t>1 (0.03)</w:t>
            </w:r>
          </w:p>
        </w:tc>
        <w:tc>
          <w:tcPr>
            <w:tcW w:w="1361" w:type="dxa"/>
            <w:shd w:val="clear" w:color="auto" w:fill="F2F2F2" w:themeFill="background1" w:themeFillShade="F2"/>
            <w:tcMar>
              <w:top w:w="99" w:type="dxa"/>
              <w:left w:w="113" w:type="dxa"/>
              <w:bottom w:w="99" w:type="dxa"/>
              <w:right w:w="113" w:type="dxa"/>
            </w:tcMar>
            <w:vAlign w:val="center"/>
          </w:tcPr>
          <w:p w14:paraId="4DD170C1"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76DF76C6" w14:textId="77777777" w:rsidR="00FB4146" w:rsidRDefault="00FB4146" w:rsidP="00FB4146">
            <w:pPr>
              <w:pStyle w:val="CDIFigure-Table-BodyTextCentre"/>
            </w:pPr>
            <w:r>
              <w:t>1 (100.0)</w:t>
            </w:r>
          </w:p>
        </w:tc>
        <w:tc>
          <w:tcPr>
            <w:tcW w:w="1360" w:type="dxa"/>
            <w:shd w:val="clear" w:color="auto" w:fill="F2F2F2" w:themeFill="background1" w:themeFillShade="F2"/>
            <w:tcMar>
              <w:top w:w="99" w:type="dxa"/>
              <w:left w:w="113" w:type="dxa"/>
              <w:bottom w:w="99" w:type="dxa"/>
              <w:right w:w="113" w:type="dxa"/>
            </w:tcMar>
            <w:vAlign w:val="center"/>
          </w:tcPr>
          <w:p w14:paraId="75DC81E3"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276FDA53" w14:textId="77777777" w:rsidR="00FB4146" w:rsidRDefault="00FB4146" w:rsidP="00FB4146">
            <w:pPr>
              <w:pStyle w:val="CDIFigure-Table-BodyTextCentre"/>
            </w:pPr>
            <w:r>
              <w:t>1 (100.0)</w:t>
            </w:r>
          </w:p>
        </w:tc>
      </w:tr>
      <w:tr w:rsidR="00FB4146" w14:paraId="42C2ADB4" w14:textId="77777777" w:rsidTr="00917557">
        <w:trPr>
          <w:trHeight w:val="20"/>
        </w:trPr>
        <w:tc>
          <w:tcPr>
            <w:tcW w:w="2835" w:type="dxa"/>
            <w:tcMar>
              <w:top w:w="99" w:type="dxa"/>
              <w:left w:w="113" w:type="dxa"/>
              <w:bottom w:w="99" w:type="dxa"/>
              <w:right w:w="113" w:type="dxa"/>
            </w:tcMar>
            <w:vAlign w:val="center"/>
          </w:tcPr>
          <w:p w14:paraId="64EB51B8" w14:textId="77777777" w:rsidR="00FB4146" w:rsidRDefault="00FB4146" w:rsidP="00917557">
            <w:pPr>
              <w:pStyle w:val="CDIFigure-Table-BodyTextLeft"/>
            </w:pPr>
            <w:r>
              <w:t>Hib and MenC</w:t>
            </w:r>
          </w:p>
        </w:tc>
        <w:tc>
          <w:tcPr>
            <w:tcW w:w="1360" w:type="dxa"/>
            <w:tcMar>
              <w:top w:w="99" w:type="dxa"/>
              <w:left w:w="113" w:type="dxa"/>
              <w:bottom w:w="99" w:type="dxa"/>
              <w:right w:w="113" w:type="dxa"/>
            </w:tcMar>
            <w:vAlign w:val="center"/>
          </w:tcPr>
          <w:p w14:paraId="32AAF1F6" w14:textId="77777777" w:rsidR="00FB4146" w:rsidRDefault="00FB4146" w:rsidP="00FB4146">
            <w:pPr>
              <w:pStyle w:val="CDIFigure-Table-BodyTextCentre"/>
            </w:pPr>
            <w:r>
              <w:t>1 (0.03)</w:t>
            </w:r>
          </w:p>
        </w:tc>
        <w:tc>
          <w:tcPr>
            <w:tcW w:w="1361" w:type="dxa"/>
            <w:tcMar>
              <w:top w:w="99" w:type="dxa"/>
              <w:left w:w="113" w:type="dxa"/>
              <w:bottom w:w="99" w:type="dxa"/>
              <w:right w:w="113" w:type="dxa"/>
            </w:tcMar>
            <w:vAlign w:val="center"/>
          </w:tcPr>
          <w:p w14:paraId="63113658" w14:textId="77777777" w:rsidR="00FB4146" w:rsidRDefault="00FB4146" w:rsidP="00FB4146">
            <w:pPr>
              <w:pStyle w:val="CDIFigure-Table-BodyTextCentre"/>
            </w:pPr>
            <w:r>
              <w:t>0 (0.0)</w:t>
            </w:r>
          </w:p>
        </w:tc>
        <w:tc>
          <w:tcPr>
            <w:tcW w:w="1361" w:type="dxa"/>
            <w:tcMar>
              <w:top w:w="99" w:type="dxa"/>
              <w:left w:w="113" w:type="dxa"/>
              <w:bottom w:w="99" w:type="dxa"/>
              <w:right w:w="113" w:type="dxa"/>
            </w:tcMar>
            <w:vAlign w:val="center"/>
          </w:tcPr>
          <w:p w14:paraId="265EAEDA" w14:textId="77777777" w:rsidR="00FB4146" w:rsidRDefault="00FB4146" w:rsidP="00FB4146">
            <w:pPr>
              <w:pStyle w:val="CDIFigure-Table-BodyTextCentre"/>
            </w:pPr>
            <w:r>
              <w:t>1 (100.0)</w:t>
            </w:r>
          </w:p>
        </w:tc>
        <w:tc>
          <w:tcPr>
            <w:tcW w:w="1360" w:type="dxa"/>
            <w:tcMar>
              <w:top w:w="99" w:type="dxa"/>
              <w:left w:w="113" w:type="dxa"/>
              <w:bottom w:w="99" w:type="dxa"/>
              <w:right w:w="113" w:type="dxa"/>
            </w:tcMar>
            <w:vAlign w:val="center"/>
          </w:tcPr>
          <w:p w14:paraId="1966B5B8" w14:textId="77777777" w:rsidR="00FB4146" w:rsidRDefault="00FB4146" w:rsidP="00FB4146">
            <w:pPr>
              <w:pStyle w:val="CDIFigure-Table-BodyTextCentre"/>
            </w:pPr>
            <w:r>
              <w:t>0 (0.0)</w:t>
            </w:r>
          </w:p>
        </w:tc>
        <w:tc>
          <w:tcPr>
            <w:tcW w:w="1361" w:type="dxa"/>
            <w:tcMar>
              <w:top w:w="99" w:type="dxa"/>
              <w:left w:w="113" w:type="dxa"/>
              <w:bottom w:w="99" w:type="dxa"/>
              <w:right w:w="113" w:type="dxa"/>
            </w:tcMar>
            <w:vAlign w:val="center"/>
          </w:tcPr>
          <w:p w14:paraId="14560320" w14:textId="77777777" w:rsidR="00FB4146" w:rsidRDefault="00FB4146" w:rsidP="00FB4146">
            <w:pPr>
              <w:pStyle w:val="CDIFigure-Table-BodyTextCentre"/>
            </w:pPr>
            <w:r>
              <w:t>1 (100.0)</w:t>
            </w:r>
          </w:p>
        </w:tc>
      </w:tr>
      <w:tr w:rsidR="00FB4146" w14:paraId="73824A50"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418EAC61" w14:textId="77777777" w:rsidR="00FB4146" w:rsidRDefault="00FB4146" w:rsidP="00917557">
            <w:pPr>
              <w:pStyle w:val="CDIFigure-Table-BodyTextLeft"/>
            </w:pPr>
            <w:r>
              <w:t>Hib and tetanus</w:t>
            </w:r>
          </w:p>
        </w:tc>
        <w:tc>
          <w:tcPr>
            <w:tcW w:w="1360" w:type="dxa"/>
            <w:shd w:val="clear" w:color="auto" w:fill="F2F2F2" w:themeFill="background1" w:themeFillShade="F2"/>
            <w:tcMar>
              <w:top w:w="99" w:type="dxa"/>
              <w:left w:w="113" w:type="dxa"/>
              <w:bottom w:w="99" w:type="dxa"/>
              <w:right w:w="113" w:type="dxa"/>
            </w:tcMar>
            <w:vAlign w:val="center"/>
          </w:tcPr>
          <w:p w14:paraId="1977E4D9" w14:textId="77777777" w:rsidR="00FB4146" w:rsidRDefault="00FB4146" w:rsidP="00FB4146">
            <w:pPr>
              <w:pStyle w:val="CDIFigure-Table-BodyTextCentre"/>
            </w:pPr>
            <w:r>
              <w:t>1 (0.03)</w:t>
            </w:r>
          </w:p>
        </w:tc>
        <w:tc>
          <w:tcPr>
            <w:tcW w:w="1361" w:type="dxa"/>
            <w:shd w:val="clear" w:color="auto" w:fill="F2F2F2" w:themeFill="background1" w:themeFillShade="F2"/>
            <w:tcMar>
              <w:top w:w="99" w:type="dxa"/>
              <w:left w:w="113" w:type="dxa"/>
              <w:bottom w:w="99" w:type="dxa"/>
              <w:right w:w="113" w:type="dxa"/>
            </w:tcMar>
            <w:vAlign w:val="center"/>
          </w:tcPr>
          <w:p w14:paraId="279329FB"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53BE5128" w14:textId="77777777" w:rsidR="00FB4146" w:rsidRDefault="00FB4146" w:rsidP="00FB4146">
            <w:pPr>
              <w:pStyle w:val="CDIFigure-Table-BodyTextCentre"/>
            </w:pPr>
            <w:r>
              <w:t>1 (100.0)</w:t>
            </w:r>
          </w:p>
        </w:tc>
        <w:tc>
          <w:tcPr>
            <w:tcW w:w="1360" w:type="dxa"/>
            <w:shd w:val="clear" w:color="auto" w:fill="F2F2F2" w:themeFill="background1" w:themeFillShade="F2"/>
            <w:tcMar>
              <w:top w:w="99" w:type="dxa"/>
              <w:left w:w="113" w:type="dxa"/>
              <w:bottom w:w="99" w:type="dxa"/>
              <w:right w:w="113" w:type="dxa"/>
            </w:tcMar>
            <w:vAlign w:val="center"/>
          </w:tcPr>
          <w:p w14:paraId="473C569B"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70D34170" w14:textId="77777777" w:rsidR="00FB4146" w:rsidRDefault="00FB4146" w:rsidP="00FB4146">
            <w:pPr>
              <w:pStyle w:val="CDIFigure-Table-BodyTextCentre"/>
            </w:pPr>
            <w:r>
              <w:t>0 (0.0)</w:t>
            </w:r>
          </w:p>
        </w:tc>
      </w:tr>
      <w:tr w:rsidR="00FB4146" w14:paraId="64065477" w14:textId="77777777" w:rsidTr="00917557">
        <w:trPr>
          <w:trHeight w:val="20"/>
        </w:trPr>
        <w:tc>
          <w:tcPr>
            <w:tcW w:w="2835" w:type="dxa"/>
            <w:tcMar>
              <w:top w:w="99" w:type="dxa"/>
              <w:left w:w="113" w:type="dxa"/>
              <w:bottom w:w="99" w:type="dxa"/>
              <w:right w:w="113" w:type="dxa"/>
            </w:tcMar>
            <w:vAlign w:val="center"/>
          </w:tcPr>
          <w:p w14:paraId="6869DD2A" w14:textId="77777777" w:rsidR="00FB4146" w:rsidRDefault="00FB4146" w:rsidP="00917557">
            <w:pPr>
              <w:pStyle w:val="CDIFigure-Table-BodyTextLeft"/>
            </w:pPr>
            <w:r>
              <w:t>Japanese encephalitis</w:t>
            </w:r>
          </w:p>
        </w:tc>
        <w:tc>
          <w:tcPr>
            <w:tcW w:w="1360" w:type="dxa"/>
            <w:tcMar>
              <w:top w:w="99" w:type="dxa"/>
              <w:left w:w="113" w:type="dxa"/>
              <w:bottom w:w="99" w:type="dxa"/>
              <w:right w:w="113" w:type="dxa"/>
            </w:tcMar>
            <w:vAlign w:val="center"/>
          </w:tcPr>
          <w:p w14:paraId="40568912" w14:textId="77777777" w:rsidR="00FB4146" w:rsidRDefault="00FB4146" w:rsidP="00FB4146">
            <w:pPr>
              <w:pStyle w:val="CDIFigure-Table-BodyTextCentre"/>
            </w:pPr>
            <w:r>
              <w:t>1 (0.03)</w:t>
            </w:r>
          </w:p>
        </w:tc>
        <w:tc>
          <w:tcPr>
            <w:tcW w:w="1361" w:type="dxa"/>
            <w:tcMar>
              <w:top w:w="99" w:type="dxa"/>
              <w:left w:w="113" w:type="dxa"/>
              <w:bottom w:w="99" w:type="dxa"/>
              <w:right w:w="113" w:type="dxa"/>
            </w:tcMar>
            <w:vAlign w:val="center"/>
          </w:tcPr>
          <w:p w14:paraId="52D55832" w14:textId="77777777" w:rsidR="00FB4146" w:rsidRDefault="00FB4146" w:rsidP="00FB4146">
            <w:pPr>
              <w:pStyle w:val="CDIFigure-Table-BodyTextCentre"/>
            </w:pPr>
            <w:r>
              <w:t>1 (100.0)</w:t>
            </w:r>
          </w:p>
        </w:tc>
        <w:tc>
          <w:tcPr>
            <w:tcW w:w="1361" w:type="dxa"/>
            <w:tcMar>
              <w:top w:w="99" w:type="dxa"/>
              <w:left w:w="113" w:type="dxa"/>
              <w:bottom w:w="99" w:type="dxa"/>
              <w:right w:w="113" w:type="dxa"/>
            </w:tcMar>
            <w:vAlign w:val="center"/>
          </w:tcPr>
          <w:p w14:paraId="5DA55C24" w14:textId="77777777" w:rsidR="00FB4146" w:rsidRDefault="00FB4146" w:rsidP="00FB4146">
            <w:pPr>
              <w:pStyle w:val="CDIFigure-Table-BodyTextCentre"/>
            </w:pPr>
            <w:r>
              <w:t>0 (0.0)</w:t>
            </w:r>
          </w:p>
        </w:tc>
        <w:tc>
          <w:tcPr>
            <w:tcW w:w="1360" w:type="dxa"/>
            <w:tcMar>
              <w:top w:w="99" w:type="dxa"/>
              <w:left w:w="113" w:type="dxa"/>
              <w:bottom w:w="99" w:type="dxa"/>
              <w:right w:w="113" w:type="dxa"/>
            </w:tcMar>
            <w:vAlign w:val="center"/>
          </w:tcPr>
          <w:p w14:paraId="2BCCB316" w14:textId="77777777" w:rsidR="00FB4146" w:rsidRDefault="00FB4146" w:rsidP="00FB4146">
            <w:pPr>
              <w:pStyle w:val="CDIFigure-Table-BodyTextCentre"/>
            </w:pPr>
            <w:r>
              <w:t>1 (100.0)</w:t>
            </w:r>
          </w:p>
        </w:tc>
        <w:tc>
          <w:tcPr>
            <w:tcW w:w="1361" w:type="dxa"/>
            <w:tcMar>
              <w:top w:w="99" w:type="dxa"/>
              <w:left w:w="113" w:type="dxa"/>
              <w:bottom w:w="99" w:type="dxa"/>
              <w:right w:w="113" w:type="dxa"/>
            </w:tcMar>
            <w:vAlign w:val="center"/>
          </w:tcPr>
          <w:p w14:paraId="66FF1CF2" w14:textId="77777777" w:rsidR="00FB4146" w:rsidRDefault="00FB4146" w:rsidP="00FB4146">
            <w:pPr>
              <w:pStyle w:val="CDIFigure-Table-BodyTextCentre"/>
            </w:pPr>
            <w:r>
              <w:t>0 (0.0)</w:t>
            </w:r>
          </w:p>
        </w:tc>
      </w:tr>
      <w:tr w:rsidR="00FB4146" w14:paraId="3678613E" w14:textId="77777777" w:rsidTr="00917557">
        <w:trPr>
          <w:trHeight w:val="20"/>
        </w:trPr>
        <w:tc>
          <w:tcPr>
            <w:tcW w:w="2835" w:type="dxa"/>
            <w:shd w:val="clear" w:color="auto" w:fill="F2F2F2" w:themeFill="background1" w:themeFillShade="F2"/>
            <w:tcMar>
              <w:top w:w="99" w:type="dxa"/>
              <w:left w:w="113" w:type="dxa"/>
              <w:bottom w:w="99" w:type="dxa"/>
              <w:right w:w="113" w:type="dxa"/>
            </w:tcMar>
            <w:vAlign w:val="center"/>
          </w:tcPr>
          <w:p w14:paraId="61E3504A" w14:textId="77777777" w:rsidR="00FB4146" w:rsidRDefault="00FB4146" w:rsidP="00917557">
            <w:pPr>
              <w:pStyle w:val="CDIFigure-Table-BodyTextLeft"/>
            </w:pPr>
            <w:r>
              <w:t>Measles and mumps</w:t>
            </w:r>
          </w:p>
        </w:tc>
        <w:tc>
          <w:tcPr>
            <w:tcW w:w="1360" w:type="dxa"/>
            <w:shd w:val="clear" w:color="auto" w:fill="F2F2F2" w:themeFill="background1" w:themeFillShade="F2"/>
            <w:tcMar>
              <w:top w:w="99" w:type="dxa"/>
              <w:left w:w="113" w:type="dxa"/>
              <w:bottom w:w="99" w:type="dxa"/>
              <w:right w:w="113" w:type="dxa"/>
            </w:tcMar>
            <w:vAlign w:val="center"/>
          </w:tcPr>
          <w:p w14:paraId="688C18C6" w14:textId="77777777" w:rsidR="00FB4146" w:rsidRDefault="00FB4146" w:rsidP="00FB4146">
            <w:pPr>
              <w:pStyle w:val="CDIFigure-Table-BodyTextCentre"/>
            </w:pPr>
            <w:r>
              <w:t>1 (0.03)</w:t>
            </w:r>
          </w:p>
        </w:tc>
        <w:tc>
          <w:tcPr>
            <w:tcW w:w="1361" w:type="dxa"/>
            <w:shd w:val="clear" w:color="auto" w:fill="F2F2F2" w:themeFill="background1" w:themeFillShade="F2"/>
            <w:tcMar>
              <w:top w:w="99" w:type="dxa"/>
              <w:left w:w="113" w:type="dxa"/>
              <w:bottom w:w="99" w:type="dxa"/>
              <w:right w:w="113" w:type="dxa"/>
            </w:tcMar>
            <w:vAlign w:val="center"/>
          </w:tcPr>
          <w:p w14:paraId="619F415D"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359B7A08" w14:textId="77777777" w:rsidR="00FB4146" w:rsidRDefault="00FB4146" w:rsidP="00FB4146">
            <w:pPr>
              <w:pStyle w:val="CDIFigure-Table-BodyTextCentre"/>
            </w:pPr>
            <w:r>
              <w:t>1 (100.0)</w:t>
            </w:r>
          </w:p>
        </w:tc>
        <w:tc>
          <w:tcPr>
            <w:tcW w:w="1360" w:type="dxa"/>
            <w:shd w:val="clear" w:color="auto" w:fill="F2F2F2" w:themeFill="background1" w:themeFillShade="F2"/>
            <w:tcMar>
              <w:top w:w="99" w:type="dxa"/>
              <w:left w:w="113" w:type="dxa"/>
              <w:bottom w:w="99" w:type="dxa"/>
              <w:right w:w="113" w:type="dxa"/>
            </w:tcMar>
            <w:vAlign w:val="center"/>
          </w:tcPr>
          <w:p w14:paraId="28A5584E" w14:textId="77777777" w:rsidR="00FB4146" w:rsidRDefault="00FB4146" w:rsidP="00FB4146">
            <w:pPr>
              <w:pStyle w:val="CDIFigure-Table-BodyTextCentre"/>
            </w:pPr>
            <w:r>
              <w:t>0 (0.0)</w:t>
            </w:r>
          </w:p>
        </w:tc>
        <w:tc>
          <w:tcPr>
            <w:tcW w:w="1361" w:type="dxa"/>
            <w:shd w:val="clear" w:color="auto" w:fill="F2F2F2" w:themeFill="background1" w:themeFillShade="F2"/>
            <w:tcMar>
              <w:top w:w="99" w:type="dxa"/>
              <w:left w:w="113" w:type="dxa"/>
              <w:bottom w:w="99" w:type="dxa"/>
              <w:right w:w="113" w:type="dxa"/>
            </w:tcMar>
            <w:vAlign w:val="center"/>
          </w:tcPr>
          <w:p w14:paraId="6A39622E" w14:textId="77777777" w:rsidR="00FB4146" w:rsidRDefault="00FB4146" w:rsidP="00FB4146">
            <w:pPr>
              <w:pStyle w:val="CDIFigure-Table-BodyTextCentre"/>
            </w:pPr>
            <w:r>
              <w:t>0 (0.0)</w:t>
            </w:r>
          </w:p>
        </w:tc>
      </w:tr>
      <w:tr w:rsidR="00FB4146" w14:paraId="572FC759" w14:textId="77777777" w:rsidTr="00917557">
        <w:trPr>
          <w:trHeight w:val="20"/>
        </w:trPr>
        <w:tc>
          <w:tcPr>
            <w:tcW w:w="2835" w:type="dxa"/>
            <w:tcBorders>
              <w:bottom w:val="single" w:sz="4" w:space="0" w:color="033636" w:themeColor="text2"/>
            </w:tcBorders>
            <w:tcMar>
              <w:top w:w="99" w:type="dxa"/>
              <w:left w:w="113" w:type="dxa"/>
              <w:bottom w:w="99" w:type="dxa"/>
              <w:right w:w="113" w:type="dxa"/>
            </w:tcMar>
            <w:vAlign w:val="center"/>
          </w:tcPr>
          <w:p w14:paraId="43375BE5" w14:textId="77777777" w:rsidR="00FB4146" w:rsidRDefault="00FB4146" w:rsidP="00917557">
            <w:pPr>
              <w:pStyle w:val="CDIFigure-Table-BodyTextLeft"/>
            </w:pPr>
            <w:r>
              <w:t>Tick-borne encephalitis</w:t>
            </w:r>
          </w:p>
        </w:tc>
        <w:tc>
          <w:tcPr>
            <w:tcW w:w="1360" w:type="dxa"/>
            <w:tcBorders>
              <w:bottom w:val="single" w:sz="4" w:space="0" w:color="033636" w:themeColor="text2"/>
            </w:tcBorders>
            <w:tcMar>
              <w:top w:w="99" w:type="dxa"/>
              <w:left w:w="113" w:type="dxa"/>
              <w:bottom w:w="99" w:type="dxa"/>
              <w:right w:w="113" w:type="dxa"/>
            </w:tcMar>
            <w:vAlign w:val="center"/>
          </w:tcPr>
          <w:p w14:paraId="3DCD27E6" w14:textId="77777777" w:rsidR="00FB4146" w:rsidRDefault="00FB4146" w:rsidP="00FB4146">
            <w:pPr>
              <w:pStyle w:val="CDIFigure-Table-BodyTextCentre"/>
            </w:pPr>
            <w:r>
              <w:t>1 (0.03)</w:t>
            </w:r>
          </w:p>
        </w:tc>
        <w:tc>
          <w:tcPr>
            <w:tcW w:w="1361" w:type="dxa"/>
            <w:tcBorders>
              <w:bottom w:val="single" w:sz="4" w:space="0" w:color="033636" w:themeColor="text2"/>
            </w:tcBorders>
            <w:tcMar>
              <w:top w:w="99" w:type="dxa"/>
              <w:left w:w="113" w:type="dxa"/>
              <w:bottom w:w="99" w:type="dxa"/>
              <w:right w:w="113" w:type="dxa"/>
            </w:tcMar>
            <w:vAlign w:val="center"/>
          </w:tcPr>
          <w:p w14:paraId="028075E1" w14:textId="77777777" w:rsidR="00FB4146" w:rsidRDefault="00FB4146" w:rsidP="00FB4146">
            <w:pPr>
              <w:pStyle w:val="CDIFigure-Table-BodyTextCentre"/>
            </w:pPr>
            <w:r>
              <w:t>1 (100.0)</w:t>
            </w:r>
          </w:p>
        </w:tc>
        <w:tc>
          <w:tcPr>
            <w:tcW w:w="1361" w:type="dxa"/>
            <w:tcBorders>
              <w:bottom w:val="single" w:sz="4" w:space="0" w:color="033636" w:themeColor="text2"/>
            </w:tcBorders>
            <w:tcMar>
              <w:top w:w="99" w:type="dxa"/>
              <w:left w:w="113" w:type="dxa"/>
              <w:bottom w:w="99" w:type="dxa"/>
              <w:right w:w="113" w:type="dxa"/>
            </w:tcMar>
            <w:vAlign w:val="center"/>
          </w:tcPr>
          <w:p w14:paraId="1536EB9E" w14:textId="77777777" w:rsidR="00FB4146" w:rsidRDefault="00FB4146" w:rsidP="00FB4146">
            <w:pPr>
              <w:pStyle w:val="CDIFigure-Table-BodyTextCentre"/>
            </w:pPr>
            <w:r>
              <w:t>0 (0.0)</w:t>
            </w:r>
          </w:p>
        </w:tc>
        <w:tc>
          <w:tcPr>
            <w:tcW w:w="1360" w:type="dxa"/>
            <w:tcBorders>
              <w:bottom w:val="single" w:sz="4" w:space="0" w:color="033636" w:themeColor="text2"/>
            </w:tcBorders>
            <w:tcMar>
              <w:top w:w="99" w:type="dxa"/>
              <w:left w:w="113" w:type="dxa"/>
              <w:bottom w:w="99" w:type="dxa"/>
              <w:right w:w="113" w:type="dxa"/>
            </w:tcMar>
            <w:vAlign w:val="center"/>
          </w:tcPr>
          <w:p w14:paraId="76F9CCB0" w14:textId="77777777" w:rsidR="00FB4146" w:rsidRDefault="00FB4146" w:rsidP="00FB4146">
            <w:pPr>
              <w:pStyle w:val="CDIFigure-Table-BodyTextCentre"/>
            </w:pPr>
            <w:r>
              <w:t>1 (100.0)</w:t>
            </w:r>
          </w:p>
        </w:tc>
        <w:tc>
          <w:tcPr>
            <w:tcW w:w="1361" w:type="dxa"/>
            <w:tcBorders>
              <w:bottom w:val="single" w:sz="4" w:space="0" w:color="033636" w:themeColor="text2"/>
            </w:tcBorders>
            <w:tcMar>
              <w:top w:w="99" w:type="dxa"/>
              <w:left w:w="113" w:type="dxa"/>
              <w:bottom w:w="99" w:type="dxa"/>
              <w:right w:w="113" w:type="dxa"/>
            </w:tcMar>
            <w:vAlign w:val="center"/>
          </w:tcPr>
          <w:p w14:paraId="682E66EF" w14:textId="77777777" w:rsidR="00FB4146" w:rsidRDefault="00FB4146" w:rsidP="00FB4146">
            <w:pPr>
              <w:pStyle w:val="CDIFigure-Table-BodyTextCentre"/>
            </w:pPr>
            <w:r>
              <w:t>0 (0.0)</w:t>
            </w:r>
          </w:p>
        </w:tc>
      </w:tr>
    </w:tbl>
    <w:p w14:paraId="21042188" w14:textId="77777777" w:rsidR="00952313" w:rsidRDefault="00952313" w:rsidP="00952313">
      <w:pPr>
        <w:pStyle w:val="CDIFigure-Table-FirstFootnote"/>
      </w:pPr>
      <w:r>
        <w:t>a</w:t>
      </w:r>
      <w:r>
        <w:tab/>
        <w:t>See Appendix A, Table A.3 for abbreviations used.</w:t>
      </w:r>
    </w:p>
    <w:p w14:paraId="368725AA" w14:textId="77777777" w:rsidR="00952313" w:rsidRDefault="00952313" w:rsidP="00952313">
      <w:pPr>
        <w:pStyle w:val="CDIFigure-Table-Footnote"/>
      </w:pPr>
      <w:r>
        <w:t>b</w:t>
      </w:r>
      <w:r>
        <w:tab/>
        <w:t>Number of AEFI reports in which the vaccine was coded as ‘suspected’ of causal involvement in the reported adverse event and the vaccination was administered between 1 January and 31 December 2021. More than one vaccine may be coded as ‘suspected’ if several were administered or reported at the same time.</w:t>
      </w:r>
    </w:p>
    <w:p w14:paraId="79BCBAA1" w14:textId="77777777" w:rsidR="00952313" w:rsidRDefault="00952313" w:rsidP="00952313">
      <w:pPr>
        <w:pStyle w:val="CDIFigure-Table-Footnote"/>
      </w:pPr>
      <w:r>
        <w:t>c</w:t>
      </w:r>
      <w:r>
        <w:tab/>
        <w:t>AEFI reports where only one vaccine was suspected of causal involvement in a reported adverse event.</w:t>
      </w:r>
    </w:p>
    <w:p w14:paraId="5850A474" w14:textId="77777777" w:rsidR="00952313" w:rsidRDefault="00952313" w:rsidP="00952313">
      <w:pPr>
        <w:pStyle w:val="CDIFigure-Table-Footnote"/>
      </w:pPr>
      <w:r>
        <w:t>d</w:t>
      </w:r>
      <w:r>
        <w:tab/>
        <w:t>Percentages are calculated for the number of AEFI reports where the vaccine was suspected of causal involvement in the event.</w:t>
      </w:r>
    </w:p>
    <w:p w14:paraId="28C1DA9F" w14:textId="77777777" w:rsidR="00952313" w:rsidRDefault="00952313" w:rsidP="00952313">
      <w:pPr>
        <w:pStyle w:val="CDIFigure-Table-Footnote"/>
      </w:pPr>
      <w:r>
        <w:t>e</w:t>
      </w:r>
      <w:r>
        <w:tab/>
        <w:t>Includes only AEFI reports where an age or date of birth has been reported.</w:t>
      </w:r>
    </w:p>
    <w:p w14:paraId="2D023925" w14:textId="2FECCF7E" w:rsidR="00952313" w:rsidRDefault="00952313" w:rsidP="00952313">
      <w:pPr>
        <w:pStyle w:val="CDIFigure-Table-Footnote"/>
      </w:pPr>
      <w:r>
        <w:t>f</w:t>
      </w:r>
      <w:r>
        <w:tab/>
      </w:r>
      <w:proofErr w:type="gramStart"/>
      <w:r>
        <w:t>An</w:t>
      </w:r>
      <w:proofErr w:type="gramEnd"/>
      <w:r>
        <w:t xml:space="preserve">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w:t>
      </w:r>
    </w:p>
    <w:p w14:paraId="291B4CE6" w14:textId="26490574" w:rsidR="002F1A19" w:rsidRDefault="00952313" w:rsidP="00952313">
      <w:pPr>
        <w:pStyle w:val="Heading2"/>
      </w:pPr>
      <w:r>
        <w:t>Adverse events</w:t>
      </w:r>
    </w:p>
    <w:p w14:paraId="1CD808DD" w14:textId="77777777" w:rsidR="00952313" w:rsidRPr="00952313" w:rsidRDefault="00952313" w:rsidP="00952313">
      <w:pPr>
        <w:rPr>
          <w:lang w:val="en-GB"/>
        </w:rPr>
      </w:pPr>
      <w:r w:rsidRPr="00952313">
        <w:rPr>
          <w:lang w:val="en-GB"/>
        </w:rPr>
        <w:t>The most frequently reported PT or SMQ in 2021 were injection site reactions (904 reports; 26.2%), hypersensitivity (676 reports; 19.6%), pyrexia (490 reports; 14.2%), gastrointestinal non-specific symptoms and therapeutic procedures (472 reports; 13.7%) and medication (vaccination) errors (390 reports; 11.3%) (Table 4).</w:t>
      </w:r>
    </w:p>
    <w:p w14:paraId="436E485D" w14:textId="4EB592F1" w:rsidR="00952313" w:rsidRDefault="00FB4146" w:rsidP="00952313">
      <w:pPr>
        <w:pStyle w:val="CDIFigure-Table-Title"/>
      </w:pPr>
      <w:r w:rsidRPr="00FB4146">
        <w:t>Table 4: The 50 most frequently reported adverse events classified by MedDRA Preferred Terms (PT) or Standardised MedDRA queries (SMQ) in reports of adverse events following immunisation in the Adverse Event Management System database in 2021 (excluding COVID-19 vaccines)</w:t>
      </w:r>
    </w:p>
    <w:tbl>
      <w:tblPr>
        <w:tblW w:w="9751" w:type="dxa"/>
        <w:tblInd w:w="-8" w:type="dxa"/>
        <w:tblLayout w:type="fixed"/>
        <w:tblCellMar>
          <w:left w:w="0" w:type="dxa"/>
          <w:right w:w="0" w:type="dxa"/>
        </w:tblCellMar>
        <w:tblLook w:val="0000" w:firstRow="0" w:lastRow="0" w:firstColumn="0" w:lastColumn="0" w:noHBand="0" w:noVBand="0"/>
        <w:tblCaption w:val="Table 4: The 50 most frequently reported adverse events classified by MedDRA Preferred Terms (PT) or Standardised MedDRA queries (SMQ) in reports of adverse events following immunisation in the Adverse Event Management System database in 2021 (excluding COVID-19 vaccines)"/>
        <w:tblDescription w:val="Table 4 shows selected reported adverse events and reactions of interest classified by MedDRA Preferred Terms in 2021."/>
      </w:tblPr>
      <w:tblGrid>
        <w:gridCol w:w="3515"/>
        <w:gridCol w:w="1247"/>
        <w:gridCol w:w="1247"/>
        <w:gridCol w:w="1247"/>
        <w:gridCol w:w="1248"/>
        <w:gridCol w:w="1247"/>
      </w:tblGrid>
      <w:tr w:rsidR="00FB4146" w14:paraId="64E16EC9" w14:textId="77777777" w:rsidTr="00917557">
        <w:trPr>
          <w:trHeight w:val="20"/>
          <w:tblHeader/>
        </w:trPr>
        <w:tc>
          <w:tcPr>
            <w:tcW w:w="3515" w:type="dxa"/>
            <w:shd w:val="clear" w:color="auto" w:fill="033636" w:themeFill="text2"/>
            <w:tcMar>
              <w:top w:w="113" w:type="dxa"/>
              <w:left w:w="113" w:type="dxa"/>
              <w:bottom w:w="113" w:type="dxa"/>
              <w:right w:w="113" w:type="dxa"/>
            </w:tcMar>
            <w:vAlign w:val="bottom"/>
          </w:tcPr>
          <w:p w14:paraId="1A84D943" w14:textId="77777777" w:rsidR="00FB4146" w:rsidRDefault="00FB4146" w:rsidP="00FB4146">
            <w:pPr>
              <w:pStyle w:val="CDIFigure-Table-H1Left"/>
            </w:pPr>
            <w:r>
              <w:t>PT or SMQ</w:t>
            </w:r>
          </w:p>
        </w:tc>
        <w:tc>
          <w:tcPr>
            <w:tcW w:w="1247" w:type="dxa"/>
            <w:shd w:val="clear" w:color="auto" w:fill="033636" w:themeFill="text2"/>
            <w:tcMar>
              <w:top w:w="113" w:type="dxa"/>
              <w:left w:w="113" w:type="dxa"/>
              <w:bottom w:w="113" w:type="dxa"/>
              <w:right w:w="113" w:type="dxa"/>
            </w:tcMar>
            <w:vAlign w:val="bottom"/>
          </w:tcPr>
          <w:p w14:paraId="758FA9F7" w14:textId="77777777" w:rsidR="00FB4146" w:rsidRDefault="00FB4146" w:rsidP="00FB4146">
            <w:pPr>
              <w:pStyle w:val="CDIFigure-Table-H1"/>
            </w:pPr>
            <w:r>
              <w:t>AEFI reports</w:t>
            </w:r>
            <w:r>
              <w:br/>
              <w:t>n (</w:t>
            </w:r>
            <w:proofErr w:type="gramStart"/>
            <w:r>
              <w:t>%)</w:t>
            </w:r>
            <w:r>
              <w:rPr>
                <w:rStyle w:val="Superscript"/>
              </w:rPr>
              <w:t>a</w:t>
            </w:r>
            <w:proofErr w:type="gramEnd"/>
          </w:p>
        </w:tc>
        <w:tc>
          <w:tcPr>
            <w:tcW w:w="1247" w:type="dxa"/>
            <w:shd w:val="clear" w:color="auto" w:fill="033636" w:themeFill="text2"/>
            <w:tcMar>
              <w:top w:w="113" w:type="dxa"/>
              <w:left w:w="113" w:type="dxa"/>
              <w:bottom w:w="113" w:type="dxa"/>
              <w:right w:w="113" w:type="dxa"/>
            </w:tcMar>
            <w:vAlign w:val="bottom"/>
          </w:tcPr>
          <w:p w14:paraId="237865A3" w14:textId="77777777" w:rsidR="00FB4146" w:rsidRDefault="00FB4146" w:rsidP="00FB4146">
            <w:pPr>
              <w:pStyle w:val="CDIFigure-Table-H1"/>
            </w:pPr>
            <w:r>
              <w:t>One PT only</w:t>
            </w:r>
            <w:r>
              <w:br/>
              <w:t>n (</w:t>
            </w:r>
            <w:proofErr w:type="gramStart"/>
            <w:r>
              <w:t>%)</w:t>
            </w:r>
            <w:proofErr w:type="spellStart"/>
            <w:r>
              <w:rPr>
                <w:rStyle w:val="Superscript"/>
              </w:rPr>
              <w:t>b</w:t>
            </w:r>
            <w:proofErr w:type="gramEnd"/>
            <w:r>
              <w:rPr>
                <w:rStyle w:val="Superscript"/>
              </w:rPr>
              <w:t>,c</w:t>
            </w:r>
            <w:proofErr w:type="spellEnd"/>
          </w:p>
        </w:tc>
        <w:tc>
          <w:tcPr>
            <w:tcW w:w="1247" w:type="dxa"/>
            <w:shd w:val="clear" w:color="auto" w:fill="033636" w:themeFill="text2"/>
            <w:tcMar>
              <w:top w:w="113" w:type="dxa"/>
              <w:left w:w="113" w:type="dxa"/>
              <w:bottom w:w="113" w:type="dxa"/>
              <w:right w:w="113" w:type="dxa"/>
            </w:tcMar>
            <w:vAlign w:val="bottom"/>
          </w:tcPr>
          <w:p w14:paraId="5CDFF043" w14:textId="212D3EC0" w:rsidR="00FB4146" w:rsidRDefault="00FB4146" w:rsidP="00FB4146">
            <w:pPr>
              <w:pStyle w:val="CDIFigure-Table-H1"/>
            </w:pPr>
            <w:r>
              <w:t xml:space="preserve">Aged </w:t>
            </w:r>
            <w:r>
              <w:br/>
              <w:t>&lt; 7 years</w:t>
            </w:r>
            <w:r>
              <w:br/>
              <w:t>n (</w:t>
            </w:r>
            <w:proofErr w:type="gramStart"/>
            <w:r>
              <w:t>%)</w:t>
            </w:r>
            <w:proofErr w:type="spellStart"/>
            <w:r>
              <w:rPr>
                <w:rStyle w:val="Superscript"/>
              </w:rPr>
              <w:t>c</w:t>
            </w:r>
            <w:proofErr w:type="gramEnd"/>
            <w:r>
              <w:rPr>
                <w:rStyle w:val="Superscript"/>
              </w:rPr>
              <w:t>,d</w:t>
            </w:r>
            <w:proofErr w:type="spellEnd"/>
          </w:p>
        </w:tc>
        <w:tc>
          <w:tcPr>
            <w:tcW w:w="1248" w:type="dxa"/>
            <w:shd w:val="clear" w:color="auto" w:fill="033636" w:themeFill="text2"/>
            <w:tcMar>
              <w:top w:w="113" w:type="dxa"/>
              <w:left w:w="113" w:type="dxa"/>
              <w:bottom w:w="113" w:type="dxa"/>
              <w:right w:w="113" w:type="dxa"/>
            </w:tcMar>
            <w:vAlign w:val="bottom"/>
          </w:tcPr>
          <w:p w14:paraId="16111036" w14:textId="42651A36" w:rsidR="00FB4146" w:rsidRDefault="00FB4146" w:rsidP="00FB4146">
            <w:pPr>
              <w:pStyle w:val="CDIFigure-Table-H1"/>
            </w:pPr>
            <w:r>
              <w:t>Aged</w:t>
            </w:r>
            <w:r>
              <w:br/>
              <w:t>≥ 7 years</w:t>
            </w:r>
            <w:r>
              <w:br/>
              <w:t>n (</w:t>
            </w:r>
            <w:proofErr w:type="gramStart"/>
            <w:r>
              <w:t>%)</w:t>
            </w:r>
            <w:proofErr w:type="spellStart"/>
            <w:r>
              <w:rPr>
                <w:rStyle w:val="Superscript"/>
              </w:rPr>
              <w:t>c</w:t>
            </w:r>
            <w:proofErr w:type="gramEnd"/>
            <w:r>
              <w:rPr>
                <w:rStyle w:val="Superscript"/>
              </w:rPr>
              <w:t>,d</w:t>
            </w:r>
            <w:proofErr w:type="spellEnd"/>
          </w:p>
        </w:tc>
        <w:tc>
          <w:tcPr>
            <w:tcW w:w="1247" w:type="dxa"/>
            <w:shd w:val="clear" w:color="auto" w:fill="033636" w:themeFill="text2"/>
            <w:tcMar>
              <w:top w:w="113" w:type="dxa"/>
              <w:left w:w="113" w:type="dxa"/>
              <w:bottom w:w="113" w:type="dxa"/>
              <w:right w:w="113" w:type="dxa"/>
            </w:tcMar>
            <w:vAlign w:val="bottom"/>
          </w:tcPr>
          <w:p w14:paraId="27A7A13D" w14:textId="77777777" w:rsidR="00FB4146" w:rsidRDefault="00FB4146" w:rsidP="00FB4146">
            <w:pPr>
              <w:pStyle w:val="CDIFigure-Table-H1"/>
            </w:pPr>
            <w:r>
              <w:t>Serious AEFI</w:t>
            </w:r>
            <w:r>
              <w:br/>
              <w:t>n (</w:t>
            </w:r>
            <w:proofErr w:type="gramStart"/>
            <w:r>
              <w:t>%)</w:t>
            </w:r>
            <w:proofErr w:type="spellStart"/>
            <w:r>
              <w:rPr>
                <w:rStyle w:val="Superscript"/>
              </w:rPr>
              <w:t>c</w:t>
            </w:r>
            <w:proofErr w:type="gramEnd"/>
            <w:r>
              <w:rPr>
                <w:rStyle w:val="Superscript"/>
              </w:rPr>
              <w:t>,e</w:t>
            </w:r>
            <w:proofErr w:type="spellEnd"/>
          </w:p>
        </w:tc>
      </w:tr>
      <w:tr w:rsidR="00FB4146" w14:paraId="6A6929F0"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3763F5C1" w14:textId="77777777" w:rsidR="00FB4146" w:rsidRDefault="00FB4146" w:rsidP="00917557">
            <w:pPr>
              <w:pStyle w:val="CDIFigure-Table-BodyTextLeft"/>
            </w:pPr>
            <w:r>
              <w:t>Injection site reaction</w:t>
            </w:r>
          </w:p>
        </w:tc>
        <w:tc>
          <w:tcPr>
            <w:tcW w:w="1247" w:type="dxa"/>
            <w:shd w:val="clear" w:color="auto" w:fill="F2F2F2" w:themeFill="background1" w:themeFillShade="F2"/>
            <w:tcMar>
              <w:top w:w="113" w:type="dxa"/>
              <w:left w:w="113" w:type="dxa"/>
              <w:bottom w:w="113" w:type="dxa"/>
              <w:right w:w="113" w:type="dxa"/>
            </w:tcMar>
            <w:vAlign w:val="center"/>
          </w:tcPr>
          <w:p w14:paraId="10D7B3B3" w14:textId="77777777" w:rsidR="00FB4146" w:rsidRDefault="00FB4146" w:rsidP="00FB4146">
            <w:pPr>
              <w:pStyle w:val="CDIFigure-Table-BodyTextCentre"/>
            </w:pPr>
            <w:r>
              <w:t>904 (26.2)</w:t>
            </w:r>
          </w:p>
        </w:tc>
        <w:tc>
          <w:tcPr>
            <w:tcW w:w="1247" w:type="dxa"/>
            <w:shd w:val="clear" w:color="auto" w:fill="F2F2F2" w:themeFill="background1" w:themeFillShade="F2"/>
            <w:tcMar>
              <w:top w:w="113" w:type="dxa"/>
              <w:left w:w="113" w:type="dxa"/>
              <w:bottom w:w="113" w:type="dxa"/>
              <w:right w:w="113" w:type="dxa"/>
            </w:tcMar>
            <w:vAlign w:val="center"/>
          </w:tcPr>
          <w:p w14:paraId="3E15918D" w14:textId="77777777" w:rsidR="00FB4146" w:rsidRDefault="00FB4146" w:rsidP="00FB4146">
            <w:pPr>
              <w:pStyle w:val="CDIFigure-Table-BodyTextCentre"/>
            </w:pPr>
            <w:r>
              <w:t>493 (54.5)</w:t>
            </w:r>
          </w:p>
        </w:tc>
        <w:tc>
          <w:tcPr>
            <w:tcW w:w="1247" w:type="dxa"/>
            <w:shd w:val="clear" w:color="auto" w:fill="F2F2F2" w:themeFill="background1" w:themeFillShade="F2"/>
            <w:tcMar>
              <w:top w:w="113" w:type="dxa"/>
              <w:left w:w="113" w:type="dxa"/>
              <w:bottom w:w="113" w:type="dxa"/>
              <w:right w:w="113" w:type="dxa"/>
            </w:tcMar>
            <w:vAlign w:val="center"/>
          </w:tcPr>
          <w:p w14:paraId="5C7D988D" w14:textId="77777777" w:rsidR="00FB4146" w:rsidRDefault="00FB4146" w:rsidP="00FB4146">
            <w:pPr>
              <w:pStyle w:val="CDIFigure-Table-BodyTextCentre"/>
            </w:pPr>
            <w:r>
              <w:t>517 (57.2)</w:t>
            </w:r>
          </w:p>
        </w:tc>
        <w:tc>
          <w:tcPr>
            <w:tcW w:w="1248" w:type="dxa"/>
            <w:shd w:val="clear" w:color="auto" w:fill="F2F2F2" w:themeFill="background1" w:themeFillShade="F2"/>
            <w:tcMar>
              <w:top w:w="113" w:type="dxa"/>
              <w:left w:w="113" w:type="dxa"/>
              <w:bottom w:w="113" w:type="dxa"/>
              <w:right w:w="113" w:type="dxa"/>
            </w:tcMar>
            <w:vAlign w:val="center"/>
          </w:tcPr>
          <w:p w14:paraId="59523A41" w14:textId="77777777" w:rsidR="00FB4146" w:rsidRDefault="00FB4146" w:rsidP="00FB4146">
            <w:pPr>
              <w:pStyle w:val="CDIFigure-Table-BodyTextCentre"/>
            </w:pPr>
            <w:r>
              <w:t>359 (39.7)</w:t>
            </w:r>
          </w:p>
        </w:tc>
        <w:tc>
          <w:tcPr>
            <w:tcW w:w="1247" w:type="dxa"/>
            <w:shd w:val="clear" w:color="auto" w:fill="F2F2F2" w:themeFill="background1" w:themeFillShade="F2"/>
            <w:tcMar>
              <w:top w:w="113" w:type="dxa"/>
              <w:left w:w="113" w:type="dxa"/>
              <w:bottom w:w="113" w:type="dxa"/>
              <w:right w:w="113" w:type="dxa"/>
            </w:tcMar>
            <w:vAlign w:val="center"/>
          </w:tcPr>
          <w:p w14:paraId="4291B212" w14:textId="77777777" w:rsidR="00FB4146" w:rsidRDefault="00FB4146" w:rsidP="00FB4146">
            <w:pPr>
              <w:pStyle w:val="CDIFigure-Table-BodyTextCentre"/>
            </w:pPr>
            <w:r>
              <w:t>11 (1.2)</w:t>
            </w:r>
          </w:p>
        </w:tc>
      </w:tr>
      <w:tr w:rsidR="00FB4146" w14:paraId="19AF7121" w14:textId="77777777" w:rsidTr="00917557">
        <w:trPr>
          <w:trHeight w:val="20"/>
        </w:trPr>
        <w:tc>
          <w:tcPr>
            <w:tcW w:w="3515" w:type="dxa"/>
            <w:tcMar>
              <w:top w:w="113" w:type="dxa"/>
              <w:left w:w="113" w:type="dxa"/>
              <w:bottom w:w="113" w:type="dxa"/>
              <w:right w:w="113" w:type="dxa"/>
            </w:tcMar>
            <w:vAlign w:val="center"/>
          </w:tcPr>
          <w:p w14:paraId="5F7ACE60" w14:textId="77777777" w:rsidR="00FB4146" w:rsidRDefault="00FB4146" w:rsidP="00917557">
            <w:pPr>
              <w:pStyle w:val="CDIFigure-Table-BodyTextLeft"/>
            </w:pPr>
            <w:r>
              <w:t>Hypersensitivity</w:t>
            </w:r>
          </w:p>
        </w:tc>
        <w:tc>
          <w:tcPr>
            <w:tcW w:w="1247" w:type="dxa"/>
            <w:tcMar>
              <w:top w:w="113" w:type="dxa"/>
              <w:left w:w="113" w:type="dxa"/>
              <w:bottom w:w="113" w:type="dxa"/>
              <w:right w:w="113" w:type="dxa"/>
            </w:tcMar>
            <w:vAlign w:val="center"/>
          </w:tcPr>
          <w:p w14:paraId="054C3230" w14:textId="77777777" w:rsidR="00FB4146" w:rsidRDefault="00FB4146" w:rsidP="00FB4146">
            <w:pPr>
              <w:pStyle w:val="CDIFigure-Table-BodyTextCentre"/>
            </w:pPr>
            <w:r>
              <w:t>676 (19.6)</w:t>
            </w:r>
          </w:p>
        </w:tc>
        <w:tc>
          <w:tcPr>
            <w:tcW w:w="1247" w:type="dxa"/>
            <w:tcMar>
              <w:top w:w="113" w:type="dxa"/>
              <w:left w:w="113" w:type="dxa"/>
              <w:bottom w:w="113" w:type="dxa"/>
              <w:right w:w="113" w:type="dxa"/>
            </w:tcMar>
            <w:vAlign w:val="center"/>
          </w:tcPr>
          <w:p w14:paraId="572E11D6" w14:textId="77777777" w:rsidR="00FB4146" w:rsidRDefault="00FB4146" w:rsidP="00FB4146">
            <w:pPr>
              <w:pStyle w:val="CDIFigure-Table-BodyTextCentre"/>
            </w:pPr>
            <w:r>
              <w:t>288 (42.6)</w:t>
            </w:r>
          </w:p>
        </w:tc>
        <w:tc>
          <w:tcPr>
            <w:tcW w:w="1247" w:type="dxa"/>
            <w:tcMar>
              <w:top w:w="113" w:type="dxa"/>
              <w:left w:w="113" w:type="dxa"/>
              <w:bottom w:w="113" w:type="dxa"/>
              <w:right w:w="113" w:type="dxa"/>
            </w:tcMar>
            <w:vAlign w:val="center"/>
          </w:tcPr>
          <w:p w14:paraId="1D6F13A3" w14:textId="77777777" w:rsidR="00FB4146" w:rsidRDefault="00FB4146" w:rsidP="00FB4146">
            <w:pPr>
              <w:pStyle w:val="CDIFigure-Table-BodyTextCentre"/>
            </w:pPr>
            <w:r>
              <w:t>433 (64.1)</w:t>
            </w:r>
          </w:p>
        </w:tc>
        <w:tc>
          <w:tcPr>
            <w:tcW w:w="1248" w:type="dxa"/>
            <w:tcMar>
              <w:top w:w="113" w:type="dxa"/>
              <w:left w:w="113" w:type="dxa"/>
              <w:bottom w:w="113" w:type="dxa"/>
              <w:right w:w="113" w:type="dxa"/>
            </w:tcMar>
            <w:vAlign w:val="center"/>
          </w:tcPr>
          <w:p w14:paraId="49512656" w14:textId="77777777" w:rsidR="00FB4146" w:rsidRDefault="00FB4146" w:rsidP="00FB4146">
            <w:pPr>
              <w:pStyle w:val="CDIFigure-Table-BodyTextCentre"/>
            </w:pPr>
            <w:r>
              <w:t>229 (33.9)</w:t>
            </w:r>
          </w:p>
        </w:tc>
        <w:tc>
          <w:tcPr>
            <w:tcW w:w="1247" w:type="dxa"/>
            <w:tcMar>
              <w:top w:w="113" w:type="dxa"/>
              <w:left w:w="113" w:type="dxa"/>
              <w:bottom w:w="113" w:type="dxa"/>
              <w:right w:w="113" w:type="dxa"/>
            </w:tcMar>
            <w:vAlign w:val="center"/>
          </w:tcPr>
          <w:p w14:paraId="49388E14" w14:textId="77777777" w:rsidR="00FB4146" w:rsidRDefault="00FB4146" w:rsidP="00FB4146">
            <w:pPr>
              <w:pStyle w:val="CDIFigure-Table-BodyTextCentre"/>
            </w:pPr>
            <w:r>
              <w:t>16 (2.4)</w:t>
            </w:r>
          </w:p>
        </w:tc>
      </w:tr>
      <w:tr w:rsidR="00FB4146" w14:paraId="63C4DC8B"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7A93CCFC" w14:textId="77777777" w:rsidR="00FB4146" w:rsidRDefault="00FB4146" w:rsidP="00917557">
            <w:pPr>
              <w:pStyle w:val="CDIFigure-Table-BodyTextLeft"/>
            </w:pPr>
            <w:r>
              <w:t>Pyrexia</w:t>
            </w:r>
          </w:p>
        </w:tc>
        <w:tc>
          <w:tcPr>
            <w:tcW w:w="1247" w:type="dxa"/>
            <w:shd w:val="clear" w:color="auto" w:fill="F2F2F2" w:themeFill="background1" w:themeFillShade="F2"/>
            <w:tcMar>
              <w:top w:w="113" w:type="dxa"/>
              <w:left w:w="113" w:type="dxa"/>
              <w:bottom w:w="113" w:type="dxa"/>
              <w:right w:w="113" w:type="dxa"/>
            </w:tcMar>
            <w:vAlign w:val="center"/>
          </w:tcPr>
          <w:p w14:paraId="132BE320" w14:textId="77777777" w:rsidR="00FB4146" w:rsidRDefault="00FB4146" w:rsidP="00FB4146">
            <w:pPr>
              <w:pStyle w:val="CDIFigure-Table-BodyTextCentre"/>
            </w:pPr>
            <w:r>
              <w:t>490 (14.2)</w:t>
            </w:r>
          </w:p>
        </w:tc>
        <w:tc>
          <w:tcPr>
            <w:tcW w:w="1247" w:type="dxa"/>
            <w:shd w:val="clear" w:color="auto" w:fill="F2F2F2" w:themeFill="background1" w:themeFillShade="F2"/>
            <w:tcMar>
              <w:top w:w="113" w:type="dxa"/>
              <w:left w:w="113" w:type="dxa"/>
              <w:bottom w:w="113" w:type="dxa"/>
              <w:right w:w="113" w:type="dxa"/>
            </w:tcMar>
            <w:vAlign w:val="center"/>
          </w:tcPr>
          <w:p w14:paraId="15B4F49B" w14:textId="77777777" w:rsidR="00FB4146" w:rsidRDefault="00FB4146" w:rsidP="00FB4146">
            <w:pPr>
              <w:pStyle w:val="CDIFigure-Table-BodyTextCentre"/>
            </w:pPr>
            <w:r>
              <w:t>20 (4.1)</w:t>
            </w:r>
          </w:p>
        </w:tc>
        <w:tc>
          <w:tcPr>
            <w:tcW w:w="1247" w:type="dxa"/>
            <w:shd w:val="clear" w:color="auto" w:fill="F2F2F2" w:themeFill="background1" w:themeFillShade="F2"/>
            <w:tcMar>
              <w:top w:w="113" w:type="dxa"/>
              <w:left w:w="113" w:type="dxa"/>
              <w:bottom w:w="113" w:type="dxa"/>
              <w:right w:w="113" w:type="dxa"/>
            </w:tcMar>
            <w:vAlign w:val="center"/>
          </w:tcPr>
          <w:p w14:paraId="5A1897B4" w14:textId="77777777" w:rsidR="00FB4146" w:rsidRDefault="00FB4146" w:rsidP="00FB4146">
            <w:pPr>
              <w:pStyle w:val="CDIFigure-Table-BodyTextCentre"/>
            </w:pPr>
            <w:r>
              <w:t>337 (68.8)</w:t>
            </w:r>
          </w:p>
        </w:tc>
        <w:tc>
          <w:tcPr>
            <w:tcW w:w="1248" w:type="dxa"/>
            <w:shd w:val="clear" w:color="auto" w:fill="F2F2F2" w:themeFill="background1" w:themeFillShade="F2"/>
            <w:tcMar>
              <w:top w:w="113" w:type="dxa"/>
              <w:left w:w="113" w:type="dxa"/>
              <w:bottom w:w="113" w:type="dxa"/>
              <w:right w:w="113" w:type="dxa"/>
            </w:tcMar>
            <w:vAlign w:val="center"/>
          </w:tcPr>
          <w:p w14:paraId="7C80B379" w14:textId="77777777" w:rsidR="00FB4146" w:rsidRDefault="00FB4146" w:rsidP="00FB4146">
            <w:pPr>
              <w:pStyle w:val="CDIFigure-Table-BodyTextCentre"/>
            </w:pPr>
            <w:r>
              <w:t>137 (28.0)</w:t>
            </w:r>
          </w:p>
        </w:tc>
        <w:tc>
          <w:tcPr>
            <w:tcW w:w="1247" w:type="dxa"/>
            <w:shd w:val="clear" w:color="auto" w:fill="F2F2F2" w:themeFill="background1" w:themeFillShade="F2"/>
            <w:tcMar>
              <w:top w:w="113" w:type="dxa"/>
              <w:left w:w="113" w:type="dxa"/>
              <w:bottom w:w="113" w:type="dxa"/>
              <w:right w:w="113" w:type="dxa"/>
            </w:tcMar>
            <w:vAlign w:val="center"/>
          </w:tcPr>
          <w:p w14:paraId="7072160D" w14:textId="77777777" w:rsidR="00FB4146" w:rsidRDefault="00FB4146" w:rsidP="00FB4146">
            <w:pPr>
              <w:pStyle w:val="CDIFigure-Table-BodyTextCentre"/>
            </w:pPr>
            <w:r>
              <w:t>23 (4.7)</w:t>
            </w:r>
          </w:p>
        </w:tc>
      </w:tr>
      <w:tr w:rsidR="00FB4146" w14:paraId="755E18EA" w14:textId="77777777" w:rsidTr="00917557">
        <w:trPr>
          <w:trHeight w:val="20"/>
        </w:trPr>
        <w:tc>
          <w:tcPr>
            <w:tcW w:w="3515" w:type="dxa"/>
            <w:tcMar>
              <w:top w:w="113" w:type="dxa"/>
              <w:left w:w="113" w:type="dxa"/>
              <w:bottom w:w="113" w:type="dxa"/>
              <w:right w:w="113" w:type="dxa"/>
            </w:tcMar>
            <w:vAlign w:val="center"/>
          </w:tcPr>
          <w:p w14:paraId="124DA906" w14:textId="77777777" w:rsidR="00FB4146" w:rsidRDefault="00FB4146" w:rsidP="00917557">
            <w:pPr>
              <w:pStyle w:val="CDIFigure-Table-BodyTextLeft"/>
            </w:pPr>
            <w:r>
              <w:t>Gastrointestinal nonspecific symptoms and therapeutic procedures</w:t>
            </w:r>
          </w:p>
        </w:tc>
        <w:tc>
          <w:tcPr>
            <w:tcW w:w="1247" w:type="dxa"/>
            <w:tcMar>
              <w:top w:w="113" w:type="dxa"/>
              <w:left w:w="113" w:type="dxa"/>
              <w:bottom w:w="113" w:type="dxa"/>
              <w:right w:w="113" w:type="dxa"/>
            </w:tcMar>
            <w:vAlign w:val="center"/>
          </w:tcPr>
          <w:p w14:paraId="485A0D91" w14:textId="77777777" w:rsidR="00FB4146" w:rsidRDefault="00FB4146" w:rsidP="00FB4146">
            <w:pPr>
              <w:pStyle w:val="CDIFigure-Table-BodyTextCentre"/>
            </w:pPr>
            <w:r>
              <w:t>472 (13.7)</w:t>
            </w:r>
          </w:p>
        </w:tc>
        <w:tc>
          <w:tcPr>
            <w:tcW w:w="1247" w:type="dxa"/>
            <w:tcMar>
              <w:top w:w="113" w:type="dxa"/>
              <w:left w:w="113" w:type="dxa"/>
              <w:bottom w:w="113" w:type="dxa"/>
              <w:right w:w="113" w:type="dxa"/>
            </w:tcMar>
            <w:vAlign w:val="center"/>
          </w:tcPr>
          <w:p w14:paraId="41C74AF8" w14:textId="77777777" w:rsidR="00FB4146" w:rsidRDefault="00FB4146" w:rsidP="00FB4146">
            <w:pPr>
              <w:pStyle w:val="CDIFigure-Table-BodyTextCentre"/>
            </w:pPr>
            <w:r>
              <w:t>45 (9.5)</w:t>
            </w:r>
          </w:p>
        </w:tc>
        <w:tc>
          <w:tcPr>
            <w:tcW w:w="1247" w:type="dxa"/>
            <w:tcMar>
              <w:top w:w="113" w:type="dxa"/>
              <w:left w:w="113" w:type="dxa"/>
              <w:bottom w:w="113" w:type="dxa"/>
              <w:right w:w="113" w:type="dxa"/>
            </w:tcMar>
            <w:vAlign w:val="center"/>
          </w:tcPr>
          <w:p w14:paraId="1593D706" w14:textId="77777777" w:rsidR="00FB4146" w:rsidRDefault="00FB4146" w:rsidP="00FB4146">
            <w:pPr>
              <w:pStyle w:val="CDIFigure-Table-BodyTextCentre"/>
            </w:pPr>
            <w:r>
              <w:t>227 (48.1)</w:t>
            </w:r>
          </w:p>
        </w:tc>
        <w:tc>
          <w:tcPr>
            <w:tcW w:w="1248" w:type="dxa"/>
            <w:tcMar>
              <w:top w:w="113" w:type="dxa"/>
              <w:left w:w="113" w:type="dxa"/>
              <w:bottom w:w="113" w:type="dxa"/>
              <w:right w:w="113" w:type="dxa"/>
            </w:tcMar>
            <w:vAlign w:val="center"/>
          </w:tcPr>
          <w:p w14:paraId="63ACCD3B" w14:textId="77777777" w:rsidR="00FB4146" w:rsidRDefault="00FB4146" w:rsidP="00FB4146">
            <w:pPr>
              <w:pStyle w:val="CDIFigure-Table-BodyTextCentre"/>
            </w:pPr>
            <w:r>
              <w:t>229 (48.5)</w:t>
            </w:r>
          </w:p>
        </w:tc>
        <w:tc>
          <w:tcPr>
            <w:tcW w:w="1247" w:type="dxa"/>
            <w:tcMar>
              <w:top w:w="113" w:type="dxa"/>
              <w:left w:w="113" w:type="dxa"/>
              <w:bottom w:w="113" w:type="dxa"/>
              <w:right w:w="113" w:type="dxa"/>
            </w:tcMar>
            <w:vAlign w:val="center"/>
          </w:tcPr>
          <w:p w14:paraId="774A3848" w14:textId="77777777" w:rsidR="00FB4146" w:rsidRDefault="00FB4146" w:rsidP="00FB4146">
            <w:pPr>
              <w:pStyle w:val="CDIFigure-Table-BodyTextCentre"/>
            </w:pPr>
            <w:r>
              <w:t>33 (7.0)</w:t>
            </w:r>
          </w:p>
        </w:tc>
      </w:tr>
      <w:tr w:rsidR="00FB4146" w14:paraId="430749B4"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35EEC577" w14:textId="77777777" w:rsidR="00FB4146" w:rsidRDefault="00FB4146" w:rsidP="00917557">
            <w:pPr>
              <w:pStyle w:val="CDIFigure-Table-BodyTextLeft"/>
            </w:pPr>
            <w:r>
              <w:t>Medication errors</w:t>
            </w:r>
          </w:p>
        </w:tc>
        <w:tc>
          <w:tcPr>
            <w:tcW w:w="1247" w:type="dxa"/>
            <w:shd w:val="clear" w:color="auto" w:fill="F2F2F2" w:themeFill="background1" w:themeFillShade="F2"/>
            <w:tcMar>
              <w:top w:w="113" w:type="dxa"/>
              <w:left w:w="113" w:type="dxa"/>
              <w:bottom w:w="113" w:type="dxa"/>
              <w:right w:w="113" w:type="dxa"/>
            </w:tcMar>
            <w:vAlign w:val="center"/>
          </w:tcPr>
          <w:p w14:paraId="241A34D5" w14:textId="77777777" w:rsidR="00FB4146" w:rsidRDefault="00FB4146" w:rsidP="00FB4146">
            <w:pPr>
              <w:pStyle w:val="CDIFigure-Table-BodyTextCentre"/>
            </w:pPr>
            <w:r>
              <w:t>390 (11.3)</w:t>
            </w:r>
          </w:p>
        </w:tc>
        <w:tc>
          <w:tcPr>
            <w:tcW w:w="1247" w:type="dxa"/>
            <w:shd w:val="clear" w:color="auto" w:fill="F2F2F2" w:themeFill="background1" w:themeFillShade="F2"/>
            <w:tcMar>
              <w:top w:w="113" w:type="dxa"/>
              <w:left w:w="113" w:type="dxa"/>
              <w:bottom w:w="113" w:type="dxa"/>
              <w:right w:w="113" w:type="dxa"/>
            </w:tcMar>
            <w:vAlign w:val="center"/>
          </w:tcPr>
          <w:p w14:paraId="1C69979D" w14:textId="77777777" w:rsidR="00FB4146" w:rsidRDefault="00FB4146" w:rsidP="00FB4146">
            <w:pPr>
              <w:pStyle w:val="CDIFigure-Table-BodyTextCentre"/>
            </w:pPr>
            <w:r>
              <w:t>319 (81.8)</w:t>
            </w:r>
          </w:p>
        </w:tc>
        <w:tc>
          <w:tcPr>
            <w:tcW w:w="1247" w:type="dxa"/>
            <w:shd w:val="clear" w:color="auto" w:fill="F2F2F2" w:themeFill="background1" w:themeFillShade="F2"/>
            <w:tcMar>
              <w:top w:w="113" w:type="dxa"/>
              <w:left w:w="113" w:type="dxa"/>
              <w:bottom w:w="113" w:type="dxa"/>
              <w:right w:w="113" w:type="dxa"/>
            </w:tcMar>
            <w:vAlign w:val="center"/>
          </w:tcPr>
          <w:p w14:paraId="19EA1969" w14:textId="77777777" w:rsidR="00FB4146" w:rsidRDefault="00FB4146" w:rsidP="00FB4146">
            <w:pPr>
              <w:pStyle w:val="CDIFigure-Table-BodyTextCentre"/>
            </w:pPr>
            <w:r>
              <w:t>175 (44.9)</w:t>
            </w:r>
          </w:p>
        </w:tc>
        <w:tc>
          <w:tcPr>
            <w:tcW w:w="1248" w:type="dxa"/>
            <w:shd w:val="clear" w:color="auto" w:fill="F2F2F2" w:themeFill="background1" w:themeFillShade="F2"/>
            <w:tcMar>
              <w:top w:w="113" w:type="dxa"/>
              <w:left w:w="113" w:type="dxa"/>
              <w:bottom w:w="113" w:type="dxa"/>
              <w:right w:w="113" w:type="dxa"/>
            </w:tcMar>
            <w:vAlign w:val="center"/>
          </w:tcPr>
          <w:p w14:paraId="44DD8D89" w14:textId="77777777" w:rsidR="00FB4146" w:rsidRDefault="00FB4146" w:rsidP="00FB4146">
            <w:pPr>
              <w:pStyle w:val="CDIFigure-Table-BodyTextCentre"/>
            </w:pPr>
            <w:r>
              <w:t>204 (52.3)</w:t>
            </w:r>
          </w:p>
        </w:tc>
        <w:tc>
          <w:tcPr>
            <w:tcW w:w="1247" w:type="dxa"/>
            <w:shd w:val="clear" w:color="auto" w:fill="F2F2F2" w:themeFill="background1" w:themeFillShade="F2"/>
            <w:tcMar>
              <w:top w:w="113" w:type="dxa"/>
              <w:left w:w="113" w:type="dxa"/>
              <w:bottom w:w="113" w:type="dxa"/>
              <w:right w:w="113" w:type="dxa"/>
            </w:tcMar>
            <w:vAlign w:val="center"/>
          </w:tcPr>
          <w:p w14:paraId="028BAA0C" w14:textId="77777777" w:rsidR="00FB4146" w:rsidRDefault="00FB4146" w:rsidP="00FB4146">
            <w:pPr>
              <w:pStyle w:val="CDIFigure-Table-BodyTextCentre"/>
            </w:pPr>
            <w:r>
              <w:t>4 (1.0)</w:t>
            </w:r>
          </w:p>
        </w:tc>
      </w:tr>
      <w:tr w:rsidR="00FB4146" w14:paraId="52331100" w14:textId="77777777" w:rsidTr="00917557">
        <w:trPr>
          <w:trHeight w:val="20"/>
        </w:trPr>
        <w:tc>
          <w:tcPr>
            <w:tcW w:w="3515" w:type="dxa"/>
            <w:tcMar>
              <w:top w:w="113" w:type="dxa"/>
              <w:left w:w="113" w:type="dxa"/>
              <w:bottom w:w="113" w:type="dxa"/>
              <w:right w:w="113" w:type="dxa"/>
            </w:tcMar>
            <w:vAlign w:val="center"/>
          </w:tcPr>
          <w:p w14:paraId="09A352D7" w14:textId="77777777" w:rsidR="00FB4146" w:rsidRDefault="00FB4146" w:rsidP="00917557">
            <w:pPr>
              <w:pStyle w:val="CDIFigure-Table-BodyTextLeft"/>
            </w:pPr>
            <w:r>
              <w:t>Headache</w:t>
            </w:r>
          </w:p>
        </w:tc>
        <w:tc>
          <w:tcPr>
            <w:tcW w:w="1247" w:type="dxa"/>
            <w:tcMar>
              <w:top w:w="113" w:type="dxa"/>
              <w:left w:w="113" w:type="dxa"/>
              <w:bottom w:w="113" w:type="dxa"/>
              <w:right w:w="113" w:type="dxa"/>
            </w:tcMar>
            <w:vAlign w:val="center"/>
          </w:tcPr>
          <w:p w14:paraId="59ADC16B" w14:textId="77777777" w:rsidR="00FB4146" w:rsidRDefault="00FB4146" w:rsidP="00FB4146">
            <w:pPr>
              <w:pStyle w:val="CDIFigure-Table-BodyTextCentre"/>
            </w:pPr>
            <w:r>
              <w:t>236 (6.8)</w:t>
            </w:r>
          </w:p>
        </w:tc>
        <w:tc>
          <w:tcPr>
            <w:tcW w:w="1247" w:type="dxa"/>
            <w:tcMar>
              <w:top w:w="113" w:type="dxa"/>
              <w:left w:w="113" w:type="dxa"/>
              <w:bottom w:w="113" w:type="dxa"/>
              <w:right w:w="113" w:type="dxa"/>
            </w:tcMar>
            <w:vAlign w:val="center"/>
          </w:tcPr>
          <w:p w14:paraId="79E2125D" w14:textId="77777777" w:rsidR="00FB4146" w:rsidRDefault="00FB4146" w:rsidP="00FB4146">
            <w:pPr>
              <w:pStyle w:val="CDIFigure-Table-BodyTextCentre"/>
            </w:pPr>
            <w:r>
              <w:t>4 (1.7)</w:t>
            </w:r>
          </w:p>
        </w:tc>
        <w:tc>
          <w:tcPr>
            <w:tcW w:w="1247" w:type="dxa"/>
            <w:tcMar>
              <w:top w:w="113" w:type="dxa"/>
              <w:left w:w="113" w:type="dxa"/>
              <w:bottom w:w="113" w:type="dxa"/>
              <w:right w:w="113" w:type="dxa"/>
            </w:tcMar>
            <w:vAlign w:val="center"/>
          </w:tcPr>
          <w:p w14:paraId="70E77A96" w14:textId="77777777" w:rsidR="00FB4146" w:rsidRDefault="00FB4146" w:rsidP="00FB4146">
            <w:pPr>
              <w:pStyle w:val="CDIFigure-Table-BodyTextCentre"/>
            </w:pPr>
            <w:r>
              <w:t>20 (8.5)</w:t>
            </w:r>
          </w:p>
        </w:tc>
        <w:tc>
          <w:tcPr>
            <w:tcW w:w="1248" w:type="dxa"/>
            <w:tcMar>
              <w:top w:w="113" w:type="dxa"/>
              <w:left w:w="113" w:type="dxa"/>
              <w:bottom w:w="113" w:type="dxa"/>
              <w:right w:w="113" w:type="dxa"/>
            </w:tcMar>
            <w:vAlign w:val="center"/>
          </w:tcPr>
          <w:p w14:paraId="7B56AF9E" w14:textId="77777777" w:rsidR="00FB4146" w:rsidRDefault="00FB4146" w:rsidP="00FB4146">
            <w:pPr>
              <w:pStyle w:val="CDIFigure-Table-BodyTextCentre"/>
            </w:pPr>
            <w:r>
              <w:t>205 (86.9)</w:t>
            </w:r>
          </w:p>
        </w:tc>
        <w:tc>
          <w:tcPr>
            <w:tcW w:w="1247" w:type="dxa"/>
            <w:tcMar>
              <w:top w:w="113" w:type="dxa"/>
              <w:left w:w="113" w:type="dxa"/>
              <w:bottom w:w="113" w:type="dxa"/>
              <w:right w:w="113" w:type="dxa"/>
            </w:tcMar>
            <w:vAlign w:val="center"/>
          </w:tcPr>
          <w:p w14:paraId="479C4C97" w14:textId="77777777" w:rsidR="00FB4146" w:rsidRDefault="00FB4146" w:rsidP="00FB4146">
            <w:pPr>
              <w:pStyle w:val="CDIFigure-Table-BodyTextCentre"/>
            </w:pPr>
            <w:r>
              <w:t>15 (6.4)</w:t>
            </w:r>
          </w:p>
        </w:tc>
      </w:tr>
      <w:tr w:rsidR="00FB4146" w14:paraId="5CC10BBE"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0C20062B" w14:textId="77777777" w:rsidR="00FB4146" w:rsidRDefault="00FB4146" w:rsidP="00917557">
            <w:pPr>
              <w:pStyle w:val="CDIFigure-Table-BodyTextLeft"/>
            </w:pPr>
            <w:r>
              <w:t>Haemodynamic oedema, effusions and fluid overload</w:t>
            </w:r>
          </w:p>
        </w:tc>
        <w:tc>
          <w:tcPr>
            <w:tcW w:w="1247" w:type="dxa"/>
            <w:shd w:val="clear" w:color="auto" w:fill="F2F2F2" w:themeFill="background1" w:themeFillShade="F2"/>
            <w:tcMar>
              <w:top w:w="113" w:type="dxa"/>
              <w:left w:w="113" w:type="dxa"/>
              <w:bottom w:w="113" w:type="dxa"/>
              <w:right w:w="113" w:type="dxa"/>
            </w:tcMar>
            <w:vAlign w:val="center"/>
          </w:tcPr>
          <w:p w14:paraId="439958F1" w14:textId="77777777" w:rsidR="00FB4146" w:rsidRDefault="00FB4146" w:rsidP="00FB4146">
            <w:pPr>
              <w:pStyle w:val="CDIFigure-Table-BodyTextCentre"/>
            </w:pPr>
            <w:r>
              <w:t>156 (4.5)</w:t>
            </w:r>
          </w:p>
        </w:tc>
        <w:tc>
          <w:tcPr>
            <w:tcW w:w="1247" w:type="dxa"/>
            <w:shd w:val="clear" w:color="auto" w:fill="F2F2F2" w:themeFill="background1" w:themeFillShade="F2"/>
            <w:tcMar>
              <w:top w:w="113" w:type="dxa"/>
              <w:left w:w="113" w:type="dxa"/>
              <w:bottom w:w="113" w:type="dxa"/>
              <w:right w:w="113" w:type="dxa"/>
            </w:tcMar>
            <w:vAlign w:val="center"/>
          </w:tcPr>
          <w:p w14:paraId="6CF5EDAA" w14:textId="77777777" w:rsidR="00FB4146" w:rsidRDefault="00FB4146" w:rsidP="00FB4146">
            <w:pPr>
              <w:pStyle w:val="CDIFigure-Table-BodyTextCentre"/>
            </w:pPr>
            <w:r>
              <w:t>43 (27.6)</w:t>
            </w:r>
          </w:p>
        </w:tc>
        <w:tc>
          <w:tcPr>
            <w:tcW w:w="1247" w:type="dxa"/>
            <w:shd w:val="clear" w:color="auto" w:fill="F2F2F2" w:themeFill="background1" w:themeFillShade="F2"/>
            <w:tcMar>
              <w:top w:w="113" w:type="dxa"/>
              <w:left w:w="113" w:type="dxa"/>
              <w:bottom w:w="113" w:type="dxa"/>
              <w:right w:w="113" w:type="dxa"/>
            </w:tcMar>
            <w:vAlign w:val="center"/>
          </w:tcPr>
          <w:p w14:paraId="31AB83FA" w14:textId="77777777" w:rsidR="00FB4146" w:rsidRDefault="00FB4146" w:rsidP="00FB4146">
            <w:pPr>
              <w:pStyle w:val="CDIFigure-Table-BodyTextCentre"/>
            </w:pPr>
            <w:r>
              <w:t>102 (65.4)</w:t>
            </w:r>
          </w:p>
        </w:tc>
        <w:tc>
          <w:tcPr>
            <w:tcW w:w="1248" w:type="dxa"/>
            <w:shd w:val="clear" w:color="auto" w:fill="F2F2F2" w:themeFill="background1" w:themeFillShade="F2"/>
            <w:tcMar>
              <w:top w:w="113" w:type="dxa"/>
              <w:left w:w="113" w:type="dxa"/>
              <w:bottom w:w="113" w:type="dxa"/>
              <w:right w:w="113" w:type="dxa"/>
            </w:tcMar>
            <w:vAlign w:val="center"/>
          </w:tcPr>
          <w:p w14:paraId="1BF2D2FB" w14:textId="77777777" w:rsidR="00FB4146" w:rsidRDefault="00FB4146" w:rsidP="00FB4146">
            <w:pPr>
              <w:pStyle w:val="CDIFigure-Table-BodyTextCentre"/>
            </w:pPr>
            <w:r>
              <w:t>53 (34.0)</w:t>
            </w:r>
          </w:p>
        </w:tc>
        <w:tc>
          <w:tcPr>
            <w:tcW w:w="1247" w:type="dxa"/>
            <w:shd w:val="clear" w:color="auto" w:fill="F2F2F2" w:themeFill="background1" w:themeFillShade="F2"/>
            <w:tcMar>
              <w:top w:w="113" w:type="dxa"/>
              <w:left w:w="113" w:type="dxa"/>
              <w:bottom w:w="113" w:type="dxa"/>
              <w:right w:w="113" w:type="dxa"/>
            </w:tcMar>
            <w:vAlign w:val="center"/>
          </w:tcPr>
          <w:p w14:paraId="4D94B3C3" w14:textId="77777777" w:rsidR="00FB4146" w:rsidRDefault="00FB4146" w:rsidP="00FB4146">
            <w:pPr>
              <w:pStyle w:val="CDIFigure-Table-BodyTextCentre"/>
            </w:pPr>
            <w:r>
              <w:t>7 (4.5)</w:t>
            </w:r>
          </w:p>
        </w:tc>
      </w:tr>
      <w:tr w:rsidR="00FB4146" w14:paraId="1B7E0223" w14:textId="77777777" w:rsidTr="00917557">
        <w:trPr>
          <w:trHeight w:val="20"/>
        </w:trPr>
        <w:tc>
          <w:tcPr>
            <w:tcW w:w="3515" w:type="dxa"/>
            <w:tcMar>
              <w:top w:w="113" w:type="dxa"/>
              <w:left w:w="113" w:type="dxa"/>
              <w:bottom w:w="113" w:type="dxa"/>
              <w:right w:w="113" w:type="dxa"/>
            </w:tcMar>
            <w:vAlign w:val="center"/>
          </w:tcPr>
          <w:p w14:paraId="74EC51EF" w14:textId="77777777" w:rsidR="00FB4146" w:rsidRDefault="00FB4146" w:rsidP="00917557">
            <w:pPr>
              <w:pStyle w:val="CDIFigure-Table-BodyTextLeft"/>
            </w:pPr>
            <w:r>
              <w:t>Lethargy</w:t>
            </w:r>
          </w:p>
        </w:tc>
        <w:tc>
          <w:tcPr>
            <w:tcW w:w="1247" w:type="dxa"/>
            <w:tcMar>
              <w:top w:w="113" w:type="dxa"/>
              <w:left w:w="113" w:type="dxa"/>
              <w:bottom w:w="113" w:type="dxa"/>
              <w:right w:w="113" w:type="dxa"/>
            </w:tcMar>
            <w:vAlign w:val="center"/>
          </w:tcPr>
          <w:p w14:paraId="29103CD4" w14:textId="77777777" w:rsidR="00FB4146" w:rsidRDefault="00FB4146" w:rsidP="00FB4146">
            <w:pPr>
              <w:pStyle w:val="CDIFigure-Table-BodyTextCentre"/>
            </w:pPr>
            <w:r>
              <w:t>153 (4.4)</w:t>
            </w:r>
          </w:p>
        </w:tc>
        <w:tc>
          <w:tcPr>
            <w:tcW w:w="1247" w:type="dxa"/>
            <w:tcMar>
              <w:top w:w="113" w:type="dxa"/>
              <w:left w:w="113" w:type="dxa"/>
              <w:bottom w:w="113" w:type="dxa"/>
              <w:right w:w="113" w:type="dxa"/>
            </w:tcMar>
            <w:vAlign w:val="center"/>
          </w:tcPr>
          <w:p w14:paraId="6EFA665B" w14:textId="77777777" w:rsidR="00FB4146" w:rsidRDefault="00FB4146" w:rsidP="00FB4146">
            <w:pPr>
              <w:pStyle w:val="CDIFigure-Table-BodyTextCentre"/>
            </w:pPr>
            <w:r>
              <w:t>2 (1.3)</w:t>
            </w:r>
          </w:p>
        </w:tc>
        <w:tc>
          <w:tcPr>
            <w:tcW w:w="1247" w:type="dxa"/>
            <w:tcMar>
              <w:top w:w="113" w:type="dxa"/>
              <w:left w:w="113" w:type="dxa"/>
              <w:bottom w:w="113" w:type="dxa"/>
              <w:right w:w="113" w:type="dxa"/>
            </w:tcMar>
            <w:vAlign w:val="center"/>
          </w:tcPr>
          <w:p w14:paraId="1735ACFE" w14:textId="77777777" w:rsidR="00FB4146" w:rsidRDefault="00FB4146" w:rsidP="00FB4146">
            <w:pPr>
              <w:pStyle w:val="CDIFigure-Table-BodyTextCentre"/>
            </w:pPr>
            <w:r>
              <w:t>91 (59.5)</w:t>
            </w:r>
          </w:p>
        </w:tc>
        <w:tc>
          <w:tcPr>
            <w:tcW w:w="1248" w:type="dxa"/>
            <w:tcMar>
              <w:top w:w="113" w:type="dxa"/>
              <w:left w:w="113" w:type="dxa"/>
              <w:bottom w:w="113" w:type="dxa"/>
              <w:right w:w="113" w:type="dxa"/>
            </w:tcMar>
            <w:vAlign w:val="center"/>
          </w:tcPr>
          <w:p w14:paraId="013A508A" w14:textId="77777777" w:rsidR="00FB4146" w:rsidRDefault="00FB4146" w:rsidP="00FB4146">
            <w:pPr>
              <w:pStyle w:val="CDIFigure-Table-BodyTextCentre"/>
            </w:pPr>
            <w:r>
              <w:t>58 (37.9)</w:t>
            </w:r>
          </w:p>
        </w:tc>
        <w:tc>
          <w:tcPr>
            <w:tcW w:w="1247" w:type="dxa"/>
            <w:tcMar>
              <w:top w:w="113" w:type="dxa"/>
              <w:left w:w="113" w:type="dxa"/>
              <w:bottom w:w="113" w:type="dxa"/>
              <w:right w:w="113" w:type="dxa"/>
            </w:tcMar>
            <w:vAlign w:val="center"/>
          </w:tcPr>
          <w:p w14:paraId="35305D74" w14:textId="77777777" w:rsidR="00FB4146" w:rsidRDefault="00FB4146" w:rsidP="00FB4146">
            <w:pPr>
              <w:pStyle w:val="CDIFigure-Table-BodyTextCentre"/>
            </w:pPr>
            <w:r>
              <w:t>9 (5.9)</w:t>
            </w:r>
          </w:p>
        </w:tc>
      </w:tr>
      <w:tr w:rsidR="00FB4146" w14:paraId="5B3E0363"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4C24B345" w14:textId="77777777" w:rsidR="00FB4146" w:rsidRDefault="00FB4146" w:rsidP="00917557">
            <w:pPr>
              <w:pStyle w:val="CDIFigure-Table-BodyTextLeft"/>
            </w:pPr>
            <w:r>
              <w:t>Pain in extremity</w:t>
            </w:r>
          </w:p>
        </w:tc>
        <w:tc>
          <w:tcPr>
            <w:tcW w:w="1247" w:type="dxa"/>
            <w:shd w:val="clear" w:color="auto" w:fill="F2F2F2" w:themeFill="background1" w:themeFillShade="F2"/>
            <w:tcMar>
              <w:top w:w="113" w:type="dxa"/>
              <w:left w:w="113" w:type="dxa"/>
              <w:bottom w:w="113" w:type="dxa"/>
              <w:right w:w="113" w:type="dxa"/>
            </w:tcMar>
            <w:vAlign w:val="center"/>
          </w:tcPr>
          <w:p w14:paraId="36FE4941" w14:textId="77777777" w:rsidR="00FB4146" w:rsidRDefault="00FB4146" w:rsidP="00FB4146">
            <w:pPr>
              <w:pStyle w:val="CDIFigure-Table-BodyTextCentre"/>
            </w:pPr>
            <w:r>
              <w:t>127 (3.7)</w:t>
            </w:r>
          </w:p>
        </w:tc>
        <w:tc>
          <w:tcPr>
            <w:tcW w:w="1247" w:type="dxa"/>
            <w:shd w:val="clear" w:color="auto" w:fill="F2F2F2" w:themeFill="background1" w:themeFillShade="F2"/>
            <w:tcMar>
              <w:top w:w="113" w:type="dxa"/>
              <w:left w:w="113" w:type="dxa"/>
              <w:bottom w:w="113" w:type="dxa"/>
              <w:right w:w="113" w:type="dxa"/>
            </w:tcMar>
            <w:vAlign w:val="center"/>
          </w:tcPr>
          <w:p w14:paraId="544D030D" w14:textId="77777777" w:rsidR="00FB4146" w:rsidRDefault="00FB4146" w:rsidP="00FB4146">
            <w:pPr>
              <w:pStyle w:val="CDIFigure-Table-BodyTextCentre"/>
            </w:pPr>
            <w:r>
              <w:t>20 (15.7)</w:t>
            </w:r>
          </w:p>
        </w:tc>
        <w:tc>
          <w:tcPr>
            <w:tcW w:w="1247" w:type="dxa"/>
            <w:shd w:val="clear" w:color="auto" w:fill="F2F2F2" w:themeFill="background1" w:themeFillShade="F2"/>
            <w:tcMar>
              <w:top w:w="113" w:type="dxa"/>
              <w:left w:w="113" w:type="dxa"/>
              <w:bottom w:w="113" w:type="dxa"/>
              <w:right w:w="113" w:type="dxa"/>
            </w:tcMar>
            <w:vAlign w:val="center"/>
          </w:tcPr>
          <w:p w14:paraId="297AEBA8" w14:textId="77777777" w:rsidR="00FB4146" w:rsidRDefault="00FB4146" w:rsidP="00FB4146">
            <w:pPr>
              <w:pStyle w:val="CDIFigure-Table-BodyTextCentre"/>
            </w:pPr>
            <w:r>
              <w:t>20 (15.7)</w:t>
            </w:r>
          </w:p>
        </w:tc>
        <w:tc>
          <w:tcPr>
            <w:tcW w:w="1248" w:type="dxa"/>
            <w:shd w:val="clear" w:color="auto" w:fill="F2F2F2" w:themeFill="background1" w:themeFillShade="F2"/>
            <w:tcMar>
              <w:top w:w="113" w:type="dxa"/>
              <w:left w:w="113" w:type="dxa"/>
              <w:bottom w:w="113" w:type="dxa"/>
              <w:right w:w="113" w:type="dxa"/>
            </w:tcMar>
            <w:vAlign w:val="center"/>
          </w:tcPr>
          <w:p w14:paraId="6BAF4F04" w14:textId="77777777" w:rsidR="00FB4146" w:rsidRDefault="00FB4146" w:rsidP="00FB4146">
            <w:pPr>
              <w:pStyle w:val="CDIFigure-Table-BodyTextCentre"/>
            </w:pPr>
            <w:r>
              <w:t>99 (78.0)</w:t>
            </w:r>
          </w:p>
        </w:tc>
        <w:tc>
          <w:tcPr>
            <w:tcW w:w="1247" w:type="dxa"/>
            <w:shd w:val="clear" w:color="auto" w:fill="F2F2F2" w:themeFill="background1" w:themeFillShade="F2"/>
            <w:tcMar>
              <w:top w:w="113" w:type="dxa"/>
              <w:left w:w="113" w:type="dxa"/>
              <w:bottom w:w="113" w:type="dxa"/>
              <w:right w:w="113" w:type="dxa"/>
            </w:tcMar>
            <w:vAlign w:val="center"/>
          </w:tcPr>
          <w:p w14:paraId="3F773521" w14:textId="77777777" w:rsidR="00FB4146" w:rsidRDefault="00FB4146" w:rsidP="00FB4146">
            <w:pPr>
              <w:pStyle w:val="CDIFigure-Table-BodyTextCentre"/>
            </w:pPr>
            <w:r>
              <w:t>2 (1.6)</w:t>
            </w:r>
          </w:p>
        </w:tc>
      </w:tr>
      <w:tr w:rsidR="00FB4146" w14:paraId="4B7335A3" w14:textId="77777777" w:rsidTr="00917557">
        <w:trPr>
          <w:trHeight w:val="20"/>
        </w:trPr>
        <w:tc>
          <w:tcPr>
            <w:tcW w:w="3515" w:type="dxa"/>
            <w:tcMar>
              <w:top w:w="113" w:type="dxa"/>
              <w:left w:w="113" w:type="dxa"/>
              <w:bottom w:w="113" w:type="dxa"/>
              <w:right w:w="113" w:type="dxa"/>
            </w:tcMar>
            <w:vAlign w:val="center"/>
          </w:tcPr>
          <w:p w14:paraId="7514C2FB" w14:textId="77777777" w:rsidR="00FB4146" w:rsidRDefault="00FB4146" w:rsidP="00917557">
            <w:pPr>
              <w:pStyle w:val="CDIFigure-Table-BodyTextLeft"/>
            </w:pPr>
            <w:r>
              <w:t>Myalgia</w:t>
            </w:r>
          </w:p>
        </w:tc>
        <w:tc>
          <w:tcPr>
            <w:tcW w:w="1247" w:type="dxa"/>
            <w:tcMar>
              <w:top w:w="113" w:type="dxa"/>
              <w:left w:w="113" w:type="dxa"/>
              <w:bottom w:w="113" w:type="dxa"/>
              <w:right w:w="113" w:type="dxa"/>
            </w:tcMar>
            <w:vAlign w:val="center"/>
          </w:tcPr>
          <w:p w14:paraId="3889051B" w14:textId="77777777" w:rsidR="00FB4146" w:rsidRDefault="00FB4146" w:rsidP="00FB4146">
            <w:pPr>
              <w:pStyle w:val="CDIFigure-Table-BodyTextCentre"/>
            </w:pPr>
            <w:r>
              <w:t>107 (3.1)</w:t>
            </w:r>
          </w:p>
        </w:tc>
        <w:tc>
          <w:tcPr>
            <w:tcW w:w="1247" w:type="dxa"/>
            <w:tcMar>
              <w:top w:w="113" w:type="dxa"/>
              <w:left w:w="113" w:type="dxa"/>
              <w:bottom w:w="113" w:type="dxa"/>
              <w:right w:w="113" w:type="dxa"/>
            </w:tcMar>
            <w:vAlign w:val="center"/>
          </w:tcPr>
          <w:p w14:paraId="7B95A244" w14:textId="77777777" w:rsidR="00FB4146" w:rsidRDefault="00FB4146" w:rsidP="00FB4146">
            <w:pPr>
              <w:pStyle w:val="CDIFigure-Table-BodyTextCentre"/>
            </w:pPr>
            <w:r>
              <w:t>4 (3.7)</w:t>
            </w:r>
          </w:p>
        </w:tc>
        <w:tc>
          <w:tcPr>
            <w:tcW w:w="1247" w:type="dxa"/>
            <w:tcMar>
              <w:top w:w="113" w:type="dxa"/>
              <w:left w:w="113" w:type="dxa"/>
              <w:bottom w:w="113" w:type="dxa"/>
              <w:right w:w="113" w:type="dxa"/>
            </w:tcMar>
            <w:vAlign w:val="center"/>
          </w:tcPr>
          <w:p w14:paraId="367EF327" w14:textId="77777777" w:rsidR="00FB4146" w:rsidRDefault="00FB4146" w:rsidP="00FB4146">
            <w:pPr>
              <w:pStyle w:val="CDIFigure-Table-BodyTextCentre"/>
            </w:pPr>
            <w:r>
              <w:t>1 (0.9)</w:t>
            </w:r>
          </w:p>
        </w:tc>
        <w:tc>
          <w:tcPr>
            <w:tcW w:w="1248" w:type="dxa"/>
            <w:tcMar>
              <w:top w:w="113" w:type="dxa"/>
              <w:left w:w="113" w:type="dxa"/>
              <w:bottom w:w="113" w:type="dxa"/>
              <w:right w:w="113" w:type="dxa"/>
            </w:tcMar>
            <w:vAlign w:val="center"/>
          </w:tcPr>
          <w:p w14:paraId="3F43011A" w14:textId="77777777" w:rsidR="00FB4146" w:rsidRDefault="00FB4146" w:rsidP="00FB4146">
            <w:pPr>
              <w:pStyle w:val="CDIFigure-Table-BodyTextCentre"/>
            </w:pPr>
            <w:r>
              <w:t>94 (87.9)</w:t>
            </w:r>
          </w:p>
        </w:tc>
        <w:tc>
          <w:tcPr>
            <w:tcW w:w="1247" w:type="dxa"/>
            <w:tcMar>
              <w:top w:w="113" w:type="dxa"/>
              <w:left w:w="113" w:type="dxa"/>
              <w:bottom w:w="113" w:type="dxa"/>
              <w:right w:w="113" w:type="dxa"/>
            </w:tcMar>
            <w:vAlign w:val="center"/>
          </w:tcPr>
          <w:p w14:paraId="088E056F" w14:textId="77777777" w:rsidR="00FB4146" w:rsidRDefault="00FB4146" w:rsidP="00FB4146">
            <w:pPr>
              <w:pStyle w:val="CDIFigure-Table-BodyTextCentre"/>
            </w:pPr>
            <w:r>
              <w:t>5 (4.7)</w:t>
            </w:r>
          </w:p>
        </w:tc>
      </w:tr>
      <w:tr w:rsidR="00FB4146" w14:paraId="5CFB5DFF"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1DDD7E8A" w14:textId="77777777" w:rsidR="00FB4146" w:rsidRDefault="00FB4146" w:rsidP="00917557">
            <w:pPr>
              <w:pStyle w:val="CDIFigure-Table-BodyTextLeft"/>
            </w:pPr>
            <w:r>
              <w:t>Convulsions</w:t>
            </w:r>
          </w:p>
        </w:tc>
        <w:tc>
          <w:tcPr>
            <w:tcW w:w="1247" w:type="dxa"/>
            <w:shd w:val="clear" w:color="auto" w:fill="F2F2F2" w:themeFill="background1" w:themeFillShade="F2"/>
            <w:tcMar>
              <w:top w:w="113" w:type="dxa"/>
              <w:left w:w="113" w:type="dxa"/>
              <w:bottom w:w="113" w:type="dxa"/>
              <w:right w:w="113" w:type="dxa"/>
            </w:tcMar>
            <w:vAlign w:val="center"/>
          </w:tcPr>
          <w:p w14:paraId="554C432E" w14:textId="77777777" w:rsidR="00FB4146" w:rsidRDefault="00FB4146" w:rsidP="00FB4146">
            <w:pPr>
              <w:pStyle w:val="CDIFigure-Table-BodyTextCentre"/>
            </w:pPr>
            <w:r>
              <w:t>99 (2.9)</w:t>
            </w:r>
          </w:p>
        </w:tc>
        <w:tc>
          <w:tcPr>
            <w:tcW w:w="1247" w:type="dxa"/>
            <w:shd w:val="clear" w:color="auto" w:fill="F2F2F2" w:themeFill="background1" w:themeFillShade="F2"/>
            <w:tcMar>
              <w:top w:w="113" w:type="dxa"/>
              <w:left w:w="113" w:type="dxa"/>
              <w:bottom w:w="113" w:type="dxa"/>
              <w:right w:w="113" w:type="dxa"/>
            </w:tcMar>
            <w:vAlign w:val="center"/>
          </w:tcPr>
          <w:p w14:paraId="69BA2DC0" w14:textId="77777777" w:rsidR="00FB4146" w:rsidRDefault="00FB4146" w:rsidP="00FB4146">
            <w:pPr>
              <w:pStyle w:val="CDIFigure-Table-BodyTextCentre"/>
            </w:pPr>
            <w:r>
              <w:t>49 (49.5)</w:t>
            </w:r>
          </w:p>
        </w:tc>
        <w:tc>
          <w:tcPr>
            <w:tcW w:w="1247" w:type="dxa"/>
            <w:shd w:val="clear" w:color="auto" w:fill="F2F2F2" w:themeFill="background1" w:themeFillShade="F2"/>
            <w:tcMar>
              <w:top w:w="113" w:type="dxa"/>
              <w:left w:w="113" w:type="dxa"/>
              <w:bottom w:w="113" w:type="dxa"/>
              <w:right w:w="113" w:type="dxa"/>
            </w:tcMar>
            <w:vAlign w:val="center"/>
          </w:tcPr>
          <w:p w14:paraId="267A0A20" w14:textId="77777777" w:rsidR="00FB4146" w:rsidRDefault="00FB4146" w:rsidP="00FB4146">
            <w:pPr>
              <w:pStyle w:val="CDIFigure-Table-BodyTextCentre"/>
            </w:pPr>
            <w:r>
              <w:t>75 (75.8)</w:t>
            </w:r>
          </w:p>
        </w:tc>
        <w:tc>
          <w:tcPr>
            <w:tcW w:w="1248" w:type="dxa"/>
            <w:shd w:val="clear" w:color="auto" w:fill="F2F2F2" w:themeFill="background1" w:themeFillShade="F2"/>
            <w:tcMar>
              <w:top w:w="113" w:type="dxa"/>
              <w:left w:w="113" w:type="dxa"/>
              <w:bottom w:w="113" w:type="dxa"/>
              <w:right w:w="113" w:type="dxa"/>
            </w:tcMar>
            <w:vAlign w:val="center"/>
          </w:tcPr>
          <w:p w14:paraId="32E32C44" w14:textId="77777777" w:rsidR="00FB4146" w:rsidRDefault="00FB4146" w:rsidP="00FB4146">
            <w:pPr>
              <w:pStyle w:val="CDIFigure-Table-BodyTextCentre"/>
            </w:pPr>
            <w:r>
              <w:t>18 (18.2)</w:t>
            </w:r>
          </w:p>
        </w:tc>
        <w:tc>
          <w:tcPr>
            <w:tcW w:w="1247" w:type="dxa"/>
            <w:shd w:val="clear" w:color="auto" w:fill="F2F2F2" w:themeFill="background1" w:themeFillShade="F2"/>
            <w:tcMar>
              <w:top w:w="113" w:type="dxa"/>
              <w:left w:w="113" w:type="dxa"/>
              <w:bottom w:w="113" w:type="dxa"/>
              <w:right w:w="113" w:type="dxa"/>
            </w:tcMar>
            <w:vAlign w:val="center"/>
          </w:tcPr>
          <w:p w14:paraId="502600D9" w14:textId="77777777" w:rsidR="00FB4146" w:rsidRDefault="00FB4146" w:rsidP="00FB4146">
            <w:pPr>
              <w:pStyle w:val="CDIFigure-Table-BodyTextCentre"/>
            </w:pPr>
            <w:r>
              <w:t>36 (36.4)</w:t>
            </w:r>
          </w:p>
        </w:tc>
      </w:tr>
      <w:tr w:rsidR="00FB4146" w14:paraId="4EAB6981" w14:textId="77777777" w:rsidTr="00917557">
        <w:trPr>
          <w:trHeight w:val="20"/>
        </w:trPr>
        <w:tc>
          <w:tcPr>
            <w:tcW w:w="3515" w:type="dxa"/>
            <w:tcMar>
              <w:top w:w="113" w:type="dxa"/>
              <w:left w:w="113" w:type="dxa"/>
              <w:bottom w:w="113" w:type="dxa"/>
              <w:right w:w="113" w:type="dxa"/>
            </w:tcMar>
            <w:vAlign w:val="center"/>
          </w:tcPr>
          <w:p w14:paraId="3251DF52" w14:textId="77777777" w:rsidR="00FB4146" w:rsidRDefault="00FB4146" w:rsidP="00917557">
            <w:pPr>
              <w:pStyle w:val="CDIFigure-Table-BodyTextLeft"/>
            </w:pPr>
            <w:r>
              <w:t>Syncope</w:t>
            </w:r>
          </w:p>
        </w:tc>
        <w:tc>
          <w:tcPr>
            <w:tcW w:w="1247" w:type="dxa"/>
            <w:tcMar>
              <w:top w:w="113" w:type="dxa"/>
              <w:left w:w="113" w:type="dxa"/>
              <w:bottom w:w="113" w:type="dxa"/>
              <w:right w:w="113" w:type="dxa"/>
            </w:tcMar>
            <w:vAlign w:val="center"/>
          </w:tcPr>
          <w:p w14:paraId="09F124E9" w14:textId="77777777" w:rsidR="00FB4146" w:rsidRDefault="00FB4146" w:rsidP="00FB4146">
            <w:pPr>
              <w:pStyle w:val="CDIFigure-Table-BodyTextCentre"/>
            </w:pPr>
            <w:r>
              <w:t>99 (2.9)</w:t>
            </w:r>
          </w:p>
        </w:tc>
        <w:tc>
          <w:tcPr>
            <w:tcW w:w="1247" w:type="dxa"/>
            <w:tcMar>
              <w:top w:w="113" w:type="dxa"/>
              <w:left w:w="113" w:type="dxa"/>
              <w:bottom w:w="113" w:type="dxa"/>
              <w:right w:w="113" w:type="dxa"/>
            </w:tcMar>
            <w:vAlign w:val="center"/>
          </w:tcPr>
          <w:p w14:paraId="0321A323" w14:textId="77777777" w:rsidR="00FB4146" w:rsidRDefault="00FB4146" w:rsidP="00FB4146">
            <w:pPr>
              <w:pStyle w:val="CDIFigure-Table-BodyTextCentre"/>
            </w:pPr>
            <w:r>
              <w:t>64 (64.6)</w:t>
            </w:r>
          </w:p>
        </w:tc>
        <w:tc>
          <w:tcPr>
            <w:tcW w:w="1247" w:type="dxa"/>
            <w:tcMar>
              <w:top w:w="113" w:type="dxa"/>
              <w:left w:w="113" w:type="dxa"/>
              <w:bottom w:w="113" w:type="dxa"/>
              <w:right w:w="113" w:type="dxa"/>
            </w:tcMar>
            <w:vAlign w:val="center"/>
          </w:tcPr>
          <w:p w14:paraId="3C7C3ACD" w14:textId="77777777" w:rsidR="00FB4146" w:rsidRDefault="00FB4146" w:rsidP="00FB4146">
            <w:pPr>
              <w:pStyle w:val="CDIFigure-Table-BodyTextCentre"/>
            </w:pPr>
            <w:r>
              <w:t>10 (10.1)</w:t>
            </w:r>
          </w:p>
        </w:tc>
        <w:tc>
          <w:tcPr>
            <w:tcW w:w="1248" w:type="dxa"/>
            <w:tcMar>
              <w:top w:w="113" w:type="dxa"/>
              <w:left w:w="113" w:type="dxa"/>
              <w:bottom w:w="113" w:type="dxa"/>
              <w:right w:w="113" w:type="dxa"/>
            </w:tcMar>
            <w:vAlign w:val="center"/>
          </w:tcPr>
          <w:p w14:paraId="04E89016" w14:textId="77777777" w:rsidR="00FB4146" w:rsidRDefault="00FB4146" w:rsidP="00FB4146">
            <w:pPr>
              <w:pStyle w:val="CDIFigure-Table-BodyTextCentre"/>
            </w:pPr>
            <w:r>
              <w:t>85 (85.9)</w:t>
            </w:r>
          </w:p>
        </w:tc>
        <w:tc>
          <w:tcPr>
            <w:tcW w:w="1247" w:type="dxa"/>
            <w:tcMar>
              <w:top w:w="113" w:type="dxa"/>
              <w:left w:w="113" w:type="dxa"/>
              <w:bottom w:w="113" w:type="dxa"/>
              <w:right w:w="113" w:type="dxa"/>
            </w:tcMar>
            <w:vAlign w:val="center"/>
          </w:tcPr>
          <w:p w14:paraId="68EC5CA7" w14:textId="77777777" w:rsidR="00FB4146" w:rsidRDefault="00FB4146" w:rsidP="00FB4146">
            <w:pPr>
              <w:pStyle w:val="CDIFigure-Table-BodyTextCentre"/>
            </w:pPr>
            <w:r>
              <w:t>8 (8.1)</w:t>
            </w:r>
          </w:p>
        </w:tc>
      </w:tr>
      <w:tr w:rsidR="00FB4146" w14:paraId="364BFB50"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20FB56DA" w14:textId="77777777" w:rsidR="00FB4146" w:rsidRDefault="00FB4146" w:rsidP="00917557">
            <w:pPr>
              <w:pStyle w:val="CDIFigure-Table-BodyTextLeft"/>
            </w:pPr>
            <w:r>
              <w:t>Irritability</w:t>
            </w:r>
          </w:p>
        </w:tc>
        <w:tc>
          <w:tcPr>
            <w:tcW w:w="1247" w:type="dxa"/>
            <w:shd w:val="clear" w:color="auto" w:fill="F2F2F2" w:themeFill="background1" w:themeFillShade="F2"/>
            <w:tcMar>
              <w:top w:w="113" w:type="dxa"/>
              <w:left w:w="113" w:type="dxa"/>
              <w:bottom w:w="113" w:type="dxa"/>
              <w:right w:w="113" w:type="dxa"/>
            </w:tcMar>
            <w:vAlign w:val="center"/>
          </w:tcPr>
          <w:p w14:paraId="653FACA1" w14:textId="77777777" w:rsidR="00FB4146" w:rsidRDefault="00FB4146" w:rsidP="00FB4146">
            <w:pPr>
              <w:pStyle w:val="CDIFigure-Table-BodyTextCentre"/>
            </w:pPr>
            <w:r>
              <w:t>97 (2.8)</w:t>
            </w:r>
          </w:p>
        </w:tc>
        <w:tc>
          <w:tcPr>
            <w:tcW w:w="1247" w:type="dxa"/>
            <w:shd w:val="clear" w:color="auto" w:fill="F2F2F2" w:themeFill="background1" w:themeFillShade="F2"/>
            <w:tcMar>
              <w:top w:w="113" w:type="dxa"/>
              <w:left w:w="113" w:type="dxa"/>
              <w:bottom w:w="113" w:type="dxa"/>
              <w:right w:w="113" w:type="dxa"/>
            </w:tcMar>
            <w:vAlign w:val="center"/>
          </w:tcPr>
          <w:p w14:paraId="56CE889C" w14:textId="77777777" w:rsidR="00FB4146" w:rsidRDefault="00FB4146" w:rsidP="00FB4146">
            <w:pPr>
              <w:pStyle w:val="CDIFigure-Table-BodyTextCentre"/>
            </w:pPr>
            <w:r>
              <w:t>3 (3.1)</w:t>
            </w:r>
          </w:p>
        </w:tc>
        <w:tc>
          <w:tcPr>
            <w:tcW w:w="1247" w:type="dxa"/>
            <w:shd w:val="clear" w:color="auto" w:fill="F2F2F2" w:themeFill="background1" w:themeFillShade="F2"/>
            <w:tcMar>
              <w:top w:w="113" w:type="dxa"/>
              <w:left w:w="113" w:type="dxa"/>
              <w:bottom w:w="113" w:type="dxa"/>
              <w:right w:w="113" w:type="dxa"/>
            </w:tcMar>
            <w:vAlign w:val="center"/>
          </w:tcPr>
          <w:p w14:paraId="4C5BA6A2" w14:textId="77777777" w:rsidR="00FB4146" w:rsidRDefault="00FB4146" w:rsidP="00FB4146">
            <w:pPr>
              <w:pStyle w:val="CDIFigure-Table-BodyTextCentre"/>
            </w:pPr>
            <w:r>
              <w:t>91 (93.8)</w:t>
            </w:r>
          </w:p>
        </w:tc>
        <w:tc>
          <w:tcPr>
            <w:tcW w:w="1248" w:type="dxa"/>
            <w:shd w:val="clear" w:color="auto" w:fill="F2F2F2" w:themeFill="background1" w:themeFillShade="F2"/>
            <w:tcMar>
              <w:top w:w="113" w:type="dxa"/>
              <w:left w:w="113" w:type="dxa"/>
              <w:bottom w:w="113" w:type="dxa"/>
              <w:right w:w="113" w:type="dxa"/>
            </w:tcMar>
            <w:vAlign w:val="center"/>
          </w:tcPr>
          <w:p w14:paraId="73146625" w14:textId="77777777" w:rsidR="00FB4146" w:rsidRDefault="00FB4146" w:rsidP="00FB4146">
            <w:pPr>
              <w:pStyle w:val="CDIFigure-Table-BodyTextCentre"/>
            </w:pPr>
            <w:r>
              <w:t>3 (3.1)</w:t>
            </w:r>
          </w:p>
        </w:tc>
        <w:tc>
          <w:tcPr>
            <w:tcW w:w="1247" w:type="dxa"/>
            <w:shd w:val="clear" w:color="auto" w:fill="F2F2F2" w:themeFill="background1" w:themeFillShade="F2"/>
            <w:tcMar>
              <w:top w:w="113" w:type="dxa"/>
              <w:left w:w="113" w:type="dxa"/>
              <w:bottom w:w="113" w:type="dxa"/>
              <w:right w:w="113" w:type="dxa"/>
            </w:tcMar>
            <w:vAlign w:val="center"/>
          </w:tcPr>
          <w:p w14:paraId="709F9CB7" w14:textId="77777777" w:rsidR="00FB4146" w:rsidRDefault="00FB4146" w:rsidP="00FB4146">
            <w:pPr>
              <w:pStyle w:val="CDIFigure-Table-BodyTextCentre"/>
            </w:pPr>
            <w:r>
              <w:t>5 (5.2)</w:t>
            </w:r>
          </w:p>
        </w:tc>
      </w:tr>
      <w:tr w:rsidR="00FB4146" w14:paraId="33602B0F" w14:textId="77777777" w:rsidTr="00917557">
        <w:trPr>
          <w:trHeight w:val="20"/>
        </w:trPr>
        <w:tc>
          <w:tcPr>
            <w:tcW w:w="3515" w:type="dxa"/>
            <w:tcMar>
              <w:top w:w="113" w:type="dxa"/>
              <w:left w:w="113" w:type="dxa"/>
              <w:bottom w:w="113" w:type="dxa"/>
              <w:right w:w="113" w:type="dxa"/>
            </w:tcMar>
            <w:vAlign w:val="center"/>
          </w:tcPr>
          <w:p w14:paraId="1BF4F605" w14:textId="77777777" w:rsidR="00FB4146" w:rsidRDefault="00FB4146" w:rsidP="00917557">
            <w:pPr>
              <w:pStyle w:val="CDIFigure-Table-BodyTextLeft"/>
            </w:pPr>
            <w:r>
              <w:t>Dizziness</w:t>
            </w:r>
          </w:p>
        </w:tc>
        <w:tc>
          <w:tcPr>
            <w:tcW w:w="1247" w:type="dxa"/>
            <w:tcMar>
              <w:top w:w="113" w:type="dxa"/>
              <w:left w:w="113" w:type="dxa"/>
              <w:bottom w:w="113" w:type="dxa"/>
              <w:right w:w="113" w:type="dxa"/>
            </w:tcMar>
            <w:vAlign w:val="center"/>
          </w:tcPr>
          <w:p w14:paraId="1F8EDC02" w14:textId="77777777" w:rsidR="00FB4146" w:rsidRDefault="00FB4146" w:rsidP="00FB4146">
            <w:pPr>
              <w:pStyle w:val="CDIFigure-Table-BodyTextCentre"/>
            </w:pPr>
            <w:r>
              <w:t>94 (2.7)</w:t>
            </w:r>
          </w:p>
        </w:tc>
        <w:tc>
          <w:tcPr>
            <w:tcW w:w="1247" w:type="dxa"/>
            <w:tcMar>
              <w:top w:w="113" w:type="dxa"/>
              <w:left w:w="113" w:type="dxa"/>
              <w:bottom w:w="113" w:type="dxa"/>
              <w:right w:w="113" w:type="dxa"/>
            </w:tcMar>
            <w:vAlign w:val="center"/>
          </w:tcPr>
          <w:p w14:paraId="469B096D" w14:textId="77777777" w:rsidR="00FB4146" w:rsidRDefault="00FB4146" w:rsidP="00FB4146">
            <w:pPr>
              <w:pStyle w:val="CDIFigure-Table-BodyTextCentre"/>
            </w:pPr>
            <w:r>
              <w:t>4 (4.3)</w:t>
            </w:r>
          </w:p>
        </w:tc>
        <w:tc>
          <w:tcPr>
            <w:tcW w:w="1247" w:type="dxa"/>
            <w:tcMar>
              <w:top w:w="113" w:type="dxa"/>
              <w:left w:w="113" w:type="dxa"/>
              <w:bottom w:w="113" w:type="dxa"/>
              <w:right w:w="113" w:type="dxa"/>
            </w:tcMar>
            <w:vAlign w:val="center"/>
          </w:tcPr>
          <w:p w14:paraId="44C56620" w14:textId="77777777" w:rsidR="00FB4146" w:rsidRDefault="00FB4146" w:rsidP="00FB4146">
            <w:pPr>
              <w:pStyle w:val="CDIFigure-Table-BodyTextCentre"/>
            </w:pPr>
            <w:r>
              <w:t>1 (1.1)</w:t>
            </w:r>
          </w:p>
        </w:tc>
        <w:tc>
          <w:tcPr>
            <w:tcW w:w="1248" w:type="dxa"/>
            <w:tcMar>
              <w:top w:w="113" w:type="dxa"/>
              <w:left w:w="113" w:type="dxa"/>
              <w:bottom w:w="113" w:type="dxa"/>
              <w:right w:w="113" w:type="dxa"/>
            </w:tcMar>
            <w:vAlign w:val="center"/>
          </w:tcPr>
          <w:p w14:paraId="63EBB70F" w14:textId="77777777" w:rsidR="00FB4146" w:rsidRDefault="00FB4146" w:rsidP="00FB4146">
            <w:pPr>
              <w:pStyle w:val="CDIFigure-Table-BodyTextCentre"/>
            </w:pPr>
            <w:r>
              <w:t>87 (92.6)</w:t>
            </w:r>
          </w:p>
        </w:tc>
        <w:tc>
          <w:tcPr>
            <w:tcW w:w="1247" w:type="dxa"/>
            <w:tcMar>
              <w:top w:w="113" w:type="dxa"/>
              <w:left w:w="113" w:type="dxa"/>
              <w:bottom w:w="113" w:type="dxa"/>
              <w:right w:w="113" w:type="dxa"/>
            </w:tcMar>
            <w:vAlign w:val="center"/>
          </w:tcPr>
          <w:p w14:paraId="64DAA7B1" w14:textId="77777777" w:rsidR="00FB4146" w:rsidRDefault="00FB4146" w:rsidP="00FB4146">
            <w:pPr>
              <w:pStyle w:val="CDIFigure-Table-BodyTextCentre"/>
            </w:pPr>
            <w:r>
              <w:t>3 (3.2)</w:t>
            </w:r>
          </w:p>
        </w:tc>
      </w:tr>
      <w:tr w:rsidR="00FB4146" w14:paraId="7256F499"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0B60BEA9" w14:textId="77777777" w:rsidR="00FB4146" w:rsidRDefault="00FB4146" w:rsidP="00917557">
            <w:pPr>
              <w:pStyle w:val="CDIFigure-Table-BodyTextLeft"/>
            </w:pPr>
            <w:r>
              <w:t>Fatigue</w:t>
            </w:r>
          </w:p>
        </w:tc>
        <w:tc>
          <w:tcPr>
            <w:tcW w:w="1247" w:type="dxa"/>
            <w:shd w:val="clear" w:color="auto" w:fill="F2F2F2" w:themeFill="background1" w:themeFillShade="F2"/>
            <w:tcMar>
              <w:top w:w="113" w:type="dxa"/>
              <w:left w:w="113" w:type="dxa"/>
              <w:bottom w:w="113" w:type="dxa"/>
              <w:right w:w="113" w:type="dxa"/>
            </w:tcMar>
            <w:vAlign w:val="center"/>
          </w:tcPr>
          <w:p w14:paraId="197F1591" w14:textId="77777777" w:rsidR="00FB4146" w:rsidRDefault="00FB4146" w:rsidP="00FB4146">
            <w:pPr>
              <w:pStyle w:val="CDIFigure-Table-BodyTextCentre"/>
            </w:pPr>
            <w:r>
              <w:t>87 (2.5)</w:t>
            </w:r>
          </w:p>
        </w:tc>
        <w:tc>
          <w:tcPr>
            <w:tcW w:w="1247" w:type="dxa"/>
            <w:shd w:val="clear" w:color="auto" w:fill="F2F2F2" w:themeFill="background1" w:themeFillShade="F2"/>
            <w:tcMar>
              <w:top w:w="113" w:type="dxa"/>
              <w:left w:w="113" w:type="dxa"/>
              <w:bottom w:w="113" w:type="dxa"/>
              <w:right w:w="113" w:type="dxa"/>
            </w:tcMar>
            <w:vAlign w:val="center"/>
          </w:tcPr>
          <w:p w14:paraId="3B6B09AF" w14:textId="77777777" w:rsidR="00FB4146" w:rsidRDefault="00FB4146" w:rsidP="00FB4146">
            <w:pPr>
              <w:pStyle w:val="CDIFigure-Table-BodyTextCentre"/>
            </w:pPr>
            <w:r>
              <w:t>2 (2.3)</w:t>
            </w:r>
          </w:p>
        </w:tc>
        <w:tc>
          <w:tcPr>
            <w:tcW w:w="1247" w:type="dxa"/>
            <w:shd w:val="clear" w:color="auto" w:fill="F2F2F2" w:themeFill="background1" w:themeFillShade="F2"/>
            <w:tcMar>
              <w:top w:w="113" w:type="dxa"/>
              <w:left w:w="113" w:type="dxa"/>
              <w:bottom w:w="113" w:type="dxa"/>
              <w:right w:w="113" w:type="dxa"/>
            </w:tcMar>
            <w:vAlign w:val="center"/>
          </w:tcPr>
          <w:p w14:paraId="145F4649" w14:textId="77777777" w:rsidR="00FB4146" w:rsidRDefault="00FB4146" w:rsidP="00FB4146">
            <w:pPr>
              <w:pStyle w:val="CDIFigure-Table-BodyTextCentre"/>
            </w:pPr>
            <w:r>
              <w:t>14 (16.1)</w:t>
            </w:r>
          </w:p>
        </w:tc>
        <w:tc>
          <w:tcPr>
            <w:tcW w:w="1248" w:type="dxa"/>
            <w:shd w:val="clear" w:color="auto" w:fill="F2F2F2" w:themeFill="background1" w:themeFillShade="F2"/>
            <w:tcMar>
              <w:top w:w="113" w:type="dxa"/>
              <w:left w:w="113" w:type="dxa"/>
              <w:bottom w:w="113" w:type="dxa"/>
              <w:right w:w="113" w:type="dxa"/>
            </w:tcMar>
            <w:vAlign w:val="center"/>
          </w:tcPr>
          <w:p w14:paraId="26180B7A" w14:textId="77777777" w:rsidR="00FB4146" w:rsidRDefault="00FB4146" w:rsidP="00FB4146">
            <w:pPr>
              <w:pStyle w:val="CDIFigure-Table-BodyTextCentre"/>
            </w:pPr>
            <w:r>
              <w:t>64 (73.6)</w:t>
            </w:r>
          </w:p>
        </w:tc>
        <w:tc>
          <w:tcPr>
            <w:tcW w:w="1247" w:type="dxa"/>
            <w:shd w:val="clear" w:color="auto" w:fill="F2F2F2" w:themeFill="background1" w:themeFillShade="F2"/>
            <w:tcMar>
              <w:top w:w="113" w:type="dxa"/>
              <w:left w:w="113" w:type="dxa"/>
              <w:bottom w:w="113" w:type="dxa"/>
              <w:right w:w="113" w:type="dxa"/>
            </w:tcMar>
            <w:vAlign w:val="center"/>
          </w:tcPr>
          <w:p w14:paraId="037D2090" w14:textId="77777777" w:rsidR="00FB4146" w:rsidRDefault="00FB4146" w:rsidP="00FB4146">
            <w:pPr>
              <w:pStyle w:val="CDIFigure-Table-BodyTextCentre"/>
            </w:pPr>
            <w:r>
              <w:t>6 (6.9)</w:t>
            </w:r>
          </w:p>
        </w:tc>
      </w:tr>
      <w:tr w:rsidR="00FB4146" w14:paraId="37774BBC" w14:textId="77777777" w:rsidTr="00917557">
        <w:trPr>
          <w:trHeight w:val="20"/>
        </w:trPr>
        <w:tc>
          <w:tcPr>
            <w:tcW w:w="3515" w:type="dxa"/>
            <w:tcMar>
              <w:top w:w="113" w:type="dxa"/>
              <w:left w:w="113" w:type="dxa"/>
              <w:bottom w:w="113" w:type="dxa"/>
              <w:right w:w="113" w:type="dxa"/>
            </w:tcMar>
            <w:vAlign w:val="center"/>
          </w:tcPr>
          <w:p w14:paraId="0CF28BF2" w14:textId="77777777" w:rsidR="00FB4146" w:rsidRDefault="00FB4146" w:rsidP="00917557">
            <w:pPr>
              <w:pStyle w:val="CDIFigure-Table-BodyTextLeft"/>
            </w:pPr>
            <w:r>
              <w:t>Dyspnoea</w:t>
            </w:r>
          </w:p>
        </w:tc>
        <w:tc>
          <w:tcPr>
            <w:tcW w:w="1247" w:type="dxa"/>
            <w:tcMar>
              <w:top w:w="113" w:type="dxa"/>
              <w:left w:w="113" w:type="dxa"/>
              <w:bottom w:w="113" w:type="dxa"/>
              <w:right w:w="113" w:type="dxa"/>
            </w:tcMar>
            <w:vAlign w:val="center"/>
          </w:tcPr>
          <w:p w14:paraId="4FEF67DA" w14:textId="77777777" w:rsidR="00FB4146" w:rsidRDefault="00FB4146" w:rsidP="00FB4146">
            <w:pPr>
              <w:pStyle w:val="CDIFigure-Table-BodyTextCentre"/>
            </w:pPr>
            <w:r>
              <w:t>85 (2.5)</w:t>
            </w:r>
          </w:p>
        </w:tc>
        <w:tc>
          <w:tcPr>
            <w:tcW w:w="1247" w:type="dxa"/>
            <w:tcMar>
              <w:top w:w="113" w:type="dxa"/>
              <w:left w:w="113" w:type="dxa"/>
              <w:bottom w:w="113" w:type="dxa"/>
              <w:right w:w="113" w:type="dxa"/>
            </w:tcMar>
            <w:vAlign w:val="center"/>
          </w:tcPr>
          <w:p w14:paraId="2E700517" w14:textId="77777777" w:rsidR="00FB4146" w:rsidRDefault="00FB4146" w:rsidP="00FB4146">
            <w:pPr>
              <w:pStyle w:val="CDIFigure-Table-BodyTextCentre"/>
            </w:pPr>
            <w:r>
              <w:t>3 (3.5)</w:t>
            </w:r>
          </w:p>
        </w:tc>
        <w:tc>
          <w:tcPr>
            <w:tcW w:w="1247" w:type="dxa"/>
            <w:tcMar>
              <w:top w:w="113" w:type="dxa"/>
              <w:left w:w="113" w:type="dxa"/>
              <w:bottom w:w="113" w:type="dxa"/>
              <w:right w:w="113" w:type="dxa"/>
            </w:tcMar>
            <w:vAlign w:val="center"/>
          </w:tcPr>
          <w:p w14:paraId="1A80169A" w14:textId="77777777" w:rsidR="00FB4146" w:rsidRDefault="00FB4146" w:rsidP="00FB4146">
            <w:pPr>
              <w:pStyle w:val="CDIFigure-Table-BodyTextCentre"/>
            </w:pPr>
            <w:r>
              <w:t>21 (24.7)</w:t>
            </w:r>
          </w:p>
        </w:tc>
        <w:tc>
          <w:tcPr>
            <w:tcW w:w="1248" w:type="dxa"/>
            <w:tcMar>
              <w:top w:w="113" w:type="dxa"/>
              <w:left w:w="113" w:type="dxa"/>
              <w:bottom w:w="113" w:type="dxa"/>
              <w:right w:w="113" w:type="dxa"/>
            </w:tcMar>
            <w:vAlign w:val="center"/>
          </w:tcPr>
          <w:p w14:paraId="3EEFE438" w14:textId="77777777" w:rsidR="00FB4146" w:rsidRDefault="00FB4146" w:rsidP="00FB4146">
            <w:pPr>
              <w:pStyle w:val="CDIFigure-Table-BodyTextCentre"/>
            </w:pPr>
            <w:r>
              <w:t>61 (71.8)</w:t>
            </w:r>
          </w:p>
        </w:tc>
        <w:tc>
          <w:tcPr>
            <w:tcW w:w="1247" w:type="dxa"/>
            <w:tcMar>
              <w:top w:w="113" w:type="dxa"/>
              <w:left w:w="113" w:type="dxa"/>
              <w:bottom w:w="113" w:type="dxa"/>
              <w:right w:w="113" w:type="dxa"/>
            </w:tcMar>
            <w:vAlign w:val="center"/>
          </w:tcPr>
          <w:p w14:paraId="1412FCC2" w14:textId="77777777" w:rsidR="00FB4146" w:rsidRDefault="00FB4146" w:rsidP="00FB4146">
            <w:pPr>
              <w:pStyle w:val="CDIFigure-Table-BodyTextCentre"/>
            </w:pPr>
            <w:r>
              <w:t>13 (15.3)</w:t>
            </w:r>
          </w:p>
        </w:tc>
      </w:tr>
      <w:tr w:rsidR="00FB4146" w14:paraId="7E30D08A"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76A13A0B" w14:textId="77777777" w:rsidR="00FB4146" w:rsidRDefault="00FB4146" w:rsidP="00917557">
            <w:pPr>
              <w:pStyle w:val="CDIFigure-Table-BodyTextLeft"/>
            </w:pPr>
            <w:r>
              <w:t>Arthralgia</w:t>
            </w:r>
          </w:p>
        </w:tc>
        <w:tc>
          <w:tcPr>
            <w:tcW w:w="1247" w:type="dxa"/>
            <w:shd w:val="clear" w:color="auto" w:fill="F2F2F2" w:themeFill="background1" w:themeFillShade="F2"/>
            <w:tcMar>
              <w:top w:w="113" w:type="dxa"/>
              <w:left w:w="113" w:type="dxa"/>
              <w:bottom w:w="113" w:type="dxa"/>
              <w:right w:w="113" w:type="dxa"/>
            </w:tcMar>
            <w:vAlign w:val="center"/>
          </w:tcPr>
          <w:p w14:paraId="223CB487" w14:textId="77777777" w:rsidR="00FB4146" w:rsidRDefault="00FB4146" w:rsidP="00FB4146">
            <w:pPr>
              <w:pStyle w:val="CDIFigure-Table-BodyTextCentre"/>
            </w:pPr>
            <w:r>
              <w:t>79 (2.3)</w:t>
            </w:r>
          </w:p>
        </w:tc>
        <w:tc>
          <w:tcPr>
            <w:tcW w:w="1247" w:type="dxa"/>
            <w:shd w:val="clear" w:color="auto" w:fill="F2F2F2" w:themeFill="background1" w:themeFillShade="F2"/>
            <w:tcMar>
              <w:top w:w="113" w:type="dxa"/>
              <w:left w:w="113" w:type="dxa"/>
              <w:bottom w:w="113" w:type="dxa"/>
              <w:right w:w="113" w:type="dxa"/>
            </w:tcMar>
            <w:vAlign w:val="center"/>
          </w:tcPr>
          <w:p w14:paraId="0DE674B0" w14:textId="77777777" w:rsidR="00FB4146" w:rsidRDefault="00FB4146" w:rsidP="00FB4146">
            <w:pPr>
              <w:pStyle w:val="CDIFigure-Table-BodyTextCentre"/>
            </w:pPr>
            <w:r>
              <w:t>5 (6.3)</w:t>
            </w:r>
          </w:p>
        </w:tc>
        <w:tc>
          <w:tcPr>
            <w:tcW w:w="1247" w:type="dxa"/>
            <w:shd w:val="clear" w:color="auto" w:fill="F2F2F2" w:themeFill="background1" w:themeFillShade="F2"/>
            <w:tcMar>
              <w:top w:w="113" w:type="dxa"/>
              <w:left w:w="113" w:type="dxa"/>
              <w:bottom w:w="113" w:type="dxa"/>
              <w:right w:w="113" w:type="dxa"/>
            </w:tcMar>
            <w:vAlign w:val="center"/>
          </w:tcPr>
          <w:p w14:paraId="5D174F04" w14:textId="77777777" w:rsidR="00FB4146" w:rsidRDefault="00FB4146" w:rsidP="00FB4146">
            <w:pPr>
              <w:pStyle w:val="CDIFigure-Table-BodyTextCentre"/>
            </w:pPr>
            <w:r>
              <w:t>0 (0.0)</w:t>
            </w:r>
          </w:p>
        </w:tc>
        <w:tc>
          <w:tcPr>
            <w:tcW w:w="1248" w:type="dxa"/>
            <w:shd w:val="clear" w:color="auto" w:fill="F2F2F2" w:themeFill="background1" w:themeFillShade="F2"/>
            <w:tcMar>
              <w:top w:w="113" w:type="dxa"/>
              <w:left w:w="113" w:type="dxa"/>
              <w:bottom w:w="113" w:type="dxa"/>
              <w:right w:w="113" w:type="dxa"/>
            </w:tcMar>
            <w:vAlign w:val="center"/>
          </w:tcPr>
          <w:p w14:paraId="623F2671" w14:textId="77777777" w:rsidR="00FB4146" w:rsidRDefault="00FB4146" w:rsidP="00FB4146">
            <w:pPr>
              <w:pStyle w:val="CDIFigure-Table-BodyTextCentre"/>
            </w:pPr>
            <w:r>
              <w:t>73 (92.4)</w:t>
            </w:r>
          </w:p>
        </w:tc>
        <w:tc>
          <w:tcPr>
            <w:tcW w:w="1247" w:type="dxa"/>
            <w:shd w:val="clear" w:color="auto" w:fill="F2F2F2" w:themeFill="background1" w:themeFillShade="F2"/>
            <w:tcMar>
              <w:top w:w="113" w:type="dxa"/>
              <w:left w:w="113" w:type="dxa"/>
              <w:bottom w:w="113" w:type="dxa"/>
              <w:right w:w="113" w:type="dxa"/>
            </w:tcMar>
            <w:vAlign w:val="center"/>
          </w:tcPr>
          <w:p w14:paraId="2BB29CA9" w14:textId="77777777" w:rsidR="00FB4146" w:rsidRDefault="00FB4146" w:rsidP="00FB4146">
            <w:pPr>
              <w:pStyle w:val="CDIFigure-Table-BodyTextCentre"/>
            </w:pPr>
            <w:r>
              <w:t>9 (11.4)</w:t>
            </w:r>
          </w:p>
        </w:tc>
      </w:tr>
      <w:tr w:rsidR="00FB4146" w14:paraId="0EADAE10" w14:textId="77777777" w:rsidTr="00917557">
        <w:trPr>
          <w:trHeight w:val="20"/>
        </w:trPr>
        <w:tc>
          <w:tcPr>
            <w:tcW w:w="3515" w:type="dxa"/>
            <w:tcMar>
              <w:top w:w="113" w:type="dxa"/>
              <w:left w:w="113" w:type="dxa"/>
              <w:bottom w:w="113" w:type="dxa"/>
              <w:right w:w="113" w:type="dxa"/>
            </w:tcMar>
            <w:vAlign w:val="center"/>
          </w:tcPr>
          <w:p w14:paraId="31BD3379" w14:textId="77777777" w:rsidR="00FB4146" w:rsidRDefault="00FB4146" w:rsidP="00917557">
            <w:pPr>
              <w:pStyle w:val="CDIFigure-Table-BodyTextLeft"/>
            </w:pPr>
            <w:r>
              <w:t>Malaise</w:t>
            </w:r>
          </w:p>
        </w:tc>
        <w:tc>
          <w:tcPr>
            <w:tcW w:w="1247" w:type="dxa"/>
            <w:tcMar>
              <w:top w:w="113" w:type="dxa"/>
              <w:left w:w="113" w:type="dxa"/>
              <w:bottom w:w="113" w:type="dxa"/>
              <w:right w:w="113" w:type="dxa"/>
            </w:tcMar>
            <w:vAlign w:val="center"/>
          </w:tcPr>
          <w:p w14:paraId="426C6DD1" w14:textId="77777777" w:rsidR="00FB4146" w:rsidRDefault="00FB4146" w:rsidP="00FB4146">
            <w:pPr>
              <w:pStyle w:val="CDIFigure-Table-BodyTextCentre"/>
            </w:pPr>
            <w:r>
              <w:t>69 (2.0)</w:t>
            </w:r>
          </w:p>
        </w:tc>
        <w:tc>
          <w:tcPr>
            <w:tcW w:w="1247" w:type="dxa"/>
            <w:tcMar>
              <w:top w:w="113" w:type="dxa"/>
              <w:left w:w="113" w:type="dxa"/>
              <w:bottom w:w="113" w:type="dxa"/>
              <w:right w:w="113" w:type="dxa"/>
            </w:tcMar>
            <w:vAlign w:val="center"/>
          </w:tcPr>
          <w:p w14:paraId="54BDC1FE" w14:textId="77777777" w:rsidR="00FB4146" w:rsidRDefault="00FB4146" w:rsidP="00FB4146">
            <w:pPr>
              <w:pStyle w:val="CDIFigure-Table-BodyTextCentre"/>
            </w:pPr>
            <w:r>
              <w:t>2 (2.9)</w:t>
            </w:r>
          </w:p>
        </w:tc>
        <w:tc>
          <w:tcPr>
            <w:tcW w:w="1247" w:type="dxa"/>
            <w:tcMar>
              <w:top w:w="113" w:type="dxa"/>
              <w:left w:w="113" w:type="dxa"/>
              <w:bottom w:w="113" w:type="dxa"/>
              <w:right w:w="113" w:type="dxa"/>
            </w:tcMar>
            <w:vAlign w:val="center"/>
          </w:tcPr>
          <w:p w14:paraId="0EC809AA" w14:textId="77777777" w:rsidR="00FB4146" w:rsidRDefault="00FB4146" w:rsidP="00FB4146">
            <w:pPr>
              <w:pStyle w:val="CDIFigure-Table-BodyTextCentre"/>
            </w:pPr>
            <w:r>
              <w:t>9 (13.0)</w:t>
            </w:r>
          </w:p>
        </w:tc>
        <w:tc>
          <w:tcPr>
            <w:tcW w:w="1248" w:type="dxa"/>
            <w:tcMar>
              <w:top w:w="113" w:type="dxa"/>
              <w:left w:w="113" w:type="dxa"/>
              <w:bottom w:w="113" w:type="dxa"/>
              <w:right w:w="113" w:type="dxa"/>
            </w:tcMar>
            <w:vAlign w:val="center"/>
          </w:tcPr>
          <w:p w14:paraId="2B2770D0" w14:textId="77777777" w:rsidR="00FB4146" w:rsidRDefault="00FB4146" w:rsidP="00FB4146">
            <w:pPr>
              <w:pStyle w:val="CDIFigure-Table-BodyTextCentre"/>
            </w:pPr>
            <w:r>
              <w:t>57 (82.6)</w:t>
            </w:r>
          </w:p>
        </w:tc>
        <w:tc>
          <w:tcPr>
            <w:tcW w:w="1247" w:type="dxa"/>
            <w:tcMar>
              <w:top w:w="113" w:type="dxa"/>
              <w:left w:w="113" w:type="dxa"/>
              <w:bottom w:w="113" w:type="dxa"/>
              <w:right w:w="113" w:type="dxa"/>
            </w:tcMar>
            <w:vAlign w:val="center"/>
          </w:tcPr>
          <w:p w14:paraId="231F9BEE" w14:textId="77777777" w:rsidR="00FB4146" w:rsidRDefault="00FB4146" w:rsidP="00FB4146">
            <w:pPr>
              <w:pStyle w:val="CDIFigure-Table-BodyTextCentre"/>
            </w:pPr>
            <w:r>
              <w:t>1 (1.4)</w:t>
            </w:r>
          </w:p>
        </w:tc>
      </w:tr>
      <w:tr w:rsidR="00FB4146" w14:paraId="747B6ECF"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37FB62EC" w14:textId="77777777" w:rsidR="00FB4146" w:rsidRDefault="00FB4146" w:rsidP="00917557">
            <w:pPr>
              <w:pStyle w:val="CDIFigure-Table-BodyTextLeft"/>
            </w:pPr>
            <w:r>
              <w:t>Chills</w:t>
            </w:r>
          </w:p>
        </w:tc>
        <w:tc>
          <w:tcPr>
            <w:tcW w:w="1247" w:type="dxa"/>
            <w:shd w:val="clear" w:color="auto" w:fill="F2F2F2" w:themeFill="background1" w:themeFillShade="F2"/>
            <w:tcMar>
              <w:top w:w="113" w:type="dxa"/>
              <w:left w:w="113" w:type="dxa"/>
              <w:bottom w:w="113" w:type="dxa"/>
              <w:right w:w="113" w:type="dxa"/>
            </w:tcMar>
            <w:vAlign w:val="center"/>
          </w:tcPr>
          <w:p w14:paraId="420EB9AC" w14:textId="77777777" w:rsidR="00FB4146" w:rsidRDefault="00FB4146" w:rsidP="00FB4146">
            <w:pPr>
              <w:pStyle w:val="CDIFigure-Table-BodyTextCentre"/>
            </w:pPr>
            <w:r>
              <w:t>60 (1.7)</w:t>
            </w:r>
          </w:p>
        </w:tc>
        <w:tc>
          <w:tcPr>
            <w:tcW w:w="1247" w:type="dxa"/>
            <w:shd w:val="clear" w:color="auto" w:fill="F2F2F2" w:themeFill="background1" w:themeFillShade="F2"/>
            <w:tcMar>
              <w:top w:w="113" w:type="dxa"/>
              <w:left w:w="113" w:type="dxa"/>
              <w:bottom w:w="113" w:type="dxa"/>
              <w:right w:w="113" w:type="dxa"/>
            </w:tcMar>
            <w:vAlign w:val="center"/>
          </w:tcPr>
          <w:p w14:paraId="49F5CF54" w14:textId="77777777" w:rsidR="00FB4146" w:rsidRDefault="00FB4146" w:rsidP="00FB4146">
            <w:pPr>
              <w:pStyle w:val="CDIFigure-Table-BodyTextCentre"/>
            </w:pPr>
            <w:r>
              <w:t>1 (1.7)</w:t>
            </w:r>
          </w:p>
        </w:tc>
        <w:tc>
          <w:tcPr>
            <w:tcW w:w="1247" w:type="dxa"/>
            <w:shd w:val="clear" w:color="auto" w:fill="F2F2F2" w:themeFill="background1" w:themeFillShade="F2"/>
            <w:tcMar>
              <w:top w:w="113" w:type="dxa"/>
              <w:left w:w="113" w:type="dxa"/>
              <w:bottom w:w="113" w:type="dxa"/>
              <w:right w:w="113" w:type="dxa"/>
            </w:tcMar>
            <w:vAlign w:val="center"/>
          </w:tcPr>
          <w:p w14:paraId="761FAD2B" w14:textId="77777777" w:rsidR="00FB4146" w:rsidRDefault="00FB4146" w:rsidP="00FB4146">
            <w:pPr>
              <w:pStyle w:val="CDIFigure-Table-BodyTextCentre"/>
            </w:pPr>
            <w:r>
              <w:t>8 (13.3)</w:t>
            </w:r>
          </w:p>
        </w:tc>
        <w:tc>
          <w:tcPr>
            <w:tcW w:w="1248" w:type="dxa"/>
            <w:shd w:val="clear" w:color="auto" w:fill="F2F2F2" w:themeFill="background1" w:themeFillShade="F2"/>
            <w:tcMar>
              <w:top w:w="113" w:type="dxa"/>
              <w:left w:w="113" w:type="dxa"/>
              <w:bottom w:w="113" w:type="dxa"/>
              <w:right w:w="113" w:type="dxa"/>
            </w:tcMar>
            <w:vAlign w:val="center"/>
          </w:tcPr>
          <w:p w14:paraId="38433ACA" w14:textId="77777777" w:rsidR="00FB4146" w:rsidRDefault="00FB4146" w:rsidP="00FB4146">
            <w:pPr>
              <w:pStyle w:val="CDIFigure-Table-BodyTextCentre"/>
            </w:pPr>
            <w:r>
              <w:t>50 (83.3)</w:t>
            </w:r>
          </w:p>
        </w:tc>
        <w:tc>
          <w:tcPr>
            <w:tcW w:w="1247" w:type="dxa"/>
            <w:shd w:val="clear" w:color="auto" w:fill="F2F2F2" w:themeFill="background1" w:themeFillShade="F2"/>
            <w:tcMar>
              <w:top w:w="113" w:type="dxa"/>
              <w:left w:w="113" w:type="dxa"/>
              <w:bottom w:w="113" w:type="dxa"/>
              <w:right w:w="113" w:type="dxa"/>
            </w:tcMar>
            <w:vAlign w:val="center"/>
          </w:tcPr>
          <w:p w14:paraId="06332E14" w14:textId="77777777" w:rsidR="00FB4146" w:rsidRDefault="00FB4146" w:rsidP="00FB4146">
            <w:pPr>
              <w:pStyle w:val="CDIFigure-Table-BodyTextCentre"/>
            </w:pPr>
            <w:r>
              <w:t>3 (5.0)</w:t>
            </w:r>
          </w:p>
        </w:tc>
      </w:tr>
      <w:tr w:rsidR="00FB4146" w14:paraId="52BE60AB" w14:textId="77777777" w:rsidTr="00917557">
        <w:trPr>
          <w:trHeight w:val="20"/>
        </w:trPr>
        <w:tc>
          <w:tcPr>
            <w:tcW w:w="3515" w:type="dxa"/>
            <w:tcMar>
              <w:top w:w="113" w:type="dxa"/>
              <w:left w:w="113" w:type="dxa"/>
              <w:bottom w:w="113" w:type="dxa"/>
              <w:right w:w="113" w:type="dxa"/>
            </w:tcMar>
            <w:vAlign w:val="center"/>
          </w:tcPr>
          <w:p w14:paraId="3E56E838" w14:textId="77777777" w:rsidR="00FB4146" w:rsidRDefault="00FB4146" w:rsidP="00917557">
            <w:pPr>
              <w:pStyle w:val="CDIFigure-Table-BodyTextLeft"/>
            </w:pPr>
            <w:r>
              <w:t>Cough</w:t>
            </w:r>
          </w:p>
        </w:tc>
        <w:tc>
          <w:tcPr>
            <w:tcW w:w="1247" w:type="dxa"/>
            <w:tcMar>
              <w:top w:w="113" w:type="dxa"/>
              <w:left w:w="113" w:type="dxa"/>
              <w:bottom w:w="113" w:type="dxa"/>
              <w:right w:w="113" w:type="dxa"/>
            </w:tcMar>
            <w:vAlign w:val="center"/>
          </w:tcPr>
          <w:p w14:paraId="27179146" w14:textId="77777777" w:rsidR="00FB4146" w:rsidRDefault="00FB4146" w:rsidP="00FB4146">
            <w:pPr>
              <w:pStyle w:val="CDIFigure-Table-BodyTextCentre"/>
            </w:pPr>
            <w:r>
              <w:t>60 (1.7)</w:t>
            </w:r>
          </w:p>
        </w:tc>
        <w:tc>
          <w:tcPr>
            <w:tcW w:w="1247" w:type="dxa"/>
            <w:tcMar>
              <w:top w:w="113" w:type="dxa"/>
              <w:left w:w="113" w:type="dxa"/>
              <w:bottom w:w="113" w:type="dxa"/>
              <w:right w:w="113" w:type="dxa"/>
            </w:tcMar>
            <w:vAlign w:val="center"/>
          </w:tcPr>
          <w:p w14:paraId="4E2CF79B" w14:textId="77777777" w:rsidR="00FB4146" w:rsidRDefault="00FB4146" w:rsidP="00FB4146">
            <w:pPr>
              <w:pStyle w:val="CDIFigure-Table-BodyTextCentre"/>
            </w:pPr>
            <w:r>
              <w:t>1 (1.7)</w:t>
            </w:r>
          </w:p>
        </w:tc>
        <w:tc>
          <w:tcPr>
            <w:tcW w:w="1247" w:type="dxa"/>
            <w:tcMar>
              <w:top w:w="113" w:type="dxa"/>
              <w:left w:w="113" w:type="dxa"/>
              <w:bottom w:w="113" w:type="dxa"/>
              <w:right w:w="113" w:type="dxa"/>
            </w:tcMar>
            <w:vAlign w:val="center"/>
          </w:tcPr>
          <w:p w14:paraId="2E23D299" w14:textId="77777777" w:rsidR="00FB4146" w:rsidRDefault="00FB4146" w:rsidP="00FB4146">
            <w:pPr>
              <w:pStyle w:val="CDIFigure-Table-BodyTextCentre"/>
            </w:pPr>
            <w:r>
              <w:t>31 (51.7)</w:t>
            </w:r>
          </w:p>
        </w:tc>
        <w:tc>
          <w:tcPr>
            <w:tcW w:w="1248" w:type="dxa"/>
            <w:tcMar>
              <w:top w:w="113" w:type="dxa"/>
              <w:left w:w="113" w:type="dxa"/>
              <w:bottom w:w="113" w:type="dxa"/>
              <w:right w:w="113" w:type="dxa"/>
            </w:tcMar>
            <w:vAlign w:val="center"/>
          </w:tcPr>
          <w:p w14:paraId="2F52F087" w14:textId="77777777" w:rsidR="00FB4146" w:rsidRDefault="00FB4146" w:rsidP="00FB4146">
            <w:pPr>
              <w:pStyle w:val="CDIFigure-Table-BodyTextCentre"/>
            </w:pPr>
            <w:r>
              <w:t>28 (46.7)</w:t>
            </w:r>
          </w:p>
        </w:tc>
        <w:tc>
          <w:tcPr>
            <w:tcW w:w="1247" w:type="dxa"/>
            <w:tcMar>
              <w:top w:w="113" w:type="dxa"/>
              <w:left w:w="113" w:type="dxa"/>
              <w:bottom w:w="113" w:type="dxa"/>
              <w:right w:w="113" w:type="dxa"/>
            </w:tcMar>
            <w:vAlign w:val="center"/>
          </w:tcPr>
          <w:p w14:paraId="1BE246AF" w14:textId="77777777" w:rsidR="00FB4146" w:rsidRDefault="00FB4146" w:rsidP="00FB4146">
            <w:pPr>
              <w:pStyle w:val="CDIFigure-Table-BodyTextCentre"/>
            </w:pPr>
            <w:r>
              <w:t>3 (5.0)</w:t>
            </w:r>
          </w:p>
        </w:tc>
      </w:tr>
      <w:tr w:rsidR="00FB4146" w14:paraId="7ABE51B4"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6C8F69B1" w14:textId="77777777" w:rsidR="00FB4146" w:rsidRDefault="00FB4146" w:rsidP="00917557">
            <w:pPr>
              <w:pStyle w:val="CDIFigure-Table-BodyTextLeft"/>
            </w:pPr>
            <w:r>
              <w:t>Paraesthesia</w:t>
            </w:r>
          </w:p>
        </w:tc>
        <w:tc>
          <w:tcPr>
            <w:tcW w:w="1247" w:type="dxa"/>
            <w:shd w:val="clear" w:color="auto" w:fill="F2F2F2" w:themeFill="background1" w:themeFillShade="F2"/>
            <w:tcMar>
              <w:top w:w="113" w:type="dxa"/>
              <w:left w:w="113" w:type="dxa"/>
              <w:bottom w:w="113" w:type="dxa"/>
              <w:right w:w="113" w:type="dxa"/>
            </w:tcMar>
            <w:vAlign w:val="center"/>
          </w:tcPr>
          <w:p w14:paraId="54D6A8E1" w14:textId="77777777" w:rsidR="00FB4146" w:rsidRDefault="00FB4146" w:rsidP="00FB4146">
            <w:pPr>
              <w:pStyle w:val="CDIFigure-Table-BodyTextCentre"/>
            </w:pPr>
            <w:r>
              <w:t>56 (1.6)</w:t>
            </w:r>
          </w:p>
        </w:tc>
        <w:tc>
          <w:tcPr>
            <w:tcW w:w="1247" w:type="dxa"/>
            <w:shd w:val="clear" w:color="auto" w:fill="F2F2F2" w:themeFill="background1" w:themeFillShade="F2"/>
            <w:tcMar>
              <w:top w:w="113" w:type="dxa"/>
              <w:left w:w="113" w:type="dxa"/>
              <w:bottom w:w="113" w:type="dxa"/>
              <w:right w:w="113" w:type="dxa"/>
            </w:tcMar>
            <w:vAlign w:val="center"/>
          </w:tcPr>
          <w:p w14:paraId="4A19AA10" w14:textId="77777777" w:rsidR="00FB4146" w:rsidRDefault="00FB4146" w:rsidP="00FB4146">
            <w:pPr>
              <w:pStyle w:val="CDIFigure-Table-BodyTextCentre"/>
            </w:pPr>
            <w:r>
              <w:t>6 (10.7)</w:t>
            </w:r>
          </w:p>
        </w:tc>
        <w:tc>
          <w:tcPr>
            <w:tcW w:w="1247" w:type="dxa"/>
            <w:shd w:val="clear" w:color="auto" w:fill="F2F2F2" w:themeFill="background1" w:themeFillShade="F2"/>
            <w:tcMar>
              <w:top w:w="113" w:type="dxa"/>
              <w:left w:w="113" w:type="dxa"/>
              <w:bottom w:w="113" w:type="dxa"/>
              <w:right w:w="113" w:type="dxa"/>
            </w:tcMar>
            <w:vAlign w:val="center"/>
          </w:tcPr>
          <w:p w14:paraId="559DF7FC" w14:textId="77777777" w:rsidR="00FB4146" w:rsidRDefault="00FB4146" w:rsidP="00FB4146">
            <w:pPr>
              <w:pStyle w:val="CDIFigure-Table-BodyTextCentre"/>
            </w:pPr>
            <w:r>
              <w:t>0 (0.0)</w:t>
            </w:r>
          </w:p>
        </w:tc>
        <w:tc>
          <w:tcPr>
            <w:tcW w:w="1248" w:type="dxa"/>
            <w:shd w:val="clear" w:color="auto" w:fill="F2F2F2" w:themeFill="background1" w:themeFillShade="F2"/>
            <w:tcMar>
              <w:top w:w="113" w:type="dxa"/>
              <w:left w:w="113" w:type="dxa"/>
              <w:bottom w:w="113" w:type="dxa"/>
              <w:right w:w="113" w:type="dxa"/>
            </w:tcMar>
            <w:vAlign w:val="center"/>
          </w:tcPr>
          <w:p w14:paraId="283F6606" w14:textId="77777777" w:rsidR="00FB4146" w:rsidRDefault="00FB4146" w:rsidP="00FB4146">
            <w:pPr>
              <w:pStyle w:val="CDIFigure-Table-BodyTextCentre"/>
            </w:pPr>
            <w:r>
              <w:t>51 (91.1)</w:t>
            </w:r>
          </w:p>
        </w:tc>
        <w:tc>
          <w:tcPr>
            <w:tcW w:w="1247" w:type="dxa"/>
            <w:shd w:val="clear" w:color="auto" w:fill="F2F2F2" w:themeFill="background1" w:themeFillShade="F2"/>
            <w:tcMar>
              <w:top w:w="113" w:type="dxa"/>
              <w:left w:w="113" w:type="dxa"/>
              <w:bottom w:w="113" w:type="dxa"/>
              <w:right w:w="113" w:type="dxa"/>
            </w:tcMar>
            <w:vAlign w:val="center"/>
          </w:tcPr>
          <w:p w14:paraId="2339C81A" w14:textId="77777777" w:rsidR="00FB4146" w:rsidRDefault="00FB4146" w:rsidP="00FB4146">
            <w:pPr>
              <w:pStyle w:val="CDIFigure-Table-BodyTextCentre"/>
            </w:pPr>
            <w:r>
              <w:t>5 (8.9)</w:t>
            </w:r>
          </w:p>
        </w:tc>
      </w:tr>
      <w:tr w:rsidR="00FB4146" w14:paraId="28B900B9" w14:textId="77777777" w:rsidTr="00917557">
        <w:trPr>
          <w:trHeight w:val="20"/>
        </w:trPr>
        <w:tc>
          <w:tcPr>
            <w:tcW w:w="3515" w:type="dxa"/>
            <w:tcMar>
              <w:top w:w="113" w:type="dxa"/>
              <w:left w:w="113" w:type="dxa"/>
              <w:bottom w:w="113" w:type="dxa"/>
              <w:right w:w="113" w:type="dxa"/>
            </w:tcMar>
            <w:vAlign w:val="center"/>
          </w:tcPr>
          <w:p w14:paraId="7251526F" w14:textId="77777777" w:rsidR="00FB4146" w:rsidRDefault="00FB4146" w:rsidP="00917557">
            <w:pPr>
              <w:pStyle w:val="CDIFigure-Table-BodyTextLeft"/>
            </w:pPr>
            <w:r>
              <w:t>Angioedema</w:t>
            </w:r>
          </w:p>
        </w:tc>
        <w:tc>
          <w:tcPr>
            <w:tcW w:w="1247" w:type="dxa"/>
            <w:tcMar>
              <w:top w:w="113" w:type="dxa"/>
              <w:left w:w="113" w:type="dxa"/>
              <w:bottom w:w="113" w:type="dxa"/>
              <w:right w:w="113" w:type="dxa"/>
            </w:tcMar>
            <w:vAlign w:val="center"/>
          </w:tcPr>
          <w:p w14:paraId="34D469D5" w14:textId="77777777" w:rsidR="00FB4146" w:rsidRDefault="00FB4146" w:rsidP="00FB4146">
            <w:pPr>
              <w:pStyle w:val="CDIFigure-Table-BodyTextCentre"/>
            </w:pPr>
            <w:r>
              <w:t>53 (1.5)</w:t>
            </w:r>
          </w:p>
        </w:tc>
        <w:tc>
          <w:tcPr>
            <w:tcW w:w="1247" w:type="dxa"/>
            <w:tcMar>
              <w:top w:w="113" w:type="dxa"/>
              <w:left w:w="113" w:type="dxa"/>
              <w:bottom w:w="113" w:type="dxa"/>
              <w:right w:w="113" w:type="dxa"/>
            </w:tcMar>
            <w:vAlign w:val="center"/>
          </w:tcPr>
          <w:p w14:paraId="53ECCD72" w14:textId="77777777" w:rsidR="00FB4146" w:rsidRDefault="00FB4146" w:rsidP="00FB4146">
            <w:pPr>
              <w:pStyle w:val="CDIFigure-Table-BodyTextCentre"/>
            </w:pPr>
            <w:r>
              <w:t>10 (18.9)</w:t>
            </w:r>
          </w:p>
        </w:tc>
        <w:tc>
          <w:tcPr>
            <w:tcW w:w="1247" w:type="dxa"/>
            <w:tcMar>
              <w:top w:w="113" w:type="dxa"/>
              <w:left w:w="113" w:type="dxa"/>
              <w:bottom w:w="113" w:type="dxa"/>
              <w:right w:w="113" w:type="dxa"/>
            </w:tcMar>
            <w:vAlign w:val="center"/>
          </w:tcPr>
          <w:p w14:paraId="3E9269AD" w14:textId="77777777" w:rsidR="00FB4146" w:rsidRDefault="00FB4146" w:rsidP="00FB4146">
            <w:pPr>
              <w:pStyle w:val="CDIFigure-Table-BodyTextCentre"/>
            </w:pPr>
            <w:r>
              <w:t>20 (37.7)</w:t>
            </w:r>
          </w:p>
        </w:tc>
        <w:tc>
          <w:tcPr>
            <w:tcW w:w="1248" w:type="dxa"/>
            <w:tcMar>
              <w:top w:w="113" w:type="dxa"/>
              <w:left w:w="113" w:type="dxa"/>
              <w:bottom w:w="113" w:type="dxa"/>
              <w:right w:w="113" w:type="dxa"/>
            </w:tcMar>
            <w:vAlign w:val="center"/>
          </w:tcPr>
          <w:p w14:paraId="11ECF4D5" w14:textId="77777777" w:rsidR="00FB4146" w:rsidRDefault="00FB4146" w:rsidP="00FB4146">
            <w:pPr>
              <w:pStyle w:val="CDIFigure-Table-BodyTextCentre"/>
            </w:pPr>
            <w:r>
              <w:t>32 (60.4)</w:t>
            </w:r>
          </w:p>
        </w:tc>
        <w:tc>
          <w:tcPr>
            <w:tcW w:w="1247" w:type="dxa"/>
            <w:tcMar>
              <w:top w:w="113" w:type="dxa"/>
              <w:left w:w="113" w:type="dxa"/>
              <w:bottom w:w="113" w:type="dxa"/>
              <w:right w:w="113" w:type="dxa"/>
            </w:tcMar>
            <w:vAlign w:val="center"/>
          </w:tcPr>
          <w:p w14:paraId="4A7940D5" w14:textId="77777777" w:rsidR="00FB4146" w:rsidRDefault="00FB4146" w:rsidP="00FB4146">
            <w:pPr>
              <w:pStyle w:val="CDIFigure-Table-BodyTextCentre"/>
            </w:pPr>
            <w:r>
              <w:t>4 (7.5)</w:t>
            </w:r>
          </w:p>
        </w:tc>
      </w:tr>
      <w:tr w:rsidR="00FB4146" w14:paraId="460D5B9D"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5C5D8EC6" w14:textId="77777777" w:rsidR="00FB4146" w:rsidRDefault="00FB4146" w:rsidP="00917557">
            <w:pPr>
              <w:pStyle w:val="CDIFigure-Table-BodyTextLeft"/>
            </w:pPr>
            <w:r>
              <w:t>Decreased appetite</w:t>
            </w:r>
          </w:p>
        </w:tc>
        <w:tc>
          <w:tcPr>
            <w:tcW w:w="1247" w:type="dxa"/>
            <w:shd w:val="clear" w:color="auto" w:fill="F2F2F2" w:themeFill="background1" w:themeFillShade="F2"/>
            <w:tcMar>
              <w:top w:w="113" w:type="dxa"/>
              <w:left w:w="113" w:type="dxa"/>
              <w:bottom w:w="113" w:type="dxa"/>
              <w:right w:w="113" w:type="dxa"/>
            </w:tcMar>
            <w:vAlign w:val="center"/>
          </w:tcPr>
          <w:p w14:paraId="0C3B2C68" w14:textId="77777777" w:rsidR="00FB4146" w:rsidRDefault="00FB4146" w:rsidP="00FB4146">
            <w:pPr>
              <w:pStyle w:val="CDIFigure-Table-BodyTextCentre"/>
            </w:pPr>
            <w:r>
              <w:t>53 (1.5)</w:t>
            </w:r>
          </w:p>
        </w:tc>
        <w:tc>
          <w:tcPr>
            <w:tcW w:w="1247" w:type="dxa"/>
            <w:shd w:val="clear" w:color="auto" w:fill="F2F2F2" w:themeFill="background1" w:themeFillShade="F2"/>
            <w:tcMar>
              <w:top w:w="113" w:type="dxa"/>
              <w:left w:w="113" w:type="dxa"/>
              <w:bottom w:w="113" w:type="dxa"/>
              <w:right w:w="113" w:type="dxa"/>
            </w:tcMar>
            <w:vAlign w:val="center"/>
          </w:tcPr>
          <w:p w14:paraId="55234987" w14:textId="77777777" w:rsidR="00FB4146" w:rsidRDefault="00FB4146" w:rsidP="00FB4146">
            <w:pPr>
              <w:pStyle w:val="CDIFigure-Table-BodyTextCentre"/>
            </w:pPr>
            <w:r>
              <w:t>0 (0.0)</w:t>
            </w:r>
          </w:p>
        </w:tc>
        <w:tc>
          <w:tcPr>
            <w:tcW w:w="1247" w:type="dxa"/>
            <w:shd w:val="clear" w:color="auto" w:fill="F2F2F2" w:themeFill="background1" w:themeFillShade="F2"/>
            <w:tcMar>
              <w:top w:w="113" w:type="dxa"/>
              <w:left w:w="113" w:type="dxa"/>
              <w:bottom w:w="113" w:type="dxa"/>
              <w:right w:w="113" w:type="dxa"/>
            </w:tcMar>
            <w:vAlign w:val="center"/>
          </w:tcPr>
          <w:p w14:paraId="45C89F47" w14:textId="77777777" w:rsidR="00FB4146" w:rsidRDefault="00FB4146" w:rsidP="00FB4146">
            <w:pPr>
              <w:pStyle w:val="CDIFigure-Table-BodyTextCentre"/>
            </w:pPr>
            <w:r>
              <w:t>31 (58.5)</w:t>
            </w:r>
          </w:p>
        </w:tc>
        <w:tc>
          <w:tcPr>
            <w:tcW w:w="1248" w:type="dxa"/>
            <w:shd w:val="clear" w:color="auto" w:fill="F2F2F2" w:themeFill="background1" w:themeFillShade="F2"/>
            <w:tcMar>
              <w:top w:w="113" w:type="dxa"/>
              <w:left w:w="113" w:type="dxa"/>
              <w:bottom w:w="113" w:type="dxa"/>
              <w:right w:w="113" w:type="dxa"/>
            </w:tcMar>
            <w:vAlign w:val="center"/>
          </w:tcPr>
          <w:p w14:paraId="3C933B76" w14:textId="77777777" w:rsidR="00FB4146" w:rsidRDefault="00FB4146" w:rsidP="00FB4146">
            <w:pPr>
              <w:pStyle w:val="CDIFigure-Table-BodyTextCentre"/>
            </w:pPr>
            <w:r>
              <w:t>18 (34.0)</w:t>
            </w:r>
          </w:p>
        </w:tc>
        <w:tc>
          <w:tcPr>
            <w:tcW w:w="1247" w:type="dxa"/>
            <w:shd w:val="clear" w:color="auto" w:fill="F2F2F2" w:themeFill="background1" w:themeFillShade="F2"/>
            <w:tcMar>
              <w:top w:w="113" w:type="dxa"/>
              <w:left w:w="113" w:type="dxa"/>
              <w:bottom w:w="113" w:type="dxa"/>
              <w:right w:w="113" w:type="dxa"/>
            </w:tcMar>
            <w:vAlign w:val="center"/>
          </w:tcPr>
          <w:p w14:paraId="775D0172" w14:textId="77777777" w:rsidR="00FB4146" w:rsidRDefault="00FB4146" w:rsidP="00FB4146">
            <w:pPr>
              <w:pStyle w:val="CDIFigure-Table-BodyTextCentre"/>
            </w:pPr>
            <w:r>
              <w:t>3 (5.7)</w:t>
            </w:r>
          </w:p>
        </w:tc>
      </w:tr>
      <w:tr w:rsidR="00FB4146" w14:paraId="589CF6F9" w14:textId="77777777" w:rsidTr="00917557">
        <w:trPr>
          <w:trHeight w:val="20"/>
        </w:trPr>
        <w:tc>
          <w:tcPr>
            <w:tcW w:w="3515" w:type="dxa"/>
            <w:tcMar>
              <w:top w:w="113" w:type="dxa"/>
              <w:left w:w="113" w:type="dxa"/>
              <w:bottom w:w="113" w:type="dxa"/>
              <w:right w:w="113" w:type="dxa"/>
            </w:tcMar>
            <w:vAlign w:val="center"/>
          </w:tcPr>
          <w:p w14:paraId="098070C7" w14:textId="77777777" w:rsidR="00FB4146" w:rsidRDefault="00FB4146" w:rsidP="00917557">
            <w:pPr>
              <w:pStyle w:val="CDIFigure-Table-BodyTextLeft"/>
            </w:pPr>
            <w:r>
              <w:t>Erythema</w:t>
            </w:r>
          </w:p>
        </w:tc>
        <w:tc>
          <w:tcPr>
            <w:tcW w:w="1247" w:type="dxa"/>
            <w:tcMar>
              <w:top w:w="113" w:type="dxa"/>
              <w:left w:w="113" w:type="dxa"/>
              <w:bottom w:w="113" w:type="dxa"/>
              <w:right w:w="113" w:type="dxa"/>
            </w:tcMar>
            <w:vAlign w:val="center"/>
          </w:tcPr>
          <w:p w14:paraId="1F73347F" w14:textId="77777777" w:rsidR="00FB4146" w:rsidRDefault="00FB4146" w:rsidP="00FB4146">
            <w:pPr>
              <w:pStyle w:val="CDIFigure-Table-BodyTextCentre"/>
            </w:pPr>
            <w:r>
              <w:t>50 (1.4)</w:t>
            </w:r>
          </w:p>
        </w:tc>
        <w:tc>
          <w:tcPr>
            <w:tcW w:w="1247" w:type="dxa"/>
            <w:tcMar>
              <w:top w:w="113" w:type="dxa"/>
              <w:left w:w="113" w:type="dxa"/>
              <w:bottom w:w="113" w:type="dxa"/>
              <w:right w:w="113" w:type="dxa"/>
            </w:tcMar>
            <w:vAlign w:val="center"/>
          </w:tcPr>
          <w:p w14:paraId="21B1BA70" w14:textId="77777777" w:rsidR="00FB4146" w:rsidRDefault="00FB4146" w:rsidP="00FB4146">
            <w:pPr>
              <w:pStyle w:val="CDIFigure-Table-BodyTextCentre"/>
            </w:pPr>
            <w:r>
              <w:t>4 (8.0)</w:t>
            </w:r>
          </w:p>
        </w:tc>
        <w:tc>
          <w:tcPr>
            <w:tcW w:w="1247" w:type="dxa"/>
            <w:tcMar>
              <w:top w:w="113" w:type="dxa"/>
              <w:left w:w="113" w:type="dxa"/>
              <w:bottom w:w="113" w:type="dxa"/>
              <w:right w:w="113" w:type="dxa"/>
            </w:tcMar>
            <w:vAlign w:val="center"/>
          </w:tcPr>
          <w:p w14:paraId="3A4A2D69" w14:textId="77777777" w:rsidR="00FB4146" w:rsidRDefault="00FB4146" w:rsidP="00FB4146">
            <w:pPr>
              <w:pStyle w:val="CDIFigure-Table-BodyTextCentre"/>
            </w:pPr>
            <w:r>
              <w:t>32 (64.0)</w:t>
            </w:r>
          </w:p>
        </w:tc>
        <w:tc>
          <w:tcPr>
            <w:tcW w:w="1248" w:type="dxa"/>
            <w:tcMar>
              <w:top w:w="113" w:type="dxa"/>
              <w:left w:w="113" w:type="dxa"/>
              <w:bottom w:w="113" w:type="dxa"/>
              <w:right w:w="113" w:type="dxa"/>
            </w:tcMar>
            <w:vAlign w:val="center"/>
          </w:tcPr>
          <w:p w14:paraId="4ABCDD00" w14:textId="77777777" w:rsidR="00FB4146" w:rsidRDefault="00FB4146" w:rsidP="00FB4146">
            <w:pPr>
              <w:pStyle w:val="CDIFigure-Table-BodyTextCentre"/>
            </w:pPr>
            <w:r>
              <w:t>18 (36.0)</w:t>
            </w:r>
          </w:p>
        </w:tc>
        <w:tc>
          <w:tcPr>
            <w:tcW w:w="1247" w:type="dxa"/>
            <w:tcMar>
              <w:top w:w="113" w:type="dxa"/>
              <w:left w:w="113" w:type="dxa"/>
              <w:bottom w:w="113" w:type="dxa"/>
              <w:right w:w="113" w:type="dxa"/>
            </w:tcMar>
            <w:vAlign w:val="center"/>
          </w:tcPr>
          <w:p w14:paraId="4A772A42" w14:textId="77777777" w:rsidR="00FB4146" w:rsidRDefault="00FB4146" w:rsidP="00FB4146">
            <w:pPr>
              <w:pStyle w:val="CDIFigure-Table-BodyTextCentre"/>
            </w:pPr>
            <w:r>
              <w:t>2 (4.0)</w:t>
            </w:r>
          </w:p>
        </w:tc>
      </w:tr>
      <w:tr w:rsidR="00FB4146" w14:paraId="60A19407"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18BB95DC" w14:textId="77777777" w:rsidR="00FB4146" w:rsidRDefault="00FB4146" w:rsidP="00917557">
            <w:pPr>
              <w:pStyle w:val="CDIFigure-Table-BodyTextLeft"/>
            </w:pPr>
            <w:r>
              <w:t>Pruritus</w:t>
            </w:r>
          </w:p>
        </w:tc>
        <w:tc>
          <w:tcPr>
            <w:tcW w:w="1247" w:type="dxa"/>
            <w:shd w:val="clear" w:color="auto" w:fill="F2F2F2" w:themeFill="background1" w:themeFillShade="F2"/>
            <w:tcMar>
              <w:top w:w="113" w:type="dxa"/>
              <w:left w:w="113" w:type="dxa"/>
              <w:bottom w:w="113" w:type="dxa"/>
              <w:right w:w="113" w:type="dxa"/>
            </w:tcMar>
            <w:vAlign w:val="center"/>
          </w:tcPr>
          <w:p w14:paraId="6F70E5DF" w14:textId="77777777" w:rsidR="00FB4146" w:rsidRDefault="00FB4146" w:rsidP="00FB4146">
            <w:pPr>
              <w:pStyle w:val="CDIFigure-Table-BodyTextCentre"/>
            </w:pPr>
            <w:r>
              <w:t>48 (1.4)</w:t>
            </w:r>
          </w:p>
        </w:tc>
        <w:tc>
          <w:tcPr>
            <w:tcW w:w="1247" w:type="dxa"/>
            <w:shd w:val="clear" w:color="auto" w:fill="F2F2F2" w:themeFill="background1" w:themeFillShade="F2"/>
            <w:tcMar>
              <w:top w:w="113" w:type="dxa"/>
              <w:left w:w="113" w:type="dxa"/>
              <w:bottom w:w="113" w:type="dxa"/>
              <w:right w:w="113" w:type="dxa"/>
            </w:tcMar>
            <w:vAlign w:val="center"/>
          </w:tcPr>
          <w:p w14:paraId="592F8AC1" w14:textId="77777777" w:rsidR="00FB4146" w:rsidRDefault="00FB4146" w:rsidP="00FB4146">
            <w:pPr>
              <w:pStyle w:val="CDIFigure-Table-BodyTextCentre"/>
            </w:pPr>
            <w:r>
              <w:t>2 (4.2)</w:t>
            </w:r>
          </w:p>
        </w:tc>
        <w:tc>
          <w:tcPr>
            <w:tcW w:w="1247" w:type="dxa"/>
            <w:shd w:val="clear" w:color="auto" w:fill="F2F2F2" w:themeFill="background1" w:themeFillShade="F2"/>
            <w:tcMar>
              <w:top w:w="113" w:type="dxa"/>
              <w:left w:w="113" w:type="dxa"/>
              <w:bottom w:w="113" w:type="dxa"/>
              <w:right w:w="113" w:type="dxa"/>
            </w:tcMar>
            <w:vAlign w:val="center"/>
          </w:tcPr>
          <w:p w14:paraId="0FEAF9F0" w14:textId="77777777" w:rsidR="00FB4146" w:rsidRDefault="00FB4146" w:rsidP="00FB4146">
            <w:pPr>
              <w:pStyle w:val="CDIFigure-Table-BodyTextCentre"/>
            </w:pPr>
            <w:r>
              <w:t>13 (27.1)</w:t>
            </w:r>
          </w:p>
        </w:tc>
        <w:tc>
          <w:tcPr>
            <w:tcW w:w="1248" w:type="dxa"/>
            <w:shd w:val="clear" w:color="auto" w:fill="F2F2F2" w:themeFill="background1" w:themeFillShade="F2"/>
            <w:tcMar>
              <w:top w:w="113" w:type="dxa"/>
              <w:left w:w="113" w:type="dxa"/>
              <w:bottom w:w="113" w:type="dxa"/>
              <w:right w:w="113" w:type="dxa"/>
            </w:tcMar>
            <w:vAlign w:val="center"/>
          </w:tcPr>
          <w:p w14:paraId="44832E46" w14:textId="77777777" w:rsidR="00FB4146" w:rsidRDefault="00FB4146" w:rsidP="00FB4146">
            <w:pPr>
              <w:pStyle w:val="CDIFigure-Table-BodyTextCentre"/>
            </w:pPr>
            <w:r>
              <w:t>34 (70.8)</w:t>
            </w:r>
          </w:p>
        </w:tc>
        <w:tc>
          <w:tcPr>
            <w:tcW w:w="1247" w:type="dxa"/>
            <w:shd w:val="clear" w:color="auto" w:fill="F2F2F2" w:themeFill="background1" w:themeFillShade="F2"/>
            <w:tcMar>
              <w:top w:w="113" w:type="dxa"/>
              <w:left w:w="113" w:type="dxa"/>
              <w:bottom w:w="113" w:type="dxa"/>
              <w:right w:w="113" w:type="dxa"/>
            </w:tcMar>
            <w:vAlign w:val="center"/>
          </w:tcPr>
          <w:p w14:paraId="77931535" w14:textId="77777777" w:rsidR="00FB4146" w:rsidRDefault="00FB4146" w:rsidP="00FB4146">
            <w:pPr>
              <w:pStyle w:val="CDIFigure-Table-BodyTextCentre"/>
            </w:pPr>
            <w:r>
              <w:t>1 (2.1)</w:t>
            </w:r>
          </w:p>
        </w:tc>
      </w:tr>
      <w:tr w:rsidR="00FB4146" w14:paraId="432C7B64" w14:textId="77777777" w:rsidTr="00917557">
        <w:trPr>
          <w:trHeight w:val="20"/>
        </w:trPr>
        <w:tc>
          <w:tcPr>
            <w:tcW w:w="3515" w:type="dxa"/>
            <w:tcMar>
              <w:top w:w="113" w:type="dxa"/>
              <w:left w:w="113" w:type="dxa"/>
              <w:bottom w:w="113" w:type="dxa"/>
              <w:right w:w="113" w:type="dxa"/>
            </w:tcMar>
            <w:vAlign w:val="center"/>
          </w:tcPr>
          <w:p w14:paraId="31B8C176" w14:textId="77777777" w:rsidR="00FB4146" w:rsidRDefault="00FB4146" w:rsidP="00917557">
            <w:pPr>
              <w:pStyle w:val="CDIFigure-Table-BodyTextLeft"/>
            </w:pPr>
            <w:r>
              <w:t>Anaphylactic/anaphylactoid shock conditions</w:t>
            </w:r>
          </w:p>
        </w:tc>
        <w:tc>
          <w:tcPr>
            <w:tcW w:w="1247" w:type="dxa"/>
            <w:tcMar>
              <w:top w:w="113" w:type="dxa"/>
              <w:left w:w="113" w:type="dxa"/>
              <w:bottom w:w="113" w:type="dxa"/>
              <w:right w:w="113" w:type="dxa"/>
            </w:tcMar>
            <w:vAlign w:val="center"/>
          </w:tcPr>
          <w:p w14:paraId="17E29B72" w14:textId="77777777" w:rsidR="00FB4146" w:rsidRDefault="00FB4146" w:rsidP="00FB4146">
            <w:pPr>
              <w:pStyle w:val="CDIFigure-Table-BodyTextCentre"/>
            </w:pPr>
            <w:r>
              <w:t>46 (1.3)</w:t>
            </w:r>
          </w:p>
        </w:tc>
        <w:tc>
          <w:tcPr>
            <w:tcW w:w="1247" w:type="dxa"/>
            <w:tcMar>
              <w:top w:w="113" w:type="dxa"/>
              <w:left w:w="113" w:type="dxa"/>
              <w:bottom w:w="113" w:type="dxa"/>
              <w:right w:w="113" w:type="dxa"/>
            </w:tcMar>
            <w:vAlign w:val="center"/>
          </w:tcPr>
          <w:p w14:paraId="6B721424" w14:textId="77777777" w:rsidR="00FB4146" w:rsidRDefault="00FB4146" w:rsidP="00FB4146">
            <w:pPr>
              <w:pStyle w:val="CDIFigure-Table-BodyTextCentre"/>
            </w:pPr>
            <w:r>
              <w:t>29 (63.0)</w:t>
            </w:r>
          </w:p>
        </w:tc>
        <w:tc>
          <w:tcPr>
            <w:tcW w:w="1247" w:type="dxa"/>
            <w:tcMar>
              <w:top w:w="113" w:type="dxa"/>
              <w:left w:w="113" w:type="dxa"/>
              <w:bottom w:w="113" w:type="dxa"/>
              <w:right w:w="113" w:type="dxa"/>
            </w:tcMar>
            <w:vAlign w:val="center"/>
          </w:tcPr>
          <w:p w14:paraId="127B9DF8" w14:textId="77777777" w:rsidR="00FB4146" w:rsidRDefault="00FB4146" w:rsidP="00FB4146">
            <w:pPr>
              <w:pStyle w:val="CDIFigure-Table-BodyTextCentre"/>
            </w:pPr>
            <w:r>
              <w:t>13 (28.3)</w:t>
            </w:r>
          </w:p>
        </w:tc>
        <w:tc>
          <w:tcPr>
            <w:tcW w:w="1248" w:type="dxa"/>
            <w:tcMar>
              <w:top w:w="113" w:type="dxa"/>
              <w:left w:w="113" w:type="dxa"/>
              <w:bottom w:w="113" w:type="dxa"/>
              <w:right w:w="113" w:type="dxa"/>
            </w:tcMar>
            <w:vAlign w:val="center"/>
          </w:tcPr>
          <w:p w14:paraId="2B67F45C" w14:textId="77777777" w:rsidR="00FB4146" w:rsidRDefault="00FB4146" w:rsidP="00FB4146">
            <w:pPr>
              <w:pStyle w:val="CDIFigure-Table-BodyTextCentre"/>
            </w:pPr>
            <w:r>
              <w:t>30 (65.2)</w:t>
            </w:r>
          </w:p>
        </w:tc>
        <w:tc>
          <w:tcPr>
            <w:tcW w:w="1247" w:type="dxa"/>
            <w:tcMar>
              <w:top w:w="113" w:type="dxa"/>
              <w:left w:w="113" w:type="dxa"/>
              <w:bottom w:w="113" w:type="dxa"/>
              <w:right w:w="113" w:type="dxa"/>
            </w:tcMar>
            <w:vAlign w:val="center"/>
          </w:tcPr>
          <w:p w14:paraId="4E1628EA" w14:textId="77777777" w:rsidR="00FB4146" w:rsidRDefault="00FB4146" w:rsidP="00FB4146">
            <w:pPr>
              <w:pStyle w:val="CDIFigure-Table-BodyTextCentre"/>
            </w:pPr>
            <w:r>
              <w:t>9 (19.6)</w:t>
            </w:r>
          </w:p>
        </w:tc>
      </w:tr>
      <w:tr w:rsidR="00FB4146" w14:paraId="351FF197"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1C8671C3" w14:textId="77777777" w:rsidR="00FB4146" w:rsidRDefault="00FB4146" w:rsidP="00917557">
            <w:pPr>
              <w:pStyle w:val="CDIFigure-Table-BodyTextLeft"/>
            </w:pPr>
            <w:r>
              <w:t>Pallor</w:t>
            </w:r>
          </w:p>
        </w:tc>
        <w:tc>
          <w:tcPr>
            <w:tcW w:w="1247" w:type="dxa"/>
            <w:shd w:val="clear" w:color="auto" w:fill="F2F2F2" w:themeFill="background1" w:themeFillShade="F2"/>
            <w:tcMar>
              <w:top w:w="113" w:type="dxa"/>
              <w:left w:w="113" w:type="dxa"/>
              <w:bottom w:w="113" w:type="dxa"/>
              <w:right w:w="113" w:type="dxa"/>
            </w:tcMar>
            <w:vAlign w:val="center"/>
          </w:tcPr>
          <w:p w14:paraId="6CC715C9" w14:textId="77777777" w:rsidR="00FB4146" w:rsidRDefault="00FB4146" w:rsidP="00FB4146">
            <w:pPr>
              <w:pStyle w:val="CDIFigure-Table-BodyTextCentre"/>
            </w:pPr>
            <w:r>
              <w:t>45 (1.3)</w:t>
            </w:r>
          </w:p>
        </w:tc>
        <w:tc>
          <w:tcPr>
            <w:tcW w:w="1247" w:type="dxa"/>
            <w:shd w:val="clear" w:color="auto" w:fill="F2F2F2" w:themeFill="background1" w:themeFillShade="F2"/>
            <w:tcMar>
              <w:top w:w="113" w:type="dxa"/>
              <w:left w:w="113" w:type="dxa"/>
              <w:bottom w:w="113" w:type="dxa"/>
              <w:right w:w="113" w:type="dxa"/>
            </w:tcMar>
            <w:vAlign w:val="center"/>
          </w:tcPr>
          <w:p w14:paraId="2C9BB8F5" w14:textId="77777777" w:rsidR="00FB4146" w:rsidRDefault="00FB4146" w:rsidP="00FB4146">
            <w:pPr>
              <w:pStyle w:val="CDIFigure-Table-BodyTextCentre"/>
            </w:pPr>
            <w:r>
              <w:t>0 (0.0)</w:t>
            </w:r>
          </w:p>
        </w:tc>
        <w:tc>
          <w:tcPr>
            <w:tcW w:w="1247" w:type="dxa"/>
            <w:shd w:val="clear" w:color="auto" w:fill="F2F2F2" w:themeFill="background1" w:themeFillShade="F2"/>
            <w:tcMar>
              <w:top w:w="113" w:type="dxa"/>
              <w:left w:w="113" w:type="dxa"/>
              <w:bottom w:w="113" w:type="dxa"/>
              <w:right w:w="113" w:type="dxa"/>
            </w:tcMar>
            <w:vAlign w:val="center"/>
          </w:tcPr>
          <w:p w14:paraId="6D134912" w14:textId="77777777" w:rsidR="00FB4146" w:rsidRDefault="00FB4146" w:rsidP="00FB4146">
            <w:pPr>
              <w:pStyle w:val="CDIFigure-Table-BodyTextCentre"/>
            </w:pPr>
            <w:r>
              <w:t>25 (55.6)</w:t>
            </w:r>
          </w:p>
        </w:tc>
        <w:tc>
          <w:tcPr>
            <w:tcW w:w="1248" w:type="dxa"/>
            <w:shd w:val="clear" w:color="auto" w:fill="F2F2F2" w:themeFill="background1" w:themeFillShade="F2"/>
            <w:tcMar>
              <w:top w:w="113" w:type="dxa"/>
              <w:left w:w="113" w:type="dxa"/>
              <w:bottom w:w="113" w:type="dxa"/>
              <w:right w:w="113" w:type="dxa"/>
            </w:tcMar>
            <w:vAlign w:val="center"/>
          </w:tcPr>
          <w:p w14:paraId="17E72EFA" w14:textId="77777777" w:rsidR="00FB4146" w:rsidRDefault="00FB4146" w:rsidP="00FB4146">
            <w:pPr>
              <w:pStyle w:val="CDIFigure-Table-BodyTextCentre"/>
            </w:pPr>
            <w:r>
              <w:t>19 (42.2)</w:t>
            </w:r>
          </w:p>
        </w:tc>
        <w:tc>
          <w:tcPr>
            <w:tcW w:w="1247" w:type="dxa"/>
            <w:shd w:val="clear" w:color="auto" w:fill="F2F2F2" w:themeFill="background1" w:themeFillShade="F2"/>
            <w:tcMar>
              <w:top w:w="113" w:type="dxa"/>
              <w:left w:w="113" w:type="dxa"/>
              <w:bottom w:w="113" w:type="dxa"/>
              <w:right w:w="113" w:type="dxa"/>
            </w:tcMar>
            <w:vAlign w:val="center"/>
          </w:tcPr>
          <w:p w14:paraId="1B01F4FB" w14:textId="77777777" w:rsidR="00FB4146" w:rsidRDefault="00FB4146" w:rsidP="00FB4146">
            <w:pPr>
              <w:pStyle w:val="CDIFigure-Table-BodyTextCentre"/>
            </w:pPr>
            <w:r>
              <w:t>3 (6.7)</w:t>
            </w:r>
          </w:p>
        </w:tc>
      </w:tr>
      <w:tr w:rsidR="00FB4146" w14:paraId="720CB46B" w14:textId="77777777" w:rsidTr="00917557">
        <w:trPr>
          <w:trHeight w:val="20"/>
        </w:trPr>
        <w:tc>
          <w:tcPr>
            <w:tcW w:w="3515" w:type="dxa"/>
            <w:tcMar>
              <w:top w:w="113" w:type="dxa"/>
              <w:left w:w="113" w:type="dxa"/>
              <w:bottom w:w="113" w:type="dxa"/>
              <w:right w:w="113" w:type="dxa"/>
            </w:tcMar>
            <w:vAlign w:val="center"/>
          </w:tcPr>
          <w:p w14:paraId="2583EE5F" w14:textId="77777777" w:rsidR="00FB4146" w:rsidRDefault="00FB4146" w:rsidP="00917557">
            <w:pPr>
              <w:pStyle w:val="CDIFigure-Table-BodyTextLeft"/>
            </w:pPr>
            <w:r>
              <w:t>Lymphadenopathy</w:t>
            </w:r>
          </w:p>
        </w:tc>
        <w:tc>
          <w:tcPr>
            <w:tcW w:w="1247" w:type="dxa"/>
            <w:tcMar>
              <w:top w:w="113" w:type="dxa"/>
              <w:left w:w="113" w:type="dxa"/>
              <w:bottom w:w="113" w:type="dxa"/>
              <w:right w:w="113" w:type="dxa"/>
            </w:tcMar>
            <w:vAlign w:val="center"/>
          </w:tcPr>
          <w:p w14:paraId="515C750C" w14:textId="77777777" w:rsidR="00FB4146" w:rsidRDefault="00FB4146" w:rsidP="00FB4146">
            <w:pPr>
              <w:pStyle w:val="CDIFigure-Table-BodyTextCentre"/>
            </w:pPr>
            <w:r>
              <w:t>44 (1.3)</w:t>
            </w:r>
          </w:p>
        </w:tc>
        <w:tc>
          <w:tcPr>
            <w:tcW w:w="1247" w:type="dxa"/>
            <w:tcMar>
              <w:top w:w="113" w:type="dxa"/>
              <w:left w:w="113" w:type="dxa"/>
              <w:bottom w:w="113" w:type="dxa"/>
              <w:right w:w="113" w:type="dxa"/>
            </w:tcMar>
            <w:vAlign w:val="center"/>
          </w:tcPr>
          <w:p w14:paraId="63033296" w14:textId="77777777" w:rsidR="00FB4146" w:rsidRDefault="00FB4146" w:rsidP="00FB4146">
            <w:pPr>
              <w:pStyle w:val="CDIFigure-Table-BodyTextCentre"/>
            </w:pPr>
            <w:r>
              <w:t>11 (25.0)</w:t>
            </w:r>
          </w:p>
        </w:tc>
        <w:tc>
          <w:tcPr>
            <w:tcW w:w="1247" w:type="dxa"/>
            <w:tcMar>
              <w:top w:w="113" w:type="dxa"/>
              <w:left w:w="113" w:type="dxa"/>
              <w:bottom w:w="113" w:type="dxa"/>
              <w:right w:w="113" w:type="dxa"/>
            </w:tcMar>
            <w:vAlign w:val="center"/>
          </w:tcPr>
          <w:p w14:paraId="0CB88D8C" w14:textId="77777777" w:rsidR="00FB4146" w:rsidRDefault="00FB4146" w:rsidP="00FB4146">
            <w:pPr>
              <w:pStyle w:val="CDIFigure-Table-BodyTextCentre"/>
            </w:pPr>
            <w:r>
              <w:t>8 (18.2)</w:t>
            </w:r>
          </w:p>
        </w:tc>
        <w:tc>
          <w:tcPr>
            <w:tcW w:w="1248" w:type="dxa"/>
            <w:tcMar>
              <w:top w:w="113" w:type="dxa"/>
              <w:left w:w="113" w:type="dxa"/>
              <w:bottom w:w="113" w:type="dxa"/>
              <w:right w:w="113" w:type="dxa"/>
            </w:tcMar>
            <w:vAlign w:val="center"/>
          </w:tcPr>
          <w:p w14:paraId="1F1ADA4D" w14:textId="77777777" w:rsidR="00FB4146" w:rsidRDefault="00FB4146" w:rsidP="00FB4146">
            <w:pPr>
              <w:pStyle w:val="CDIFigure-Table-BodyTextCentre"/>
            </w:pPr>
            <w:r>
              <w:t>35 (79.5)</w:t>
            </w:r>
          </w:p>
        </w:tc>
        <w:tc>
          <w:tcPr>
            <w:tcW w:w="1247" w:type="dxa"/>
            <w:tcMar>
              <w:top w:w="113" w:type="dxa"/>
              <w:left w:w="113" w:type="dxa"/>
              <w:bottom w:w="113" w:type="dxa"/>
              <w:right w:w="113" w:type="dxa"/>
            </w:tcMar>
            <w:vAlign w:val="center"/>
          </w:tcPr>
          <w:p w14:paraId="6435766A" w14:textId="77777777" w:rsidR="00FB4146" w:rsidRDefault="00FB4146" w:rsidP="00FB4146">
            <w:pPr>
              <w:pStyle w:val="CDIFigure-Table-BodyTextCentre"/>
            </w:pPr>
            <w:r>
              <w:t>2 (4.5)</w:t>
            </w:r>
          </w:p>
        </w:tc>
      </w:tr>
      <w:tr w:rsidR="00FB4146" w14:paraId="2A28CC13"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6C726CFF" w14:textId="77777777" w:rsidR="00FB4146" w:rsidRDefault="00FB4146" w:rsidP="00917557">
            <w:pPr>
              <w:pStyle w:val="CDIFigure-Table-BodyTextLeft"/>
            </w:pPr>
            <w:r>
              <w:t>Rhinorrhoea</w:t>
            </w:r>
          </w:p>
        </w:tc>
        <w:tc>
          <w:tcPr>
            <w:tcW w:w="1247" w:type="dxa"/>
            <w:shd w:val="clear" w:color="auto" w:fill="F2F2F2" w:themeFill="background1" w:themeFillShade="F2"/>
            <w:tcMar>
              <w:top w:w="113" w:type="dxa"/>
              <w:left w:w="113" w:type="dxa"/>
              <w:bottom w:w="113" w:type="dxa"/>
              <w:right w:w="113" w:type="dxa"/>
            </w:tcMar>
            <w:vAlign w:val="center"/>
          </w:tcPr>
          <w:p w14:paraId="7CCC63DA" w14:textId="77777777" w:rsidR="00FB4146" w:rsidRDefault="00FB4146" w:rsidP="00FB4146">
            <w:pPr>
              <w:pStyle w:val="CDIFigure-Table-BodyTextCentre"/>
            </w:pPr>
            <w:r>
              <w:t>43 (1.2)</w:t>
            </w:r>
          </w:p>
        </w:tc>
        <w:tc>
          <w:tcPr>
            <w:tcW w:w="1247" w:type="dxa"/>
            <w:shd w:val="clear" w:color="auto" w:fill="F2F2F2" w:themeFill="background1" w:themeFillShade="F2"/>
            <w:tcMar>
              <w:top w:w="113" w:type="dxa"/>
              <w:left w:w="113" w:type="dxa"/>
              <w:bottom w:w="113" w:type="dxa"/>
              <w:right w:w="113" w:type="dxa"/>
            </w:tcMar>
            <w:vAlign w:val="center"/>
          </w:tcPr>
          <w:p w14:paraId="481F8DB8" w14:textId="77777777" w:rsidR="00FB4146" w:rsidRDefault="00FB4146" w:rsidP="00FB4146">
            <w:pPr>
              <w:pStyle w:val="CDIFigure-Table-BodyTextCentre"/>
            </w:pPr>
            <w:r>
              <w:t>0 (0.0)</w:t>
            </w:r>
          </w:p>
        </w:tc>
        <w:tc>
          <w:tcPr>
            <w:tcW w:w="1247" w:type="dxa"/>
            <w:shd w:val="clear" w:color="auto" w:fill="F2F2F2" w:themeFill="background1" w:themeFillShade="F2"/>
            <w:tcMar>
              <w:top w:w="113" w:type="dxa"/>
              <w:left w:w="113" w:type="dxa"/>
              <w:bottom w:w="113" w:type="dxa"/>
              <w:right w:w="113" w:type="dxa"/>
            </w:tcMar>
            <w:vAlign w:val="center"/>
          </w:tcPr>
          <w:p w14:paraId="7D8C987E" w14:textId="77777777" w:rsidR="00FB4146" w:rsidRDefault="00FB4146" w:rsidP="00FB4146">
            <w:pPr>
              <w:pStyle w:val="CDIFigure-Table-BodyTextCentre"/>
            </w:pPr>
            <w:r>
              <w:t>26 (60.5)</w:t>
            </w:r>
          </w:p>
        </w:tc>
        <w:tc>
          <w:tcPr>
            <w:tcW w:w="1248" w:type="dxa"/>
            <w:shd w:val="clear" w:color="auto" w:fill="F2F2F2" w:themeFill="background1" w:themeFillShade="F2"/>
            <w:tcMar>
              <w:top w:w="113" w:type="dxa"/>
              <w:left w:w="113" w:type="dxa"/>
              <w:bottom w:w="113" w:type="dxa"/>
              <w:right w:w="113" w:type="dxa"/>
            </w:tcMar>
            <w:vAlign w:val="center"/>
          </w:tcPr>
          <w:p w14:paraId="15C31303" w14:textId="77777777" w:rsidR="00FB4146" w:rsidRDefault="00FB4146" w:rsidP="00FB4146">
            <w:pPr>
              <w:pStyle w:val="CDIFigure-Table-BodyTextCentre"/>
            </w:pPr>
            <w:r>
              <w:t>14 (32.6)</w:t>
            </w:r>
          </w:p>
        </w:tc>
        <w:tc>
          <w:tcPr>
            <w:tcW w:w="1247" w:type="dxa"/>
            <w:shd w:val="clear" w:color="auto" w:fill="F2F2F2" w:themeFill="background1" w:themeFillShade="F2"/>
            <w:tcMar>
              <w:top w:w="113" w:type="dxa"/>
              <w:left w:w="113" w:type="dxa"/>
              <w:bottom w:w="113" w:type="dxa"/>
              <w:right w:w="113" w:type="dxa"/>
            </w:tcMar>
            <w:vAlign w:val="center"/>
          </w:tcPr>
          <w:p w14:paraId="77BD09AB" w14:textId="77777777" w:rsidR="00FB4146" w:rsidRDefault="00FB4146" w:rsidP="00FB4146">
            <w:pPr>
              <w:pStyle w:val="CDIFigure-Table-BodyTextCentre"/>
            </w:pPr>
            <w:r>
              <w:t>2 (4.7)</w:t>
            </w:r>
          </w:p>
        </w:tc>
      </w:tr>
      <w:tr w:rsidR="00FB4146" w14:paraId="1658262E" w14:textId="77777777" w:rsidTr="00917557">
        <w:trPr>
          <w:trHeight w:val="20"/>
        </w:trPr>
        <w:tc>
          <w:tcPr>
            <w:tcW w:w="3515" w:type="dxa"/>
            <w:tcMar>
              <w:top w:w="113" w:type="dxa"/>
              <w:left w:w="113" w:type="dxa"/>
              <w:bottom w:w="113" w:type="dxa"/>
              <w:right w:w="113" w:type="dxa"/>
            </w:tcMar>
            <w:vAlign w:val="center"/>
          </w:tcPr>
          <w:p w14:paraId="7A29BE8E" w14:textId="77777777" w:rsidR="00FB4146" w:rsidRDefault="00FB4146" w:rsidP="00917557">
            <w:pPr>
              <w:pStyle w:val="CDIFigure-Table-BodyTextLeft"/>
            </w:pPr>
            <w:r>
              <w:t>Influenza like illness</w:t>
            </w:r>
          </w:p>
        </w:tc>
        <w:tc>
          <w:tcPr>
            <w:tcW w:w="1247" w:type="dxa"/>
            <w:tcMar>
              <w:top w:w="113" w:type="dxa"/>
              <w:left w:w="113" w:type="dxa"/>
              <w:bottom w:w="113" w:type="dxa"/>
              <w:right w:w="113" w:type="dxa"/>
            </w:tcMar>
            <w:vAlign w:val="center"/>
          </w:tcPr>
          <w:p w14:paraId="2E803CA2" w14:textId="77777777" w:rsidR="00FB4146" w:rsidRDefault="00FB4146" w:rsidP="00FB4146">
            <w:pPr>
              <w:pStyle w:val="CDIFigure-Table-BodyTextCentre"/>
            </w:pPr>
            <w:r>
              <w:t>40 (1.2)</w:t>
            </w:r>
          </w:p>
        </w:tc>
        <w:tc>
          <w:tcPr>
            <w:tcW w:w="1247" w:type="dxa"/>
            <w:tcMar>
              <w:top w:w="113" w:type="dxa"/>
              <w:left w:w="113" w:type="dxa"/>
              <w:bottom w:w="113" w:type="dxa"/>
              <w:right w:w="113" w:type="dxa"/>
            </w:tcMar>
            <w:vAlign w:val="center"/>
          </w:tcPr>
          <w:p w14:paraId="08A2CDD3" w14:textId="77777777" w:rsidR="00FB4146" w:rsidRDefault="00FB4146" w:rsidP="00FB4146">
            <w:pPr>
              <w:pStyle w:val="CDIFigure-Table-BodyTextCentre"/>
            </w:pPr>
            <w:r>
              <w:t>13 (32.5)</w:t>
            </w:r>
          </w:p>
        </w:tc>
        <w:tc>
          <w:tcPr>
            <w:tcW w:w="1247" w:type="dxa"/>
            <w:tcMar>
              <w:top w:w="113" w:type="dxa"/>
              <w:left w:w="113" w:type="dxa"/>
              <w:bottom w:w="113" w:type="dxa"/>
              <w:right w:w="113" w:type="dxa"/>
            </w:tcMar>
            <w:vAlign w:val="center"/>
          </w:tcPr>
          <w:p w14:paraId="68BEC941" w14:textId="77777777" w:rsidR="00FB4146" w:rsidRDefault="00FB4146" w:rsidP="00FB4146">
            <w:pPr>
              <w:pStyle w:val="CDIFigure-Table-BodyTextCentre"/>
            </w:pPr>
            <w:r>
              <w:t>7 (17.5)</w:t>
            </w:r>
          </w:p>
        </w:tc>
        <w:tc>
          <w:tcPr>
            <w:tcW w:w="1248" w:type="dxa"/>
            <w:tcMar>
              <w:top w:w="113" w:type="dxa"/>
              <w:left w:w="113" w:type="dxa"/>
              <w:bottom w:w="113" w:type="dxa"/>
              <w:right w:w="113" w:type="dxa"/>
            </w:tcMar>
            <w:vAlign w:val="center"/>
          </w:tcPr>
          <w:p w14:paraId="7A3BA5E4" w14:textId="77777777" w:rsidR="00FB4146" w:rsidRDefault="00FB4146" w:rsidP="00FB4146">
            <w:pPr>
              <w:pStyle w:val="CDIFigure-Table-BodyTextCentre"/>
            </w:pPr>
            <w:r>
              <w:t>29 (72.5)</w:t>
            </w:r>
          </w:p>
        </w:tc>
        <w:tc>
          <w:tcPr>
            <w:tcW w:w="1247" w:type="dxa"/>
            <w:tcMar>
              <w:top w:w="113" w:type="dxa"/>
              <w:left w:w="113" w:type="dxa"/>
              <w:bottom w:w="113" w:type="dxa"/>
              <w:right w:w="113" w:type="dxa"/>
            </w:tcMar>
            <w:vAlign w:val="center"/>
          </w:tcPr>
          <w:p w14:paraId="5D580F84" w14:textId="77777777" w:rsidR="00FB4146" w:rsidRDefault="00FB4146" w:rsidP="00FB4146">
            <w:pPr>
              <w:pStyle w:val="CDIFigure-Table-BodyTextCentre"/>
            </w:pPr>
            <w:r>
              <w:t>5 (12.5)</w:t>
            </w:r>
          </w:p>
        </w:tc>
      </w:tr>
      <w:tr w:rsidR="00FB4146" w14:paraId="4C493D38"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4EBD636A" w14:textId="77777777" w:rsidR="00FB4146" w:rsidRDefault="00FB4146" w:rsidP="00917557">
            <w:pPr>
              <w:pStyle w:val="CDIFigure-Table-BodyTextLeft"/>
            </w:pPr>
            <w:r>
              <w:t>Oropharyngeal allergic conditions</w:t>
            </w:r>
          </w:p>
        </w:tc>
        <w:tc>
          <w:tcPr>
            <w:tcW w:w="1247" w:type="dxa"/>
            <w:shd w:val="clear" w:color="auto" w:fill="F2F2F2" w:themeFill="background1" w:themeFillShade="F2"/>
            <w:tcMar>
              <w:top w:w="113" w:type="dxa"/>
              <w:left w:w="113" w:type="dxa"/>
              <w:bottom w:w="113" w:type="dxa"/>
              <w:right w:w="113" w:type="dxa"/>
            </w:tcMar>
            <w:vAlign w:val="center"/>
          </w:tcPr>
          <w:p w14:paraId="529BB5E5" w14:textId="77777777" w:rsidR="00FB4146" w:rsidRDefault="00FB4146" w:rsidP="00FB4146">
            <w:pPr>
              <w:pStyle w:val="CDIFigure-Table-BodyTextCentre"/>
            </w:pPr>
            <w:r>
              <w:t>40 (1.2)</w:t>
            </w:r>
          </w:p>
        </w:tc>
        <w:tc>
          <w:tcPr>
            <w:tcW w:w="1247" w:type="dxa"/>
            <w:shd w:val="clear" w:color="auto" w:fill="F2F2F2" w:themeFill="background1" w:themeFillShade="F2"/>
            <w:tcMar>
              <w:top w:w="113" w:type="dxa"/>
              <w:left w:w="113" w:type="dxa"/>
              <w:bottom w:w="113" w:type="dxa"/>
              <w:right w:w="113" w:type="dxa"/>
            </w:tcMar>
            <w:vAlign w:val="center"/>
          </w:tcPr>
          <w:p w14:paraId="3A9DEA9C" w14:textId="77777777" w:rsidR="00FB4146" w:rsidRDefault="00FB4146" w:rsidP="00FB4146">
            <w:pPr>
              <w:pStyle w:val="CDIFigure-Table-BodyTextCentre"/>
            </w:pPr>
            <w:r>
              <w:t>8 (20.0)</w:t>
            </w:r>
          </w:p>
        </w:tc>
        <w:tc>
          <w:tcPr>
            <w:tcW w:w="1247" w:type="dxa"/>
            <w:shd w:val="clear" w:color="auto" w:fill="F2F2F2" w:themeFill="background1" w:themeFillShade="F2"/>
            <w:tcMar>
              <w:top w:w="113" w:type="dxa"/>
              <w:left w:w="113" w:type="dxa"/>
              <w:bottom w:w="113" w:type="dxa"/>
              <w:right w:w="113" w:type="dxa"/>
            </w:tcMar>
            <w:vAlign w:val="center"/>
          </w:tcPr>
          <w:p w14:paraId="573E2309" w14:textId="77777777" w:rsidR="00FB4146" w:rsidRDefault="00FB4146" w:rsidP="00FB4146">
            <w:pPr>
              <w:pStyle w:val="CDIFigure-Table-BodyTextCentre"/>
            </w:pPr>
            <w:r>
              <w:t>24 (60.0)</w:t>
            </w:r>
          </w:p>
        </w:tc>
        <w:tc>
          <w:tcPr>
            <w:tcW w:w="1248" w:type="dxa"/>
            <w:shd w:val="clear" w:color="auto" w:fill="F2F2F2" w:themeFill="background1" w:themeFillShade="F2"/>
            <w:tcMar>
              <w:top w:w="113" w:type="dxa"/>
              <w:left w:w="113" w:type="dxa"/>
              <w:bottom w:w="113" w:type="dxa"/>
              <w:right w:w="113" w:type="dxa"/>
            </w:tcMar>
            <w:vAlign w:val="center"/>
          </w:tcPr>
          <w:p w14:paraId="05D2EB3D" w14:textId="77777777" w:rsidR="00FB4146" w:rsidRDefault="00FB4146" w:rsidP="00FB4146">
            <w:pPr>
              <w:pStyle w:val="CDIFigure-Table-BodyTextCentre"/>
            </w:pPr>
            <w:r>
              <w:t>15 (37.5)</w:t>
            </w:r>
          </w:p>
        </w:tc>
        <w:tc>
          <w:tcPr>
            <w:tcW w:w="1247" w:type="dxa"/>
            <w:shd w:val="clear" w:color="auto" w:fill="F2F2F2" w:themeFill="background1" w:themeFillShade="F2"/>
            <w:tcMar>
              <w:top w:w="113" w:type="dxa"/>
              <w:left w:w="113" w:type="dxa"/>
              <w:bottom w:w="113" w:type="dxa"/>
              <w:right w:w="113" w:type="dxa"/>
            </w:tcMar>
            <w:vAlign w:val="center"/>
          </w:tcPr>
          <w:p w14:paraId="079723E8" w14:textId="77777777" w:rsidR="00FB4146" w:rsidRDefault="00FB4146" w:rsidP="00FB4146">
            <w:pPr>
              <w:pStyle w:val="CDIFigure-Table-BodyTextCentre"/>
            </w:pPr>
            <w:r>
              <w:t>0 (0.0)</w:t>
            </w:r>
          </w:p>
        </w:tc>
      </w:tr>
      <w:tr w:rsidR="00FB4146" w14:paraId="3B303F7B" w14:textId="77777777" w:rsidTr="00917557">
        <w:trPr>
          <w:trHeight w:val="20"/>
        </w:trPr>
        <w:tc>
          <w:tcPr>
            <w:tcW w:w="3515" w:type="dxa"/>
            <w:tcMar>
              <w:top w:w="113" w:type="dxa"/>
              <w:left w:w="113" w:type="dxa"/>
              <w:bottom w:w="113" w:type="dxa"/>
              <w:right w:w="113" w:type="dxa"/>
            </w:tcMar>
            <w:vAlign w:val="center"/>
          </w:tcPr>
          <w:p w14:paraId="30BE6131" w14:textId="77777777" w:rsidR="00FB4146" w:rsidRDefault="00FB4146" w:rsidP="00917557">
            <w:pPr>
              <w:pStyle w:val="CDIFigure-Table-BodyTextLeft"/>
            </w:pPr>
            <w:r>
              <w:t>Hypotonic-hyporesponsive episode</w:t>
            </w:r>
          </w:p>
        </w:tc>
        <w:tc>
          <w:tcPr>
            <w:tcW w:w="1247" w:type="dxa"/>
            <w:tcMar>
              <w:top w:w="113" w:type="dxa"/>
              <w:left w:w="113" w:type="dxa"/>
              <w:bottom w:w="113" w:type="dxa"/>
              <w:right w:w="113" w:type="dxa"/>
            </w:tcMar>
            <w:vAlign w:val="center"/>
          </w:tcPr>
          <w:p w14:paraId="12A35218" w14:textId="77777777" w:rsidR="00FB4146" w:rsidRDefault="00FB4146" w:rsidP="00FB4146">
            <w:pPr>
              <w:pStyle w:val="CDIFigure-Table-BodyTextCentre"/>
            </w:pPr>
            <w:r>
              <w:t>39 (1.1)</w:t>
            </w:r>
          </w:p>
        </w:tc>
        <w:tc>
          <w:tcPr>
            <w:tcW w:w="1247" w:type="dxa"/>
            <w:tcMar>
              <w:top w:w="113" w:type="dxa"/>
              <w:left w:w="113" w:type="dxa"/>
              <w:bottom w:w="113" w:type="dxa"/>
              <w:right w:w="113" w:type="dxa"/>
            </w:tcMar>
            <w:vAlign w:val="center"/>
          </w:tcPr>
          <w:p w14:paraId="1E912C87" w14:textId="77777777" w:rsidR="00FB4146" w:rsidRDefault="00FB4146" w:rsidP="00FB4146">
            <w:pPr>
              <w:pStyle w:val="CDIFigure-Table-BodyTextCentre"/>
            </w:pPr>
            <w:r>
              <w:t>22 (56.4)</w:t>
            </w:r>
          </w:p>
        </w:tc>
        <w:tc>
          <w:tcPr>
            <w:tcW w:w="1247" w:type="dxa"/>
            <w:tcMar>
              <w:top w:w="113" w:type="dxa"/>
              <w:left w:w="113" w:type="dxa"/>
              <w:bottom w:w="113" w:type="dxa"/>
              <w:right w:w="113" w:type="dxa"/>
            </w:tcMar>
            <w:vAlign w:val="center"/>
          </w:tcPr>
          <w:p w14:paraId="4265E74C" w14:textId="77777777" w:rsidR="00FB4146" w:rsidRDefault="00FB4146" w:rsidP="00FB4146">
            <w:pPr>
              <w:pStyle w:val="CDIFigure-Table-BodyTextCentre"/>
            </w:pPr>
            <w:r>
              <w:t>35 (89.7)</w:t>
            </w:r>
          </w:p>
        </w:tc>
        <w:tc>
          <w:tcPr>
            <w:tcW w:w="1248" w:type="dxa"/>
            <w:tcMar>
              <w:top w:w="113" w:type="dxa"/>
              <w:left w:w="113" w:type="dxa"/>
              <w:bottom w:w="113" w:type="dxa"/>
              <w:right w:w="113" w:type="dxa"/>
            </w:tcMar>
            <w:vAlign w:val="center"/>
          </w:tcPr>
          <w:p w14:paraId="5A67278C" w14:textId="77777777" w:rsidR="00FB4146" w:rsidRDefault="00FB4146" w:rsidP="00FB4146">
            <w:pPr>
              <w:pStyle w:val="CDIFigure-Table-BodyTextCentre"/>
            </w:pPr>
            <w:r>
              <w:t>4 (10.3)</w:t>
            </w:r>
          </w:p>
        </w:tc>
        <w:tc>
          <w:tcPr>
            <w:tcW w:w="1247" w:type="dxa"/>
            <w:tcMar>
              <w:top w:w="113" w:type="dxa"/>
              <w:left w:w="113" w:type="dxa"/>
              <w:bottom w:w="113" w:type="dxa"/>
              <w:right w:w="113" w:type="dxa"/>
            </w:tcMar>
            <w:vAlign w:val="center"/>
          </w:tcPr>
          <w:p w14:paraId="42651700" w14:textId="77777777" w:rsidR="00FB4146" w:rsidRDefault="00FB4146" w:rsidP="00FB4146">
            <w:pPr>
              <w:pStyle w:val="CDIFigure-Table-BodyTextCentre"/>
            </w:pPr>
            <w:r>
              <w:t>6 (15.4)</w:t>
            </w:r>
          </w:p>
        </w:tc>
      </w:tr>
      <w:tr w:rsidR="00FB4146" w14:paraId="1264C720"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45001B6A" w14:textId="77777777" w:rsidR="00FB4146" w:rsidRDefault="00FB4146" w:rsidP="00917557">
            <w:pPr>
              <w:pStyle w:val="CDIFigure-Table-BodyTextLeft"/>
            </w:pPr>
            <w:r>
              <w:t>Injection site pain</w:t>
            </w:r>
          </w:p>
        </w:tc>
        <w:tc>
          <w:tcPr>
            <w:tcW w:w="1247" w:type="dxa"/>
            <w:shd w:val="clear" w:color="auto" w:fill="F2F2F2" w:themeFill="background1" w:themeFillShade="F2"/>
            <w:tcMar>
              <w:top w:w="113" w:type="dxa"/>
              <w:left w:w="113" w:type="dxa"/>
              <w:bottom w:w="113" w:type="dxa"/>
              <w:right w:w="113" w:type="dxa"/>
            </w:tcMar>
            <w:vAlign w:val="center"/>
          </w:tcPr>
          <w:p w14:paraId="30288128" w14:textId="77777777" w:rsidR="00FB4146" w:rsidRDefault="00FB4146" w:rsidP="00FB4146">
            <w:pPr>
              <w:pStyle w:val="CDIFigure-Table-BodyTextCentre"/>
            </w:pPr>
            <w:r>
              <w:t>37 (1.1)</w:t>
            </w:r>
          </w:p>
        </w:tc>
        <w:tc>
          <w:tcPr>
            <w:tcW w:w="1247" w:type="dxa"/>
            <w:shd w:val="clear" w:color="auto" w:fill="F2F2F2" w:themeFill="background1" w:themeFillShade="F2"/>
            <w:tcMar>
              <w:top w:w="113" w:type="dxa"/>
              <w:left w:w="113" w:type="dxa"/>
              <w:bottom w:w="113" w:type="dxa"/>
              <w:right w:w="113" w:type="dxa"/>
            </w:tcMar>
            <w:vAlign w:val="center"/>
          </w:tcPr>
          <w:p w14:paraId="1CEFB898" w14:textId="77777777" w:rsidR="00FB4146" w:rsidRDefault="00FB4146" w:rsidP="00FB4146">
            <w:pPr>
              <w:pStyle w:val="CDIFigure-Table-BodyTextCentre"/>
            </w:pPr>
            <w:r>
              <w:t>8 (21.6)</w:t>
            </w:r>
          </w:p>
        </w:tc>
        <w:tc>
          <w:tcPr>
            <w:tcW w:w="1247" w:type="dxa"/>
            <w:shd w:val="clear" w:color="auto" w:fill="F2F2F2" w:themeFill="background1" w:themeFillShade="F2"/>
            <w:tcMar>
              <w:top w:w="113" w:type="dxa"/>
              <w:left w:w="113" w:type="dxa"/>
              <w:bottom w:w="113" w:type="dxa"/>
              <w:right w:w="113" w:type="dxa"/>
            </w:tcMar>
            <w:vAlign w:val="center"/>
          </w:tcPr>
          <w:p w14:paraId="338969A0" w14:textId="77777777" w:rsidR="00FB4146" w:rsidRDefault="00FB4146" w:rsidP="00FB4146">
            <w:pPr>
              <w:pStyle w:val="CDIFigure-Table-BodyTextCentre"/>
            </w:pPr>
            <w:r>
              <w:t>7 (18.9)</w:t>
            </w:r>
          </w:p>
        </w:tc>
        <w:tc>
          <w:tcPr>
            <w:tcW w:w="1248" w:type="dxa"/>
            <w:shd w:val="clear" w:color="auto" w:fill="F2F2F2" w:themeFill="background1" w:themeFillShade="F2"/>
            <w:tcMar>
              <w:top w:w="113" w:type="dxa"/>
              <w:left w:w="113" w:type="dxa"/>
              <w:bottom w:w="113" w:type="dxa"/>
              <w:right w:w="113" w:type="dxa"/>
            </w:tcMar>
            <w:vAlign w:val="center"/>
          </w:tcPr>
          <w:p w14:paraId="39A5E0C3" w14:textId="77777777" w:rsidR="00FB4146" w:rsidRDefault="00FB4146" w:rsidP="00FB4146">
            <w:pPr>
              <w:pStyle w:val="CDIFigure-Table-BodyTextCentre"/>
            </w:pPr>
            <w:r>
              <w:t>27 (73.0)</w:t>
            </w:r>
          </w:p>
        </w:tc>
        <w:tc>
          <w:tcPr>
            <w:tcW w:w="1247" w:type="dxa"/>
            <w:shd w:val="clear" w:color="auto" w:fill="F2F2F2" w:themeFill="background1" w:themeFillShade="F2"/>
            <w:tcMar>
              <w:top w:w="113" w:type="dxa"/>
              <w:left w:w="113" w:type="dxa"/>
              <w:bottom w:w="113" w:type="dxa"/>
              <w:right w:w="113" w:type="dxa"/>
            </w:tcMar>
            <w:vAlign w:val="center"/>
          </w:tcPr>
          <w:p w14:paraId="2BAC772D" w14:textId="77777777" w:rsidR="00FB4146" w:rsidRDefault="00FB4146" w:rsidP="00FB4146">
            <w:pPr>
              <w:pStyle w:val="CDIFigure-Table-BodyTextCentre"/>
            </w:pPr>
            <w:r>
              <w:t>0 (0.0)</w:t>
            </w:r>
          </w:p>
        </w:tc>
      </w:tr>
      <w:tr w:rsidR="00FB4146" w14:paraId="0C858FBA" w14:textId="77777777" w:rsidTr="00917557">
        <w:trPr>
          <w:trHeight w:val="20"/>
        </w:trPr>
        <w:tc>
          <w:tcPr>
            <w:tcW w:w="3515" w:type="dxa"/>
            <w:tcMar>
              <w:top w:w="113" w:type="dxa"/>
              <w:left w:w="113" w:type="dxa"/>
              <w:bottom w:w="113" w:type="dxa"/>
              <w:right w:w="113" w:type="dxa"/>
            </w:tcMar>
            <w:vAlign w:val="center"/>
          </w:tcPr>
          <w:p w14:paraId="3F37DEEE" w14:textId="77777777" w:rsidR="00FB4146" w:rsidRDefault="00FB4146" w:rsidP="00917557">
            <w:pPr>
              <w:pStyle w:val="CDIFigure-Table-BodyTextLeft"/>
            </w:pPr>
            <w:r>
              <w:t>Presyncope</w:t>
            </w:r>
          </w:p>
        </w:tc>
        <w:tc>
          <w:tcPr>
            <w:tcW w:w="1247" w:type="dxa"/>
            <w:tcMar>
              <w:top w:w="113" w:type="dxa"/>
              <w:left w:w="113" w:type="dxa"/>
              <w:bottom w:w="113" w:type="dxa"/>
              <w:right w:w="113" w:type="dxa"/>
            </w:tcMar>
            <w:vAlign w:val="center"/>
          </w:tcPr>
          <w:p w14:paraId="5D70352A" w14:textId="77777777" w:rsidR="00FB4146" w:rsidRDefault="00FB4146" w:rsidP="00FB4146">
            <w:pPr>
              <w:pStyle w:val="CDIFigure-Table-BodyTextCentre"/>
            </w:pPr>
            <w:r>
              <w:t>37 (1.1)</w:t>
            </w:r>
          </w:p>
        </w:tc>
        <w:tc>
          <w:tcPr>
            <w:tcW w:w="1247" w:type="dxa"/>
            <w:tcMar>
              <w:top w:w="113" w:type="dxa"/>
              <w:left w:w="113" w:type="dxa"/>
              <w:bottom w:w="113" w:type="dxa"/>
              <w:right w:w="113" w:type="dxa"/>
            </w:tcMar>
            <w:vAlign w:val="center"/>
          </w:tcPr>
          <w:p w14:paraId="34B46AE5" w14:textId="77777777" w:rsidR="00FB4146" w:rsidRDefault="00FB4146" w:rsidP="00FB4146">
            <w:pPr>
              <w:pStyle w:val="CDIFigure-Table-BodyTextCentre"/>
            </w:pPr>
            <w:r>
              <w:t>24 (64.9)</w:t>
            </w:r>
          </w:p>
        </w:tc>
        <w:tc>
          <w:tcPr>
            <w:tcW w:w="1247" w:type="dxa"/>
            <w:tcMar>
              <w:top w:w="113" w:type="dxa"/>
              <w:left w:w="113" w:type="dxa"/>
              <w:bottom w:w="113" w:type="dxa"/>
              <w:right w:w="113" w:type="dxa"/>
            </w:tcMar>
            <w:vAlign w:val="center"/>
          </w:tcPr>
          <w:p w14:paraId="0875967B" w14:textId="77777777" w:rsidR="00FB4146" w:rsidRDefault="00FB4146" w:rsidP="00FB4146">
            <w:pPr>
              <w:pStyle w:val="CDIFigure-Table-BodyTextCentre"/>
            </w:pPr>
            <w:r>
              <w:t>4 (10.8)</w:t>
            </w:r>
          </w:p>
        </w:tc>
        <w:tc>
          <w:tcPr>
            <w:tcW w:w="1248" w:type="dxa"/>
            <w:tcMar>
              <w:top w:w="113" w:type="dxa"/>
              <w:left w:w="113" w:type="dxa"/>
              <w:bottom w:w="113" w:type="dxa"/>
              <w:right w:w="113" w:type="dxa"/>
            </w:tcMar>
            <w:vAlign w:val="center"/>
          </w:tcPr>
          <w:p w14:paraId="221AA482" w14:textId="77777777" w:rsidR="00FB4146" w:rsidRDefault="00FB4146" w:rsidP="00FB4146">
            <w:pPr>
              <w:pStyle w:val="CDIFigure-Table-BodyTextCentre"/>
            </w:pPr>
            <w:r>
              <w:t>33 (89.2)</w:t>
            </w:r>
          </w:p>
        </w:tc>
        <w:tc>
          <w:tcPr>
            <w:tcW w:w="1247" w:type="dxa"/>
            <w:tcMar>
              <w:top w:w="113" w:type="dxa"/>
              <w:left w:w="113" w:type="dxa"/>
              <w:bottom w:w="113" w:type="dxa"/>
              <w:right w:w="113" w:type="dxa"/>
            </w:tcMar>
            <w:vAlign w:val="center"/>
          </w:tcPr>
          <w:p w14:paraId="7325CF10" w14:textId="77777777" w:rsidR="00FB4146" w:rsidRDefault="00FB4146" w:rsidP="00FB4146">
            <w:pPr>
              <w:pStyle w:val="CDIFigure-Table-BodyTextCentre"/>
            </w:pPr>
            <w:r>
              <w:t>0 (0.0)</w:t>
            </w:r>
          </w:p>
        </w:tc>
      </w:tr>
      <w:tr w:rsidR="00FB4146" w14:paraId="6DDCA329"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7AE7903C" w14:textId="77777777" w:rsidR="00FB4146" w:rsidRDefault="00FB4146" w:rsidP="00917557">
            <w:pPr>
              <w:pStyle w:val="CDIFigure-Table-BodyTextLeft"/>
            </w:pPr>
            <w:r>
              <w:t>Chest pain</w:t>
            </w:r>
          </w:p>
        </w:tc>
        <w:tc>
          <w:tcPr>
            <w:tcW w:w="1247" w:type="dxa"/>
            <w:shd w:val="clear" w:color="auto" w:fill="F2F2F2" w:themeFill="background1" w:themeFillShade="F2"/>
            <w:tcMar>
              <w:top w:w="113" w:type="dxa"/>
              <w:left w:w="113" w:type="dxa"/>
              <w:bottom w:w="113" w:type="dxa"/>
              <w:right w:w="113" w:type="dxa"/>
            </w:tcMar>
            <w:vAlign w:val="center"/>
          </w:tcPr>
          <w:p w14:paraId="20953A72" w14:textId="77777777" w:rsidR="00FB4146" w:rsidRDefault="00FB4146" w:rsidP="00FB4146">
            <w:pPr>
              <w:pStyle w:val="CDIFigure-Table-BodyTextCentre"/>
            </w:pPr>
            <w:r>
              <w:t>29 (0.8)</w:t>
            </w:r>
          </w:p>
        </w:tc>
        <w:tc>
          <w:tcPr>
            <w:tcW w:w="1247" w:type="dxa"/>
            <w:shd w:val="clear" w:color="auto" w:fill="F2F2F2" w:themeFill="background1" w:themeFillShade="F2"/>
            <w:tcMar>
              <w:top w:w="113" w:type="dxa"/>
              <w:left w:w="113" w:type="dxa"/>
              <w:bottom w:w="113" w:type="dxa"/>
              <w:right w:w="113" w:type="dxa"/>
            </w:tcMar>
            <w:vAlign w:val="center"/>
          </w:tcPr>
          <w:p w14:paraId="17EFE994" w14:textId="77777777" w:rsidR="00FB4146" w:rsidRDefault="00FB4146" w:rsidP="00FB4146">
            <w:pPr>
              <w:pStyle w:val="CDIFigure-Table-BodyTextCentre"/>
            </w:pPr>
            <w:r>
              <w:t>5 (17.2)</w:t>
            </w:r>
          </w:p>
        </w:tc>
        <w:tc>
          <w:tcPr>
            <w:tcW w:w="1247" w:type="dxa"/>
            <w:shd w:val="clear" w:color="auto" w:fill="F2F2F2" w:themeFill="background1" w:themeFillShade="F2"/>
            <w:tcMar>
              <w:top w:w="113" w:type="dxa"/>
              <w:left w:w="113" w:type="dxa"/>
              <w:bottom w:w="113" w:type="dxa"/>
              <w:right w:w="113" w:type="dxa"/>
            </w:tcMar>
            <w:vAlign w:val="center"/>
          </w:tcPr>
          <w:p w14:paraId="69E09526" w14:textId="77777777" w:rsidR="00FB4146" w:rsidRDefault="00FB4146" w:rsidP="00FB4146">
            <w:pPr>
              <w:pStyle w:val="CDIFigure-Table-BodyTextCentre"/>
            </w:pPr>
            <w:r>
              <w:t>0 (0.0)</w:t>
            </w:r>
          </w:p>
        </w:tc>
        <w:tc>
          <w:tcPr>
            <w:tcW w:w="1248" w:type="dxa"/>
            <w:shd w:val="clear" w:color="auto" w:fill="F2F2F2" w:themeFill="background1" w:themeFillShade="F2"/>
            <w:tcMar>
              <w:top w:w="113" w:type="dxa"/>
              <w:left w:w="113" w:type="dxa"/>
              <w:bottom w:w="113" w:type="dxa"/>
              <w:right w:w="113" w:type="dxa"/>
            </w:tcMar>
            <w:vAlign w:val="center"/>
          </w:tcPr>
          <w:p w14:paraId="67C6D075" w14:textId="77777777" w:rsidR="00FB4146" w:rsidRDefault="00FB4146" w:rsidP="00FB4146">
            <w:pPr>
              <w:pStyle w:val="CDIFigure-Table-BodyTextCentre"/>
            </w:pPr>
            <w:r>
              <w:t>28 (96.6)</w:t>
            </w:r>
          </w:p>
        </w:tc>
        <w:tc>
          <w:tcPr>
            <w:tcW w:w="1247" w:type="dxa"/>
            <w:shd w:val="clear" w:color="auto" w:fill="F2F2F2" w:themeFill="background1" w:themeFillShade="F2"/>
            <w:tcMar>
              <w:top w:w="113" w:type="dxa"/>
              <w:left w:w="113" w:type="dxa"/>
              <w:bottom w:w="113" w:type="dxa"/>
              <w:right w:w="113" w:type="dxa"/>
            </w:tcMar>
            <w:vAlign w:val="center"/>
          </w:tcPr>
          <w:p w14:paraId="513809CB" w14:textId="77777777" w:rsidR="00FB4146" w:rsidRDefault="00FB4146" w:rsidP="00FB4146">
            <w:pPr>
              <w:pStyle w:val="CDIFigure-Table-BodyTextCentre"/>
            </w:pPr>
            <w:r>
              <w:t>6 (20.7)</w:t>
            </w:r>
          </w:p>
        </w:tc>
      </w:tr>
      <w:tr w:rsidR="00FB4146" w14:paraId="79ADEA4C" w14:textId="77777777" w:rsidTr="00917557">
        <w:trPr>
          <w:trHeight w:val="20"/>
        </w:trPr>
        <w:tc>
          <w:tcPr>
            <w:tcW w:w="3515" w:type="dxa"/>
            <w:tcMar>
              <w:top w:w="113" w:type="dxa"/>
              <w:left w:w="113" w:type="dxa"/>
              <w:bottom w:w="113" w:type="dxa"/>
              <w:right w:w="113" w:type="dxa"/>
            </w:tcMar>
            <w:vAlign w:val="center"/>
          </w:tcPr>
          <w:p w14:paraId="446C43BF" w14:textId="77777777" w:rsidR="00FB4146" w:rsidRDefault="00FB4146" w:rsidP="00917557">
            <w:pPr>
              <w:pStyle w:val="CDIFigure-Table-BodyTextLeft"/>
            </w:pPr>
            <w:r>
              <w:t>Pain</w:t>
            </w:r>
          </w:p>
        </w:tc>
        <w:tc>
          <w:tcPr>
            <w:tcW w:w="1247" w:type="dxa"/>
            <w:tcMar>
              <w:top w:w="113" w:type="dxa"/>
              <w:left w:w="113" w:type="dxa"/>
              <w:bottom w:w="113" w:type="dxa"/>
              <w:right w:w="113" w:type="dxa"/>
            </w:tcMar>
            <w:vAlign w:val="center"/>
          </w:tcPr>
          <w:p w14:paraId="086FC6F0" w14:textId="77777777" w:rsidR="00FB4146" w:rsidRDefault="00FB4146" w:rsidP="00FB4146">
            <w:pPr>
              <w:pStyle w:val="CDIFigure-Table-BodyTextCentre"/>
            </w:pPr>
            <w:r>
              <w:t>28 (0.8)</w:t>
            </w:r>
          </w:p>
        </w:tc>
        <w:tc>
          <w:tcPr>
            <w:tcW w:w="1247" w:type="dxa"/>
            <w:tcMar>
              <w:top w:w="113" w:type="dxa"/>
              <w:left w:w="113" w:type="dxa"/>
              <w:bottom w:w="113" w:type="dxa"/>
              <w:right w:w="113" w:type="dxa"/>
            </w:tcMar>
            <w:vAlign w:val="center"/>
          </w:tcPr>
          <w:p w14:paraId="432FA2C7" w14:textId="77777777" w:rsidR="00FB4146" w:rsidRDefault="00FB4146" w:rsidP="00FB4146">
            <w:pPr>
              <w:pStyle w:val="CDIFigure-Table-BodyTextCentre"/>
            </w:pPr>
            <w:r>
              <w:t>1 (3.6)</w:t>
            </w:r>
          </w:p>
        </w:tc>
        <w:tc>
          <w:tcPr>
            <w:tcW w:w="1247" w:type="dxa"/>
            <w:tcMar>
              <w:top w:w="113" w:type="dxa"/>
              <w:left w:w="113" w:type="dxa"/>
              <w:bottom w:w="113" w:type="dxa"/>
              <w:right w:w="113" w:type="dxa"/>
            </w:tcMar>
            <w:vAlign w:val="center"/>
          </w:tcPr>
          <w:p w14:paraId="158491F9" w14:textId="77777777" w:rsidR="00FB4146" w:rsidRDefault="00FB4146" w:rsidP="00FB4146">
            <w:pPr>
              <w:pStyle w:val="CDIFigure-Table-BodyTextCentre"/>
            </w:pPr>
            <w:r>
              <w:t>6 (21.4)</w:t>
            </w:r>
          </w:p>
        </w:tc>
        <w:tc>
          <w:tcPr>
            <w:tcW w:w="1248" w:type="dxa"/>
            <w:tcMar>
              <w:top w:w="113" w:type="dxa"/>
              <w:left w:w="113" w:type="dxa"/>
              <w:bottom w:w="113" w:type="dxa"/>
              <w:right w:w="113" w:type="dxa"/>
            </w:tcMar>
            <w:vAlign w:val="center"/>
          </w:tcPr>
          <w:p w14:paraId="19E0C398" w14:textId="77777777" w:rsidR="00FB4146" w:rsidRDefault="00FB4146" w:rsidP="00FB4146">
            <w:pPr>
              <w:pStyle w:val="CDIFigure-Table-BodyTextCentre"/>
            </w:pPr>
            <w:r>
              <w:t>21 (75.0)</w:t>
            </w:r>
          </w:p>
        </w:tc>
        <w:tc>
          <w:tcPr>
            <w:tcW w:w="1247" w:type="dxa"/>
            <w:tcMar>
              <w:top w:w="113" w:type="dxa"/>
              <w:left w:w="113" w:type="dxa"/>
              <w:bottom w:w="113" w:type="dxa"/>
              <w:right w:w="113" w:type="dxa"/>
            </w:tcMar>
            <w:vAlign w:val="center"/>
          </w:tcPr>
          <w:p w14:paraId="5EBC524B" w14:textId="77777777" w:rsidR="00FB4146" w:rsidRDefault="00FB4146" w:rsidP="00FB4146">
            <w:pPr>
              <w:pStyle w:val="CDIFigure-Table-BodyTextCentre"/>
            </w:pPr>
            <w:r>
              <w:t>1 (3.6)</w:t>
            </w:r>
          </w:p>
        </w:tc>
      </w:tr>
      <w:tr w:rsidR="00FB4146" w14:paraId="6797C6A8"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20026AC2" w14:textId="77777777" w:rsidR="00FB4146" w:rsidRDefault="00FB4146" w:rsidP="00917557">
            <w:pPr>
              <w:pStyle w:val="CDIFigure-Table-BodyTextLeft"/>
            </w:pPr>
            <w:r>
              <w:t>Hyperhidrosis</w:t>
            </w:r>
          </w:p>
        </w:tc>
        <w:tc>
          <w:tcPr>
            <w:tcW w:w="1247" w:type="dxa"/>
            <w:shd w:val="clear" w:color="auto" w:fill="F2F2F2" w:themeFill="background1" w:themeFillShade="F2"/>
            <w:tcMar>
              <w:top w:w="113" w:type="dxa"/>
              <w:left w:w="113" w:type="dxa"/>
              <w:bottom w:w="113" w:type="dxa"/>
              <w:right w:w="113" w:type="dxa"/>
            </w:tcMar>
            <w:vAlign w:val="center"/>
          </w:tcPr>
          <w:p w14:paraId="17C665C7" w14:textId="77777777" w:rsidR="00FB4146" w:rsidRDefault="00FB4146" w:rsidP="00FB4146">
            <w:pPr>
              <w:pStyle w:val="CDIFigure-Table-BodyTextCentre"/>
            </w:pPr>
            <w:r>
              <w:t>25 (0.7)</w:t>
            </w:r>
          </w:p>
        </w:tc>
        <w:tc>
          <w:tcPr>
            <w:tcW w:w="1247" w:type="dxa"/>
            <w:shd w:val="clear" w:color="auto" w:fill="F2F2F2" w:themeFill="background1" w:themeFillShade="F2"/>
            <w:tcMar>
              <w:top w:w="113" w:type="dxa"/>
              <w:left w:w="113" w:type="dxa"/>
              <w:bottom w:w="113" w:type="dxa"/>
              <w:right w:w="113" w:type="dxa"/>
            </w:tcMar>
            <w:vAlign w:val="center"/>
          </w:tcPr>
          <w:p w14:paraId="313B39D8" w14:textId="77777777" w:rsidR="00FB4146" w:rsidRDefault="00FB4146" w:rsidP="00FB4146">
            <w:pPr>
              <w:pStyle w:val="CDIFigure-Table-BodyTextCentre"/>
            </w:pPr>
            <w:r>
              <w:t>0 (0.0)</w:t>
            </w:r>
          </w:p>
        </w:tc>
        <w:tc>
          <w:tcPr>
            <w:tcW w:w="1247" w:type="dxa"/>
            <w:shd w:val="clear" w:color="auto" w:fill="F2F2F2" w:themeFill="background1" w:themeFillShade="F2"/>
            <w:tcMar>
              <w:top w:w="113" w:type="dxa"/>
              <w:left w:w="113" w:type="dxa"/>
              <w:bottom w:w="113" w:type="dxa"/>
              <w:right w:w="113" w:type="dxa"/>
            </w:tcMar>
            <w:vAlign w:val="center"/>
          </w:tcPr>
          <w:p w14:paraId="4826CFF0" w14:textId="77777777" w:rsidR="00FB4146" w:rsidRDefault="00FB4146" w:rsidP="00FB4146">
            <w:pPr>
              <w:pStyle w:val="CDIFigure-Table-BodyTextCentre"/>
            </w:pPr>
            <w:r>
              <w:t>3 (12.0)</w:t>
            </w:r>
          </w:p>
        </w:tc>
        <w:tc>
          <w:tcPr>
            <w:tcW w:w="1248" w:type="dxa"/>
            <w:shd w:val="clear" w:color="auto" w:fill="F2F2F2" w:themeFill="background1" w:themeFillShade="F2"/>
            <w:tcMar>
              <w:top w:w="113" w:type="dxa"/>
              <w:left w:w="113" w:type="dxa"/>
              <w:bottom w:w="113" w:type="dxa"/>
              <w:right w:w="113" w:type="dxa"/>
            </w:tcMar>
            <w:vAlign w:val="center"/>
          </w:tcPr>
          <w:p w14:paraId="1403F412" w14:textId="77777777" w:rsidR="00FB4146" w:rsidRDefault="00FB4146" w:rsidP="00FB4146">
            <w:pPr>
              <w:pStyle w:val="CDIFigure-Table-BodyTextCentre"/>
            </w:pPr>
            <w:r>
              <w:t>21 (84.0)</w:t>
            </w:r>
          </w:p>
        </w:tc>
        <w:tc>
          <w:tcPr>
            <w:tcW w:w="1247" w:type="dxa"/>
            <w:shd w:val="clear" w:color="auto" w:fill="F2F2F2" w:themeFill="background1" w:themeFillShade="F2"/>
            <w:tcMar>
              <w:top w:w="113" w:type="dxa"/>
              <w:left w:w="113" w:type="dxa"/>
              <w:bottom w:w="113" w:type="dxa"/>
              <w:right w:w="113" w:type="dxa"/>
            </w:tcMar>
            <w:vAlign w:val="center"/>
          </w:tcPr>
          <w:p w14:paraId="76B70DC2" w14:textId="77777777" w:rsidR="00FB4146" w:rsidRDefault="00FB4146" w:rsidP="00FB4146">
            <w:pPr>
              <w:pStyle w:val="CDIFigure-Table-BodyTextCentre"/>
            </w:pPr>
            <w:r>
              <w:t>3 (12.0)</w:t>
            </w:r>
          </w:p>
        </w:tc>
      </w:tr>
      <w:tr w:rsidR="00FB4146" w14:paraId="412452D5" w14:textId="77777777" w:rsidTr="00917557">
        <w:trPr>
          <w:trHeight w:val="20"/>
        </w:trPr>
        <w:tc>
          <w:tcPr>
            <w:tcW w:w="3515" w:type="dxa"/>
            <w:tcMar>
              <w:top w:w="113" w:type="dxa"/>
              <w:left w:w="113" w:type="dxa"/>
              <w:bottom w:w="113" w:type="dxa"/>
              <w:right w:w="113" w:type="dxa"/>
            </w:tcMar>
            <w:vAlign w:val="center"/>
          </w:tcPr>
          <w:p w14:paraId="44AD0C8C" w14:textId="77777777" w:rsidR="00FB4146" w:rsidRDefault="00FB4146" w:rsidP="00917557">
            <w:pPr>
              <w:pStyle w:val="CDIFigure-Table-BodyTextLeft"/>
            </w:pPr>
            <w:r>
              <w:t>Respiratory failure</w:t>
            </w:r>
          </w:p>
        </w:tc>
        <w:tc>
          <w:tcPr>
            <w:tcW w:w="1247" w:type="dxa"/>
            <w:tcMar>
              <w:top w:w="113" w:type="dxa"/>
              <w:left w:w="113" w:type="dxa"/>
              <w:bottom w:w="113" w:type="dxa"/>
              <w:right w:w="113" w:type="dxa"/>
            </w:tcMar>
            <w:vAlign w:val="center"/>
          </w:tcPr>
          <w:p w14:paraId="3DC737D1" w14:textId="77777777" w:rsidR="00FB4146" w:rsidRDefault="00FB4146" w:rsidP="00FB4146">
            <w:pPr>
              <w:pStyle w:val="CDIFigure-Table-BodyTextCentre"/>
            </w:pPr>
            <w:r>
              <w:t>25 (0.7)</w:t>
            </w:r>
          </w:p>
        </w:tc>
        <w:tc>
          <w:tcPr>
            <w:tcW w:w="1247" w:type="dxa"/>
            <w:tcMar>
              <w:top w:w="113" w:type="dxa"/>
              <w:left w:w="113" w:type="dxa"/>
              <w:bottom w:w="113" w:type="dxa"/>
              <w:right w:w="113" w:type="dxa"/>
            </w:tcMar>
            <w:vAlign w:val="center"/>
          </w:tcPr>
          <w:p w14:paraId="1EB5286A" w14:textId="77777777" w:rsidR="00FB4146" w:rsidRDefault="00FB4146" w:rsidP="00FB4146">
            <w:pPr>
              <w:pStyle w:val="CDIFigure-Table-BodyTextCentre"/>
            </w:pPr>
            <w:r>
              <w:t>7 (28.0)</w:t>
            </w:r>
          </w:p>
        </w:tc>
        <w:tc>
          <w:tcPr>
            <w:tcW w:w="1247" w:type="dxa"/>
            <w:tcMar>
              <w:top w:w="113" w:type="dxa"/>
              <w:left w:w="113" w:type="dxa"/>
              <w:bottom w:w="113" w:type="dxa"/>
              <w:right w:w="113" w:type="dxa"/>
            </w:tcMar>
            <w:vAlign w:val="center"/>
          </w:tcPr>
          <w:p w14:paraId="26DC3C08" w14:textId="77777777" w:rsidR="00FB4146" w:rsidRDefault="00FB4146" w:rsidP="00FB4146">
            <w:pPr>
              <w:pStyle w:val="CDIFigure-Table-BodyTextCentre"/>
            </w:pPr>
            <w:r>
              <w:t>21 (84.0)</w:t>
            </w:r>
          </w:p>
        </w:tc>
        <w:tc>
          <w:tcPr>
            <w:tcW w:w="1248" w:type="dxa"/>
            <w:tcMar>
              <w:top w:w="113" w:type="dxa"/>
              <w:left w:w="113" w:type="dxa"/>
              <w:bottom w:w="113" w:type="dxa"/>
              <w:right w:w="113" w:type="dxa"/>
            </w:tcMar>
            <w:vAlign w:val="center"/>
          </w:tcPr>
          <w:p w14:paraId="69F7CA5B" w14:textId="77777777" w:rsidR="00FB4146" w:rsidRDefault="00FB4146" w:rsidP="00FB4146">
            <w:pPr>
              <w:pStyle w:val="CDIFigure-Table-BodyTextCentre"/>
            </w:pPr>
            <w:r>
              <w:t>3 (12.0)</w:t>
            </w:r>
          </w:p>
        </w:tc>
        <w:tc>
          <w:tcPr>
            <w:tcW w:w="1247" w:type="dxa"/>
            <w:tcMar>
              <w:top w:w="113" w:type="dxa"/>
              <w:left w:w="113" w:type="dxa"/>
              <w:bottom w:w="113" w:type="dxa"/>
              <w:right w:w="113" w:type="dxa"/>
            </w:tcMar>
            <w:vAlign w:val="center"/>
          </w:tcPr>
          <w:p w14:paraId="621B01E3" w14:textId="77777777" w:rsidR="00FB4146" w:rsidRDefault="00FB4146" w:rsidP="00FB4146">
            <w:pPr>
              <w:pStyle w:val="CDIFigure-Table-BodyTextCentre"/>
            </w:pPr>
            <w:r>
              <w:t>3 (12.0)</w:t>
            </w:r>
          </w:p>
        </w:tc>
      </w:tr>
      <w:tr w:rsidR="00FB4146" w14:paraId="04B6A08E"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298A8867" w14:textId="77777777" w:rsidR="00FB4146" w:rsidRDefault="00FB4146" w:rsidP="00917557">
            <w:pPr>
              <w:pStyle w:val="CDIFigure-Table-BodyTextLeft"/>
            </w:pPr>
            <w:r>
              <w:t>Neonatal disorders</w:t>
            </w:r>
          </w:p>
        </w:tc>
        <w:tc>
          <w:tcPr>
            <w:tcW w:w="1247" w:type="dxa"/>
            <w:shd w:val="clear" w:color="auto" w:fill="F2F2F2" w:themeFill="background1" w:themeFillShade="F2"/>
            <w:tcMar>
              <w:top w:w="113" w:type="dxa"/>
              <w:left w:w="113" w:type="dxa"/>
              <w:bottom w:w="113" w:type="dxa"/>
              <w:right w:w="113" w:type="dxa"/>
            </w:tcMar>
            <w:vAlign w:val="center"/>
          </w:tcPr>
          <w:p w14:paraId="429F94C9" w14:textId="77777777" w:rsidR="00FB4146" w:rsidRDefault="00FB4146" w:rsidP="00FB4146">
            <w:pPr>
              <w:pStyle w:val="CDIFigure-Table-BodyTextCentre"/>
            </w:pPr>
            <w:r>
              <w:t>23 (0.7)</w:t>
            </w:r>
          </w:p>
        </w:tc>
        <w:tc>
          <w:tcPr>
            <w:tcW w:w="1247" w:type="dxa"/>
            <w:shd w:val="clear" w:color="auto" w:fill="F2F2F2" w:themeFill="background1" w:themeFillShade="F2"/>
            <w:tcMar>
              <w:top w:w="113" w:type="dxa"/>
              <w:left w:w="113" w:type="dxa"/>
              <w:bottom w:w="113" w:type="dxa"/>
              <w:right w:w="113" w:type="dxa"/>
            </w:tcMar>
            <w:vAlign w:val="center"/>
          </w:tcPr>
          <w:p w14:paraId="7F1BB3CA" w14:textId="77777777" w:rsidR="00FB4146" w:rsidRDefault="00FB4146" w:rsidP="00FB4146">
            <w:pPr>
              <w:pStyle w:val="CDIFigure-Table-BodyTextCentre"/>
            </w:pPr>
            <w:r>
              <w:t>5 (21.7)</w:t>
            </w:r>
          </w:p>
        </w:tc>
        <w:tc>
          <w:tcPr>
            <w:tcW w:w="1247" w:type="dxa"/>
            <w:shd w:val="clear" w:color="auto" w:fill="F2F2F2" w:themeFill="background1" w:themeFillShade="F2"/>
            <w:tcMar>
              <w:top w:w="113" w:type="dxa"/>
              <w:left w:w="113" w:type="dxa"/>
              <w:bottom w:w="113" w:type="dxa"/>
              <w:right w:w="113" w:type="dxa"/>
            </w:tcMar>
            <w:vAlign w:val="center"/>
          </w:tcPr>
          <w:p w14:paraId="64CD453D" w14:textId="77777777" w:rsidR="00FB4146" w:rsidRDefault="00FB4146" w:rsidP="00FB4146">
            <w:pPr>
              <w:pStyle w:val="CDIFigure-Table-BodyTextCentre"/>
            </w:pPr>
            <w:r>
              <w:t>19 (82.6)</w:t>
            </w:r>
          </w:p>
        </w:tc>
        <w:tc>
          <w:tcPr>
            <w:tcW w:w="1248" w:type="dxa"/>
            <w:shd w:val="clear" w:color="auto" w:fill="F2F2F2" w:themeFill="background1" w:themeFillShade="F2"/>
            <w:tcMar>
              <w:top w:w="113" w:type="dxa"/>
              <w:left w:w="113" w:type="dxa"/>
              <w:bottom w:w="113" w:type="dxa"/>
              <w:right w:w="113" w:type="dxa"/>
            </w:tcMar>
            <w:vAlign w:val="center"/>
          </w:tcPr>
          <w:p w14:paraId="31E634EA" w14:textId="77777777" w:rsidR="00FB4146" w:rsidRDefault="00FB4146" w:rsidP="00FB4146">
            <w:pPr>
              <w:pStyle w:val="CDIFigure-Table-BodyTextCentre"/>
            </w:pPr>
            <w:r>
              <w:t>0 (0.0)</w:t>
            </w:r>
          </w:p>
        </w:tc>
        <w:tc>
          <w:tcPr>
            <w:tcW w:w="1247" w:type="dxa"/>
            <w:shd w:val="clear" w:color="auto" w:fill="F2F2F2" w:themeFill="background1" w:themeFillShade="F2"/>
            <w:tcMar>
              <w:top w:w="113" w:type="dxa"/>
              <w:left w:w="113" w:type="dxa"/>
              <w:bottom w:w="113" w:type="dxa"/>
              <w:right w:w="113" w:type="dxa"/>
            </w:tcMar>
            <w:vAlign w:val="center"/>
          </w:tcPr>
          <w:p w14:paraId="6788C33B" w14:textId="77777777" w:rsidR="00FB4146" w:rsidRDefault="00FB4146" w:rsidP="00FB4146">
            <w:pPr>
              <w:pStyle w:val="CDIFigure-Table-BodyTextCentre"/>
            </w:pPr>
            <w:r>
              <w:t>4 (17.4)</w:t>
            </w:r>
          </w:p>
        </w:tc>
      </w:tr>
      <w:tr w:rsidR="00FB4146" w14:paraId="706EA79A" w14:textId="77777777" w:rsidTr="00917557">
        <w:trPr>
          <w:trHeight w:val="20"/>
        </w:trPr>
        <w:tc>
          <w:tcPr>
            <w:tcW w:w="3515" w:type="dxa"/>
            <w:tcMar>
              <w:top w:w="113" w:type="dxa"/>
              <w:left w:w="113" w:type="dxa"/>
              <w:bottom w:w="113" w:type="dxa"/>
              <w:right w:w="113" w:type="dxa"/>
            </w:tcMar>
            <w:vAlign w:val="center"/>
          </w:tcPr>
          <w:p w14:paraId="6D3A0D33" w14:textId="77777777" w:rsidR="00FB4146" w:rsidRDefault="00FB4146" w:rsidP="00917557">
            <w:pPr>
              <w:pStyle w:val="CDIFigure-Table-BodyTextLeft"/>
            </w:pPr>
            <w:r>
              <w:t>Tachycardia</w:t>
            </w:r>
          </w:p>
        </w:tc>
        <w:tc>
          <w:tcPr>
            <w:tcW w:w="1247" w:type="dxa"/>
            <w:tcMar>
              <w:top w:w="113" w:type="dxa"/>
              <w:left w:w="113" w:type="dxa"/>
              <w:bottom w:w="113" w:type="dxa"/>
              <w:right w:w="113" w:type="dxa"/>
            </w:tcMar>
            <w:vAlign w:val="center"/>
          </w:tcPr>
          <w:p w14:paraId="67193E68" w14:textId="77777777" w:rsidR="00FB4146" w:rsidRDefault="00FB4146" w:rsidP="00FB4146">
            <w:pPr>
              <w:pStyle w:val="CDIFigure-Table-BodyTextCentre"/>
            </w:pPr>
            <w:r>
              <w:t>23 (0.7)</w:t>
            </w:r>
          </w:p>
        </w:tc>
        <w:tc>
          <w:tcPr>
            <w:tcW w:w="1247" w:type="dxa"/>
            <w:tcMar>
              <w:top w:w="113" w:type="dxa"/>
              <w:left w:w="113" w:type="dxa"/>
              <w:bottom w:w="113" w:type="dxa"/>
              <w:right w:w="113" w:type="dxa"/>
            </w:tcMar>
            <w:vAlign w:val="center"/>
          </w:tcPr>
          <w:p w14:paraId="4E7C16BD" w14:textId="77777777" w:rsidR="00FB4146" w:rsidRDefault="00FB4146" w:rsidP="00FB4146">
            <w:pPr>
              <w:pStyle w:val="CDIFigure-Table-BodyTextCentre"/>
            </w:pPr>
            <w:r>
              <w:t>0 (0.0)</w:t>
            </w:r>
          </w:p>
        </w:tc>
        <w:tc>
          <w:tcPr>
            <w:tcW w:w="1247" w:type="dxa"/>
            <w:tcMar>
              <w:top w:w="113" w:type="dxa"/>
              <w:left w:w="113" w:type="dxa"/>
              <w:bottom w:w="113" w:type="dxa"/>
              <w:right w:w="113" w:type="dxa"/>
            </w:tcMar>
            <w:vAlign w:val="center"/>
          </w:tcPr>
          <w:p w14:paraId="09812D46" w14:textId="77777777" w:rsidR="00FB4146" w:rsidRDefault="00FB4146" w:rsidP="00FB4146">
            <w:pPr>
              <w:pStyle w:val="CDIFigure-Table-BodyTextCentre"/>
            </w:pPr>
            <w:r>
              <w:t>10 (43.5)</w:t>
            </w:r>
          </w:p>
        </w:tc>
        <w:tc>
          <w:tcPr>
            <w:tcW w:w="1248" w:type="dxa"/>
            <w:tcMar>
              <w:top w:w="113" w:type="dxa"/>
              <w:left w:w="113" w:type="dxa"/>
              <w:bottom w:w="113" w:type="dxa"/>
              <w:right w:w="113" w:type="dxa"/>
            </w:tcMar>
            <w:vAlign w:val="center"/>
          </w:tcPr>
          <w:p w14:paraId="3BB29D63" w14:textId="77777777" w:rsidR="00FB4146" w:rsidRDefault="00FB4146" w:rsidP="00FB4146">
            <w:pPr>
              <w:pStyle w:val="CDIFigure-Table-BodyTextCentre"/>
            </w:pPr>
            <w:r>
              <w:t>13 (56.5)</w:t>
            </w:r>
          </w:p>
        </w:tc>
        <w:tc>
          <w:tcPr>
            <w:tcW w:w="1247" w:type="dxa"/>
            <w:tcMar>
              <w:top w:w="113" w:type="dxa"/>
              <w:left w:w="113" w:type="dxa"/>
              <w:bottom w:w="113" w:type="dxa"/>
              <w:right w:w="113" w:type="dxa"/>
            </w:tcMar>
            <w:vAlign w:val="center"/>
          </w:tcPr>
          <w:p w14:paraId="4E4CB954" w14:textId="77777777" w:rsidR="00FB4146" w:rsidRDefault="00FB4146" w:rsidP="00FB4146">
            <w:pPr>
              <w:pStyle w:val="CDIFigure-Table-BodyTextCentre"/>
            </w:pPr>
            <w:r>
              <w:t>4 (17.4)</w:t>
            </w:r>
          </w:p>
        </w:tc>
      </w:tr>
      <w:tr w:rsidR="00FB4146" w14:paraId="44611690"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6020A1D9" w14:textId="77777777" w:rsidR="00FB4146" w:rsidRDefault="00FB4146" w:rsidP="00917557">
            <w:pPr>
              <w:pStyle w:val="CDIFigure-Table-BodyTextLeft"/>
            </w:pPr>
            <w:r>
              <w:t>Hypoaesthesia</w:t>
            </w:r>
          </w:p>
        </w:tc>
        <w:tc>
          <w:tcPr>
            <w:tcW w:w="1247" w:type="dxa"/>
            <w:shd w:val="clear" w:color="auto" w:fill="F2F2F2" w:themeFill="background1" w:themeFillShade="F2"/>
            <w:tcMar>
              <w:top w:w="113" w:type="dxa"/>
              <w:left w:w="113" w:type="dxa"/>
              <w:bottom w:w="113" w:type="dxa"/>
              <w:right w:w="113" w:type="dxa"/>
            </w:tcMar>
            <w:vAlign w:val="center"/>
          </w:tcPr>
          <w:p w14:paraId="5EEDF90B" w14:textId="77777777" w:rsidR="00FB4146" w:rsidRDefault="00FB4146" w:rsidP="00FB4146">
            <w:pPr>
              <w:pStyle w:val="CDIFigure-Table-BodyTextCentre"/>
            </w:pPr>
            <w:r>
              <w:t>22 (0.6)</w:t>
            </w:r>
          </w:p>
        </w:tc>
        <w:tc>
          <w:tcPr>
            <w:tcW w:w="1247" w:type="dxa"/>
            <w:shd w:val="clear" w:color="auto" w:fill="F2F2F2" w:themeFill="background1" w:themeFillShade="F2"/>
            <w:tcMar>
              <w:top w:w="113" w:type="dxa"/>
              <w:left w:w="113" w:type="dxa"/>
              <w:bottom w:w="113" w:type="dxa"/>
              <w:right w:w="113" w:type="dxa"/>
            </w:tcMar>
            <w:vAlign w:val="center"/>
          </w:tcPr>
          <w:p w14:paraId="6A77F475" w14:textId="77777777" w:rsidR="00FB4146" w:rsidRDefault="00FB4146" w:rsidP="00FB4146">
            <w:pPr>
              <w:pStyle w:val="CDIFigure-Table-BodyTextCentre"/>
            </w:pPr>
            <w:r>
              <w:t>5 (22.7)</w:t>
            </w:r>
          </w:p>
        </w:tc>
        <w:tc>
          <w:tcPr>
            <w:tcW w:w="1247" w:type="dxa"/>
            <w:shd w:val="clear" w:color="auto" w:fill="F2F2F2" w:themeFill="background1" w:themeFillShade="F2"/>
            <w:tcMar>
              <w:top w:w="113" w:type="dxa"/>
              <w:left w:w="113" w:type="dxa"/>
              <w:bottom w:w="113" w:type="dxa"/>
              <w:right w:w="113" w:type="dxa"/>
            </w:tcMar>
            <w:vAlign w:val="center"/>
          </w:tcPr>
          <w:p w14:paraId="16EA2810" w14:textId="77777777" w:rsidR="00FB4146" w:rsidRDefault="00FB4146" w:rsidP="00FB4146">
            <w:pPr>
              <w:pStyle w:val="CDIFigure-Table-BodyTextCentre"/>
            </w:pPr>
            <w:r>
              <w:t>1 (4.5)</w:t>
            </w:r>
          </w:p>
        </w:tc>
        <w:tc>
          <w:tcPr>
            <w:tcW w:w="1248" w:type="dxa"/>
            <w:shd w:val="clear" w:color="auto" w:fill="F2F2F2" w:themeFill="background1" w:themeFillShade="F2"/>
            <w:tcMar>
              <w:top w:w="113" w:type="dxa"/>
              <w:left w:w="113" w:type="dxa"/>
              <w:bottom w:w="113" w:type="dxa"/>
              <w:right w:w="113" w:type="dxa"/>
            </w:tcMar>
            <w:vAlign w:val="center"/>
          </w:tcPr>
          <w:p w14:paraId="300FB572" w14:textId="77777777" w:rsidR="00FB4146" w:rsidRDefault="00FB4146" w:rsidP="00FB4146">
            <w:pPr>
              <w:pStyle w:val="CDIFigure-Table-BodyTextCentre"/>
            </w:pPr>
            <w:r>
              <w:t>18 (81.8)</w:t>
            </w:r>
          </w:p>
        </w:tc>
        <w:tc>
          <w:tcPr>
            <w:tcW w:w="1247" w:type="dxa"/>
            <w:shd w:val="clear" w:color="auto" w:fill="F2F2F2" w:themeFill="background1" w:themeFillShade="F2"/>
            <w:tcMar>
              <w:top w:w="113" w:type="dxa"/>
              <w:left w:w="113" w:type="dxa"/>
              <w:bottom w:w="113" w:type="dxa"/>
              <w:right w:w="113" w:type="dxa"/>
            </w:tcMar>
            <w:vAlign w:val="center"/>
          </w:tcPr>
          <w:p w14:paraId="65B0A2C4" w14:textId="77777777" w:rsidR="00FB4146" w:rsidRDefault="00FB4146" w:rsidP="00FB4146">
            <w:pPr>
              <w:pStyle w:val="CDIFigure-Table-BodyTextCentre"/>
            </w:pPr>
            <w:r>
              <w:t>2 (9.1)</w:t>
            </w:r>
          </w:p>
        </w:tc>
      </w:tr>
      <w:tr w:rsidR="00FB4146" w14:paraId="7B27E1B1" w14:textId="77777777" w:rsidTr="00917557">
        <w:trPr>
          <w:trHeight w:val="20"/>
        </w:trPr>
        <w:tc>
          <w:tcPr>
            <w:tcW w:w="3515" w:type="dxa"/>
            <w:tcMar>
              <w:top w:w="113" w:type="dxa"/>
              <w:left w:w="113" w:type="dxa"/>
              <w:bottom w:w="113" w:type="dxa"/>
              <w:right w:w="113" w:type="dxa"/>
            </w:tcMar>
            <w:vAlign w:val="center"/>
          </w:tcPr>
          <w:p w14:paraId="5BAB7897" w14:textId="77777777" w:rsidR="00FB4146" w:rsidRDefault="00FB4146" w:rsidP="00917557">
            <w:pPr>
              <w:pStyle w:val="CDIFigure-Table-BodyTextLeft"/>
            </w:pPr>
            <w:r>
              <w:t>Herpes zoster</w:t>
            </w:r>
          </w:p>
        </w:tc>
        <w:tc>
          <w:tcPr>
            <w:tcW w:w="1247" w:type="dxa"/>
            <w:tcMar>
              <w:top w:w="113" w:type="dxa"/>
              <w:left w:w="113" w:type="dxa"/>
              <w:bottom w:w="113" w:type="dxa"/>
              <w:right w:w="113" w:type="dxa"/>
            </w:tcMar>
            <w:vAlign w:val="center"/>
          </w:tcPr>
          <w:p w14:paraId="5C3E105F" w14:textId="77777777" w:rsidR="00FB4146" w:rsidRDefault="00FB4146" w:rsidP="00FB4146">
            <w:pPr>
              <w:pStyle w:val="CDIFigure-Table-BodyTextCentre"/>
            </w:pPr>
            <w:r>
              <w:t>20 (0.6)</w:t>
            </w:r>
          </w:p>
        </w:tc>
        <w:tc>
          <w:tcPr>
            <w:tcW w:w="1247" w:type="dxa"/>
            <w:tcMar>
              <w:top w:w="113" w:type="dxa"/>
              <w:left w:w="113" w:type="dxa"/>
              <w:bottom w:w="113" w:type="dxa"/>
              <w:right w:w="113" w:type="dxa"/>
            </w:tcMar>
            <w:vAlign w:val="center"/>
          </w:tcPr>
          <w:p w14:paraId="5406EC58" w14:textId="77777777" w:rsidR="00FB4146" w:rsidRDefault="00FB4146" w:rsidP="00FB4146">
            <w:pPr>
              <w:pStyle w:val="CDIFigure-Table-BodyTextCentre"/>
            </w:pPr>
            <w:r>
              <w:t>11 (55.0)</w:t>
            </w:r>
          </w:p>
        </w:tc>
        <w:tc>
          <w:tcPr>
            <w:tcW w:w="1247" w:type="dxa"/>
            <w:tcMar>
              <w:top w:w="113" w:type="dxa"/>
              <w:left w:w="113" w:type="dxa"/>
              <w:bottom w:w="113" w:type="dxa"/>
              <w:right w:w="113" w:type="dxa"/>
            </w:tcMar>
            <w:vAlign w:val="center"/>
          </w:tcPr>
          <w:p w14:paraId="28A5D206" w14:textId="77777777" w:rsidR="00FB4146" w:rsidRDefault="00FB4146" w:rsidP="00FB4146">
            <w:pPr>
              <w:pStyle w:val="CDIFigure-Table-BodyTextCentre"/>
            </w:pPr>
            <w:r>
              <w:t>0 (0.0)</w:t>
            </w:r>
          </w:p>
        </w:tc>
        <w:tc>
          <w:tcPr>
            <w:tcW w:w="1248" w:type="dxa"/>
            <w:tcMar>
              <w:top w:w="113" w:type="dxa"/>
              <w:left w:w="113" w:type="dxa"/>
              <w:bottom w:w="113" w:type="dxa"/>
              <w:right w:w="113" w:type="dxa"/>
            </w:tcMar>
            <w:vAlign w:val="center"/>
          </w:tcPr>
          <w:p w14:paraId="7C76F2CA" w14:textId="77777777" w:rsidR="00FB4146" w:rsidRDefault="00FB4146" w:rsidP="00FB4146">
            <w:pPr>
              <w:pStyle w:val="CDIFigure-Table-BodyTextCentre"/>
            </w:pPr>
            <w:r>
              <w:t>18 (90.0)</w:t>
            </w:r>
          </w:p>
        </w:tc>
        <w:tc>
          <w:tcPr>
            <w:tcW w:w="1247" w:type="dxa"/>
            <w:tcMar>
              <w:top w:w="113" w:type="dxa"/>
              <w:left w:w="113" w:type="dxa"/>
              <w:bottom w:w="113" w:type="dxa"/>
              <w:right w:w="113" w:type="dxa"/>
            </w:tcMar>
            <w:vAlign w:val="center"/>
          </w:tcPr>
          <w:p w14:paraId="7A4D1B93" w14:textId="77777777" w:rsidR="00FB4146" w:rsidRDefault="00FB4146" w:rsidP="00FB4146">
            <w:pPr>
              <w:pStyle w:val="CDIFigure-Table-BodyTextCentre"/>
            </w:pPr>
            <w:r>
              <w:t>4 (20.0)</w:t>
            </w:r>
          </w:p>
        </w:tc>
      </w:tr>
      <w:tr w:rsidR="00FB4146" w14:paraId="087998CE"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440A36EA" w14:textId="77777777" w:rsidR="00FB4146" w:rsidRDefault="00FB4146" w:rsidP="00917557">
            <w:pPr>
              <w:pStyle w:val="CDIFigure-Table-BodyTextLeft"/>
            </w:pPr>
            <w:r>
              <w:t>Hypotonia</w:t>
            </w:r>
          </w:p>
        </w:tc>
        <w:tc>
          <w:tcPr>
            <w:tcW w:w="1247" w:type="dxa"/>
            <w:shd w:val="clear" w:color="auto" w:fill="F2F2F2" w:themeFill="background1" w:themeFillShade="F2"/>
            <w:tcMar>
              <w:top w:w="113" w:type="dxa"/>
              <w:left w:w="113" w:type="dxa"/>
              <w:bottom w:w="113" w:type="dxa"/>
              <w:right w:w="113" w:type="dxa"/>
            </w:tcMar>
            <w:vAlign w:val="center"/>
          </w:tcPr>
          <w:p w14:paraId="56E99356" w14:textId="77777777" w:rsidR="00FB4146" w:rsidRDefault="00FB4146" w:rsidP="00FB4146">
            <w:pPr>
              <w:pStyle w:val="CDIFigure-Table-BodyTextCentre"/>
            </w:pPr>
            <w:r>
              <w:t>20 (0.6)</w:t>
            </w:r>
          </w:p>
        </w:tc>
        <w:tc>
          <w:tcPr>
            <w:tcW w:w="1247" w:type="dxa"/>
            <w:shd w:val="clear" w:color="auto" w:fill="F2F2F2" w:themeFill="background1" w:themeFillShade="F2"/>
            <w:tcMar>
              <w:top w:w="113" w:type="dxa"/>
              <w:left w:w="113" w:type="dxa"/>
              <w:bottom w:w="113" w:type="dxa"/>
              <w:right w:w="113" w:type="dxa"/>
            </w:tcMar>
            <w:vAlign w:val="center"/>
          </w:tcPr>
          <w:p w14:paraId="59C62C66" w14:textId="77777777" w:rsidR="00FB4146" w:rsidRDefault="00FB4146" w:rsidP="00FB4146">
            <w:pPr>
              <w:pStyle w:val="CDIFigure-Table-BodyTextCentre"/>
            </w:pPr>
            <w:r>
              <w:t>2 (10.0)</w:t>
            </w:r>
          </w:p>
        </w:tc>
        <w:tc>
          <w:tcPr>
            <w:tcW w:w="1247" w:type="dxa"/>
            <w:shd w:val="clear" w:color="auto" w:fill="F2F2F2" w:themeFill="background1" w:themeFillShade="F2"/>
            <w:tcMar>
              <w:top w:w="113" w:type="dxa"/>
              <w:left w:w="113" w:type="dxa"/>
              <w:bottom w:w="113" w:type="dxa"/>
              <w:right w:w="113" w:type="dxa"/>
            </w:tcMar>
            <w:vAlign w:val="center"/>
          </w:tcPr>
          <w:p w14:paraId="22A21CF3" w14:textId="77777777" w:rsidR="00FB4146" w:rsidRDefault="00FB4146" w:rsidP="00FB4146">
            <w:pPr>
              <w:pStyle w:val="CDIFigure-Table-BodyTextCentre"/>
            </w:pPr>
            <w:r>
              <w:t>19 (95.0)</w:t>
            </w:r>
          </w:p>
        </w:tc>
        <w:tc>
          <w:tcPr>
            <w:tcW w:w="1248" w:type="dxa"/>
            <w:shd w:val="clear" w:color="auto" w:fill="F2F2F2" w:themeFill="background1" w:themeFillShade="F2"/>
            <w:tcMar>
              <w:top w:w="113" w:type="dxa"/>
              <w:left w:w="113" w:type="dxa"/>
              <w:bottom w:w="113" w:type="dxa"/>
              <w:right w:w="113" w:type="dxa"/>
            </w:tcMar>
            <w:vAlign w:val="center"/>
          </w:tcPr>
          <w:p w14:paraId="403D4C3A" w14:textId="77777777" w:rsidR="00FB4146" w:rsidRDefault="00FB4146" w:rsidP="00FB4146">
            <w:pPr>
              <w:pStyle w:val="CDIFigure-Table-BodyTextCentre"/>
            </w:pPr>
            <w:r>
              <w:t>1 (5.0)</w:t>
            </w:r>
          </w:p>
        </w:tc>
        <w:tc>
          <w:tcPr>
            <w:tcW w:w="1247" w:type="dxa"/>
            <w:shd w:val="clear" w:color="auto" w:fill="F2F2F2" w:themeFill="background1" w:themeFillShade="F2"/>
            <w:tcMar>
              <w:top w:w="113" w:type="dxa"/>
              <w:left w:w="113" w:type="dxa"/>
              <w:bottom w:w="113" w:type="dxa"/>
              <w:right w:w="113" w:type="dxa"/>
            </w:tcMar>
            <w:vAlign w:val="center"/>
          </w:tcPr>
          <w:p w14:paraId="0AA21E85" w14:textId="77777777" w:rsidR="00FB4146" w:rsidRDefault="00FB4146" w:rsidP="00FB4146">
            <w:pPr>
              <w:pStyle w:val="CDIFigure-Table-BodyTextCentre"/>
            </w:pPr>
            <w:r>
              <w:t>2 (10.0)</w:t>
            </w:r>
          </w:p>
        </w:tc>
      </w:tr>
      <w:tr w:rsidR="00FB4146" w14:paraId="04364B9B" w14:textId="77777777" w:rsidTr="00917557">
        <w:trPr>
          <w:trHeight w:val="20"/>
        </w:trPr>
        <w:tc>
          <w:tcPr>
            <w:tcW w:w="3515" w:type="dxa"/>
            <w:tcMar>
              <w:top w:w="113" w:type="dxa"/>
              <w:left w:w="113" w:type="dxa"/>
              <w:bottom w:w="113" w:type="dxa"/>
              <w:right w:w="113" w:type="dxa"/>
            </w:tcMar>
            <w:vAlign w:val="center"/>
          </w:tcPr>
          <w:p w14:paraId="3BE7CB10" w14:textId="77777777" w:rsidR="00FB4146" w:rsidRDefault="00FB4146" w:rsidP="00917557">
            <w:pPr>
              <w:pStyle w:val="CDIFigure-Table-BodyTextLeft"/>
            </w:pPr>
            <w:r>
              <w:t>Injected limb mobility decreased</w:t>
            </w:r>
          </w:p>
        </w:tc>
        <w:tc>
          <w:tcPr>
            <w:tcW w:w="1247" w:type="dxa"/>
            <w:tcMar>
              <w:top w:w="113" w:type="dxa"/>
              <w:left w:w="113" w:type="dxa"/>
              <w:bottom w:w="113" w:type="dxa"/>
              <w:right w:w="113" w:type="dxa"/>
            </w:tcMar>
            <w:vAlign w:val="center"/>
          </w:tcPr>
          <w:p w14:paraId="4665EF71" w14:textId="77777777" w:rsidR="00FB4146" w:rsidRDefault="00FB4146" w:rsidP="00FB4146">
            <w:pPr>
              <w:pStyle w:val="CDIFigure-Table-BodyTextCentre"/>
            </w:pPr>
            <w:r>
              <w:t>20 (0.6)</w:t>
            </w:r>
          </w:p>
        </w:tc>
        <w:tc>
          <w:tcPr>
            <w:tcW w:w="1247" w:type="dxa"/>
            <w:tcMar>
              <w:top w:w="113" w:type="dxa"/>
              <w:left w:w="113" w:type="dxa"/>
              <w:bottom w:w="113" w:type="dxa"/>
              <w:right w:w="113" w:type="dxa"/>
            </w:tcMar>
            <w:vAlign w:val="center"/>
          </w:tcPr>
          <w:p w14:paraId="4F9F9898" w14:textId="77777777" w:rsidR="00FB4146" w:rsidRDefault="00FB4146" w:rsidP="00FB4146">
            <w:pPr>
              <w:pStyle w:val="CDIFigure-Table-BodyTextCentre"/>
            </w:pPr>
            <w:r>
              <w:t>0 (0.0)</w:t>
            </w:r>
          </w:p>
        </w:tc>
        <w:tc>
          <w:tcPr>
            <w:tcW w:w="1247" w:type="dxa"/>
            <w:tcMar>
              <w:top w:w="113" w:type="dxa"/>
              <w:left w:w="113" w:type="dxa"/>
              <w:bottom w:w="113" w:type="dxa"/>
              <w:right w:w="113" w:type="dxa"/>
            </w:tcMar>
            <w:vAlign w:val="center"/>
          </w:tcPr>
          <w:p w14:paraId="38ADD131" w14:textId="77777777" w:rsidR="00FB4146" w:rsidRDefault="00FB4146" w:rsidP="00FB4146">
            <w:pPr>
              <w:pStyle w:val="CDIFigure-Table-BodyTextCentre"/>
            </w:pPr>
            <w:r>
              <w:t>2 (10.0)</w:t>
            </w:r>
          </w:p>
        </w:tc>
        <w:tc>
          <w:tcPr>
            <w:tcW w:w="1248" w:type="dxa"/>
            <w:tcMar>
              <w:top w:w="113" w:type="dxa"/>
              <w:left w:w="113" w:type="dxa"/>
              <w:bottom w:w="113" w:type="dxa"/>
              <w:right w:w="113" w:type="dxa"/>
            </w:tcMar>
            <w:vAlign w:val="center"/>
          </w:tcPr>
          <w:p w14:paraId="7F3F13B2" w14:textId="77777777" w:rsidR="00FB4146" w:rsidRDefault="00FB4146" w:rsidP="00FB4146">
            <w:pPr>
              <w:pStyle w:val="CDIFigure-Table-BodyTextCentre"/>
            </w:pPr>
            <w:r>
              <w:t>16 (80.0)</w:t>
            </w:r>
          </w:p>
        </w:tc>
        <w:tc>
          <w:tcPr>
            <w:tcW w:w="1247" w:type="dxa"/>
            <w:tcMar>
              <w:top w:w="113" w:type="dxa"/>
              <w:left w:w="113" w:type="dxa"/>
              <w:bottom w:w="113" w:type="dxa"/>
              <w:right w:w="113" w:type="dxa"/>
            </w:tcMar>
            <w:vAlign w:val="center"/>
          </w:tcPr>
          <w:p w14:paraId="31E39E22" w14:textId="77777777" w:rsidR="00FB4146" w:rsidRDefault="00FB4146" w:rsidP="00FB4146">
            <w:pPr>
              <w:pStyle w:val="CDIFigure-Table-BodyTextCentre"/>
            </w:pPr>
            <w:r>
              <w:t>1 (5.0)</w:t>
            </w:r>
          </w:p>
        </w:tc>
      </w:tr>
      <w:tr w:rsidR="00FB4146" w14:paraId="26D30D59"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31FF3733" w14:textId="77777777" w:rsidR="00FB4146" w:rsidRDefault="00FB4146" w:rsidP="00917557">
            <w:pPr>
              <w:pStyle w:val="CDIFigure-Table-BodyTextLeft"/>
            </w:pPr>
            <w:r>
              <w:t>Injection site nodule</w:t>
            </w:r>
          </w:p>
        </w:tc>
        <w:tc>
          <w:tcPr>
            <w:tcW w:w="1247" w:type="dxa"/>
            <w:shd w:val="clear" w:color="auto" w:fill="F2F2F2" w:themeFill="background1" w:themeFillShade="F2"/>
            <w:tcMar>
              <w:top w:w="113" w:type="dxa"/>
              <w:left w:w="113" w:type="dxa"/>
              <w:bottom w:w="113" w:type="dxa"/>
              <w:right w:w="113" w:type="dxa"/>
            </w:tcMar>
            <w:vAlign w:val="center"/>
          </w:tcPr>
          <w:p w14:paraId="26F57AB8" w14:textId="77777777" w:rsidR="00FB4146" w:rsidRDefault="00FB4146" w:rsidP="00FB4146">
            <w:pPr>
              <w:pStyle w:val="CDIFigure-Table-BodyTextCentre"/>
            </w:pPr>
            <w:r>
              <w:t>20 (0.6)</w:t>
            </w:r>
          </w:p>
        </w:tc>
        <w:tc>
          <w:tcPr>
            <w:tcW w:w="1247" w:type="dxa"/>
            <w:shd w:val="clear" w:color="auto" w:fill="F2F2F2" w:themeFill="background1" w:themeFillShade="F2"/>
            <w:tcMar>
              <w:top w:w="113" w:type="dxa"/>
              <w:left w:w="113" w:type="dxa"/>
              <w:bottom w:w="113" w:type="dxa"/>
              <w:right w:w="113" w:type="dxa"/>
            </w:tcMar>
            <w:vAlign w:val="center"/>
          </w:tcPr>
          <w:p w14:paraId="32719A7E" w14:textId="77777777" w:rsidR="00FB4146" w:rsidRDefault="00FB4146" w:rsidP="00FB4146">
            <w:pPr>
              <w:pStyle w:val="CDIFigure-Table-BodyTextCentre"/>
            </w:pPr>
            <w:r>
              <w:t>7 (35.0)</w:t>
            </w:r>
          </w:p>
        </w:tc>
        <w:tc>
          <w:tcPr>
            <w:tcW w:w="1247" w:type="dxa"/>
            <w:shd w:val="clear" w:color="auto" w:fill="F2F2F2" w:themeFill="background1" w:themeFillShade="F2"/>
            <w:tcMar>
              <w:top w:w="113" w:type="dxa"/>
              <w:left w:w="113" w:type="dxa"/>
              <w:bottom w:w="113" w:type="dxa"/>
              <w:right w:w="113" w:type="dxa"/>
            </w:tcMar>
            <w:vAlign w:val="center"/>
          </w:tcPr>
          <w:p w14:paraId="4B40AFB6" w14:textId="77777777" w:rsidR="00FB4146" w:rsidRDefault="00FB4146" w:rsidP="00FB4146">
            <w:pPr>
              <w:pStyle w:val="CDIFigure-Table-BodyTextCentre"/>
            </w:pPr>
            <w:r>
              <w:t>16 (80.0)</w:t>
            </w:r>
          </w:p>
        </w:tc>
        <w:tc>
          <w:tcPr>
            <w:tcW w:w="1248" w:type="dxa"/>
            <w:shd w:val="clear" w:color="auto" w:fill="F2F2F2" w:themeFill="background1" w:themeFillShade="F2"/>
            <w:tcMar>
              <w:top w:w="113" w:type="dxa"/>
              <w:left w:w="113" w:type="dxa"/>
              <w:bottom w:w="113" w:type="dxa"/>
              <w:right w:w="113" w:type="dxa"/>
            </w:tcMar>
            <w:vAlign w:val="center"/>
          </w:tcPr>
          <w:p w14:paraId="0BA1AE17" w14:textId="77777777" w:rsidR="00FB4146" w:rsidRDefault="00FB4146" w:rsidP="00FB4146">
            <w:pPr>
              <w:pStyle w:val="CDIFigure-Table-BodyTextCentre"/>
            </w:pPr>
            <w:r>
              <w:t>4 (20.0)</w:t>
            </w:r>
          </w:p>
        </w:tc>
        <w:tc>
          <w:tcPr>
            <w:tcW w:w="1247" w:type="dxa"/>
            <w:shd w:val="clear" w:color="auto" w:fill="F2F2F2" w:themeFill="background1" w:themeFillShade="F2"/>
            <w:tcMar>
              <w:top w:w="113" w:type="dxa"/>
              <w:left w:w="113" w:type="dxa"/>
              <w:bottom w:w="113" w:type="dxa"/>
              <w:right w:w="113" w:type="dxa"/>
            </w:tcMar>
            <w:vAlign w:val="center"/>
          </w:tcPr>
          <w:p w14:paraId="54A05B15" w14:textId="77777777" w:rsidR="00FB4146" w:rsidRDefault="00FB4146" w:rsidP="00FB4146">
            <w:pPr>
              <w:pStyle w:val="CDIFigure-Table-BodyTextCentre"/>
            </w:pPr>
            <w:r>
              <w:t>0 (0.0)</w:t>
            </w:r>
          </w:p>
        </w:tc>
      </w:tr>
      <w:tr w:rsidR="00FB4146" w14:paraId="38CC4367" w14:textId="77777777" w:rsidTr="00917557">
        <w:trPr>
          <w:trHeight w:val="20"/>
        </w:trPr>
        <w:tc>
          <w:tcPr>
            <w:tcW w:w="3515" w:type="dxa"/>
            <w:tcMar>
              <w:top w:w="113" w:type="dxa"/>
              <w:left w:w="113" w:type="dxa"/>
              <w:bottom w:w="113" w:type="dxa"/>
              <w:right w:w="113" w:type="dxa"/>
            </w:tcMar>
            <w:vAlign w:val="center"/>
          </w:tcPr>
          <w:p w14:paraId="09B3C536" w14:textId="77777777" w:rsidR="00FB4146" w:rsidRDefault="00FB4146" w:rsidP="00917557">
            <w:pPr>
              <w:pStyle w:val="CDIFigure-Table-BodyTextLeft"/>
            </w:pPr>
            <w:r>
              <w:t>Flushing</w:t>
            </w:r>
          </w:p>
        </w:tc>
        <w:tc>
          <w:tcPr>
            <w:tcW w:w="1247" w:type="dxa"/>
            <w:tcMar>
              <w:top w:w="113" w:type="dxa"/>
              <w:left w:w="113" w:type="dxa"/>
              <w:bottom w:w="113" w:type="dxa"/>
              <w:right w:w="113" w:type="dxa"/>
            </w:tcMar>
            <w:vAlign w:val="center"/>
          </w:tcPr>
          <w:p w14:paraId="50A14CBB" w14:textId="77777777" w:rsidR="00FB4146" w:rsidRDefault="00FB4146" w:rsidP="00FB4146">
            <w:pPr>
              <w:pStyle w:val="CDIFigure-Table-BodyTextCentre"/>
            </w:pPr>
            <w:r>
              <w:t>19 (0.6)</w:t>
            </w:r>
          </w:p>
        </w:tc>
        <w:tc>
          <w:tcPr>
            <w:tcW w:w="1247" w:type="dxa"/>
            <w:tcMar>
              <w:top w:w="113" w:type="dxa"/>
              <w:left w:w="113" w:type="dxa"/>
              <w:bottom w:w="113" w:type="dxa"/>
              <w:right w:w="113" w:type="dxa"/>
            </w:tcMar>
            <w:vAlign w:val="center"/>
          </w:tcPr>
          <w:p w14:paraId="570990E7" w14:textId="77777777" w:rsidR="00FB4146" w:rsidRDefault="00FB4146" w:rsidP="00FB4146">
            <w:pPr>
              <w:pStyle w:val="CDIFigure-Table-BodyTextCentre"/>
            </w:pPr>
            <w:r>
              <w:t>0 (0.0)</w:t>
            </w:r>
          </w:p>
        </w:tc>
        <w:tc>
          <w:tcPr>
            <w:tcW w:w="1247" w:type="dxa"/>
            <w:tcMar>
              <w:top w:w="113" w:type="dxa"/>
              <w:left w:w="113" w:type="dxa"/>
              <w:bottom w:w="113" w:type="dxa"/>
              <w:right w:w="113" w:type="dxa"/>
            </w:tcMar>
            <w:vAlign w:val="center"/>
          </w:tcPr>
          <w:p w14:paraId="2508C822" w14:textId="77777777" w:rsidR="00FB4146" w:rsidRDefault="00FB4146" w:rsidP="00FB4146">
            <w:pPr>
              <w:pStyle w:val="CDIFigure-Table-BodyTextCentre"/>
            </w:pPr>
            <w:r>
              <w:t>5 (26.3)</w:t>
            </w:r>
          </w:p>
        </w:tc>
        <w:tc>
          <w:tcPr>
            <w:tcW w:w="1248" w:type="dxa"/>
            <w:tcMar>
              <w:top w:w="113" w:type="dxa"/>
              <w:left w:w="113" w:type="dxa"/>
              <w:bottom w:w="113" w:type="dxa"/>
              <w:right w:w="113" w:type="dxa"/>
            </w:tcMar>
            <w:vAlign w:val="center"/>
          </w:tcPr>
          <w:p w14:paraId="5CF28E80" w14:textId="77777777" w:rsidR="00FB4146" w:rsidRDefault="00FB4146" w:rsidP="00FB4146">
            <w:pPr>
              <w:pStyle w:val="CDIFigure-Table-BodyTextCentre"/>
            </w:pPr>
            <w:r>
              <w:t>14 (73.7)</w:t>
            </w:r>
          </w:p>
        </w:tc>
        <w:tc>
          <w:tcPr>
            <w:tcW w:w="1247" w:type="dxa"/>
            <w:tcMar>
              <w:top w:w="113" w:type="dxa"/>
              <w:left w:w="113" w:type="dxa"/>
              <w:bottom w:w="113" w:type="dxa"/>
              <w:right w:w="113" w:type="dxa"/>
            </w:tcMar>
            <w:vAlign w:val="center"/>
          </w:tcPr>
          <w:p w14:paraId="6051AFA5" w14:textId="77777777" w:rsidR="00FB4146" w:rsidRDefault="00FB4146" w:rsidP="00FB4146">
            <w:pPr>
              <w:pStyle w:val="CDIFigure-Table-BodyTextCentre"/>
            </w:pPr>
            <w:r>
              <w:t>0 (0.0)</w:t>
            </w:r>
          </w:p>
        </w:tc>
      </w:tr>
      <w:tr w:rsidR="00FB4146" w14:paraId="700B1C6F"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0F42A6EE" w14:textId="77777777" w:rsidR="00FB4146" w:rsidRDefault="00FB4146" w:rsidP="00917557">
            <w:pPr>
              <w:pStyle w:val="CDIFigure-Table-BodyTextLeft"/>
            </w:pPr>
            <w:r>
              <w:t>Injection site erythema</w:t>
            </w:r>
          </w:p>
        </w:tc>
        <w:tc>
          <w:tcPr>
            <w:tcW w:w="1247" w:type="dxa"/>
            <w:shd w:val="clear" w:color="auto" w:fill="F2F2F2" w:themeFill="background1" w:themeFillShade="F2"/>
            <w:tcMar>
              <w:top w:w="113" w:type="dxa"/>
              <w:left w:w="113" w:type="dxa"/>
              <w:bottom w:w="113" w:type="dxa"/>
              <w:right w:w="113" w:type="dxa"/>
            </w:tcMar>
            <w:vAlign w:val="center"/>
          </w:tcPr>
          <w:p w14:paraId="0B0AAA24" w14:textId="77777777" w:rsidR="00FB4146" w:rsidRDefault="00FB4146" w:rsidP="00FB4146">
            <w:pPr>
              <w:pStyle w:val="CDIFigure-Table-BodyTextCentre"/>
            </w:pPr>
            <w:r>
              <w:t>19 (0.6)</w:t>
            </w:r>
          </w:p>
        </w:tc>
        <w:tc>
          <w:tcPr>
            <w:tcW w:w="1247" w:type="dxa"/>
            <w:shd w:val="clear" w:color="auto" w:fill="F2F2F2" w:themeFill="background1" w:themeFillShade="F2"/>
            <w:tcMar>
              <w:top w:w="113" w:type="dxa"/>
              <w:left w:w="113" w:type="dxa"/>
              <w:bottom w:w="113" w:type="dxa"/>
              <w:right w:w="113" w:type="dxa"/>
            </w:tcMar>
            <w:vAlign w:val="center"/>
          </w:tcPr>
          <w:p w14:paraId="332DEAF7" w14:textId="77777777" w:rsidR="00FB4146" w:rsidRDefault="00FB4146" w:rsidP="00FB4146">
            <w:pPr>
              <w:pStyle w:val="CDIFigure-Table-BodyTextCentre"/>
            </w:pPr>
            <w:r>
              <w:t>5 (26.3)</w:t>
            </w:r>
          </w:p>
        </w:tc>
        <w:tc>
          <w:tcPr>
            <w:tcW w:w="1247" w:type="dxa"/>
            <w:shd w:val="clear" w:color="auto" w:fill="F2F2F2" w:themeFill="background1" w:themeFillShade="F2"/>
            <w:tcMar>
              <w:top w:w="113" w:type="dxa"/>
              <w:left w:w="113" w:type="dxa"/>
              <w:bottom w:w="113" w:type="dxa"/>
              <w:right w:w="113" w:type="dxa"/>
            </w:tcMar>
            <w:vAlign w:val="center"/>
          </w:tcPr>
          <w:p w14:paraId="039BCEF0" w14:textId="77777777" w:rsidR="00FB4146" w:rsidRDefault="00FB4146" w:rsidP="00FB4146">
            <w:pPr>
              <w:pStyle w:val="CDIFigure-Table-BodyTextCentre"/>
            </w:pPr>
            <w:r>
              <w:t>14 (73.7)</w:t>
            </w:r>
          </w:p>
        </w:tc>
        <w:tc>
          <w:tcPr>
            <w:tcW w:w="1248" w:type="dxa"/>
            <w:shd w:val="clear" w:color="auto" w:fill="F2F2F2" w:themeFill="background1" w:themeFillShade="F2"/>
            <w:tcMar>
              <w:top w:w="113" w:type="dxa"/>
              <w:left w:w="113" w:type="dxa"/>
              <w:bottom w:w="113" w:type="dxa"/>
              <w:right w:w="113" w:type="dxa"/>
            </w:tcMar>
            <w:vAlign w:val="center"/>
          </w:tcPr>
          <w:p w14:paraId="0B5E926D" w14:textId="77777777" w:rsidR="00FB4146" w:rsidRDefault="00FB4146" w:rsidP="00FB4146">
            <w:pPr>
              <w:pStyle w:val="CDIFigure-Table-BodyTextCentre"/>
            </w:pPr>
            <w:r>
              <w:t>5 (26.3)</w:t>
            </w:r>
          </w:p>
        </w:tc>
        <w:tc>
          <w:tcPr>
            <w:tcW w:w="1247" w:type="dxa"/>
            <w:shd w:val="clear" w:color="auto" w:fill="F2F2F2" w:themeFill="background1" w:themeFillShade="F2"/>
            <w:tcMar>
              <w:top w:w="113" w:type="dxa"/>
              <w:left w:w="113" w:type="dxa"/>
              <w:bottom w:w="113" w:type="dxa"/>
              <w:right w:w="113" w:type="dxa"/>
            </w:tcMar>
            <w:vAlign w:val="center"/>
          </w:tcPr>
          <w:p w14:paraId="46240CC8" w14:textId="77777777" w:rsidR="00FB4146" w:rsidRDefault="00FB4146" w:rsidP="00FB4146">
            <w:pPr>
              <w:pStyle w:val="CDIFigure-Table-BodyTextCentre"/>
            </w:pPr>
            <w:r>
              <w:t>1 (5.3)</w:t>
            </w:r>
          </w:p>
        </w:tc>
      </w:tr>
      <w:tr w:rsidR="00FB4146" w14:paraId="2B8C38BA" w14:textId="77777777" w:rsidTr="00917557">
        <w:trPr>
          <w:trHeight w:val="20"/>
        </w:trPr>
        <w:tc>
          <w:tcPr>
            <w:tcW w:w="3515" w:type="dxa"/>
            <w:tcMar>
              <w:top w:w="113" w:type="dxa"/>
              <w:left w:w="113" w:type="dxa"/>
              <w:bottom w:w="113" w:type="dxa"/>
              <w:right w:w="113" w:type="dxa"/>
            </w:tcMar>
            <w:vAlign w:val="center"/>
          </w:tcPr>
          <w:p w14:paraId="754ECEF9" w14:textId="77777777" w:rsidR="00FB4146" w:rsidRDefault="00FB4146" w:rsidP="00917557">
            <w:pPr>
              <w:pStyle w:val="CDIFigure-Table-BodyTextLeft"/>
            </w:pPr>
            <w:r>
              <w:t>Somnolence</w:t>
            </w:r>
          </w:p>
        </w:tc>
        <w:tc>
          <w:tcPr>
            <w:tcW w:w="1247" w:type="dxa"/>
            <w:tcMar>
              <w:top w:w="113" w:type="dxa"/>
              <w:left w:w="113" w:type="dxa"/>
              <w:bottom w:w="113" w:type="dxa"/>
              <w:right w:w="113" w:type="dxa"/>
            </w:tcMar>
            <w:vAlign w:val="center"/>
          </w:tcPr>
          <w:p w14:paraId="6B672203" w14:textId="77777777" w:rsidR="00FB4146" w:rsidRDefault="00FB4146" w:rsidP="00FB4146">
            <w:pPr>
              <w:pStyle w:val="CDIFigure-Table-BodyTextCentre"/>
            </w:pPr>
            <w:r>
              <w:t>19 (0.6)</w:t>
            </w:r>
          </w:p>
        </w:tc>
        <w:tc>
          <w:tcPr>
            <w:tcW w:w="1247" w:type="dxa"/>
            <w:tcMar>
              <w:top w:w="113" w:type="dxa"/>
              <w:left w:w="113" w:type="dxa"/>
              <w:bottom w:w="113" w:type="dxa"/>
              <w:right w:w="113" w:type="dxa"/>
            </w:tcMar>
            <w:vAlign w:val="center"/>
          </w:tcPr>
          <w:p w14:paraId="6E90BB28" w14:textId="77777777" w:rsidR="00FB4146" w:rsidRDefault="00FB4146" w:rsidP="00FB4146">
            <w:pPr>
              <w:pStyle w:val="CDIFigure-Table-BodyTextCentre"/>
            </w:pPr>
            <w:r>
              <w:t>0 (0.0)</w:t>
            </w:r>
          </w:p>
        </w:tc>
        <w:tc>
          <w:tcPr>
            <w:tcW w:w="1247" w:type="dxa"/>
            <w:tcMar>
              <w:top w:w="113" w:type="dxa"/>
              <w:left w:w="113" w:type="dxa"/>
              <w:bottom w:w="113" w:type="dxa"/>
              <w:right w:w="113" w:type="dxa"/>
            </w:tcMar>
            <w:vAlign w:val="center"/>
          </w:tcPr>
          <w:p w14:paraId="4168E74A" w14:textId="77777777" w:rsidR="00FB4146" w:rsidRDefault="00FB4146" w:rsidP="00FB4146">
            <w:pPr>
              <w:pStyle w:val="CDIFigure-Table-BodyTextCentre"/>
            </w:pPr>
            <w:r>
              <w:t>12 (63.2)</w:t>
            </w:r>
          </w:p>
        </w:tc>
        <w:tc>
          <w:tcPr>
            <w:tcW w:w="1248" w:type="dxa"/>
            <w:tcMar>
              <w:top w:w="113" w:type="dxa"/>
              <w:left w:w="113" w:type="dxa"/>
              <w:bottom w:w="113" w:type="dxa"/>
              <w:right w:w="113" w:type="dxa"/>
            </w:tcMar>
            <w:vAlign w:val="center"/>
          </w:tcPr>
          <w:p w14:paraId="707DE22A" w14:textId="77777777" w:rsidR="00FB4146" w:rsidRDefault="00FB4146" w:rsidP="00FB4146">
            <w:pPr>
              <w:pStyle w:val="CDIFigure-Table-BodyTextCentre"/>
            </w:pPr>
            <w:r>
              <w:t>7 (36.8)</w:t>
            </w:r>
          </w:p>
        </w:tc>
        <w:tc>
          <w:tcPr>
            <w:tcW w:w="1247" w:type="dxa"/>
            <w:tcMar>
              <w:top w:w="113" w:type="dxa"/>
              <w:left w:w="113" w:type="dxa"/>
              <w:bottom w:w="113" w:type="dxa"/>
              <w:right w:w="113" w:type="dxa"/>
            </w:tcMar>
            <w:vAlign w:val="center"/>
          </w:tcPr>
          <w:p w14:paraId="285A4EC2" w14:textId="77777777" w:rsidR="00FB4146" w:rsidRDefault="00FB4146" w:rsidP="00FB4146">
            <w:pPr>
              <w:pStyle w:val="CDIFigure-Table-BodyTextCentre"/>
            </w:pPr>
            <w:r>
              <w:t>3 (15.8)</w:t>
            </w:r>
          </w:p>
        </w:tc>
      </w:tr>
      <w:tr w:rsidR="00FB4146" w14:paraId="67D0AF65"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3D68FFA7" w14:textId="77777777" w:rsidR="00FB4146" w:rsidRDefault="00FB4146" w:rsidP="00917557">
            <w:pPr>
              <w:pStyle w:val="CDIFigure-Table-BodyTextLeft"/>
            </w:pPr>
            <w:r>
              <w:t>Tremor</w:t>
            </w:r>
          </w:p>
        </w:tc>
        <w:tc>
          <w:tcPr>
            <w:tcW w:w="1247" w:type="dxa"/>
            <w:shd w:val="clear" w:color="auto" w:fill="F2F2F2" w:themeFill="background1" w:themeFillShade="F2"/>
            <w:tcMar>
              <w:top w:w="113" w:type="dxa"/>
              <w:left w:w="113" w:type="dxa"/>
              <w:bottom w:w="113" w:type="dxa"/>
              <w:right w:w="113" w:type="dxa"/>
            </w:tcMar>
            <w:vAlign w:val="center"/>
          </w:tcPr>
          <w:p w14:paraId="00247979" w14:textId="77777777" w:rsidR="00FB4146" w:rsidRDefault="00FB4146" w:rsidP="00FB4146">
            <w:pPr>
              <w:pStyle w:val="CDIFigure-Table-BodyTextCentre"/>
            </w:pPr>
            <w:r>
              <w:t>19 (0.6)</w:t>
            </w:r>
          </w:p>
        </w:tc>
        <w:tc>
          <w:tcPr>
            <w:tcW w:w="1247" w:type="dxa"/>
            <w:shd w:val="clear" w:color="auto" w:fill="F2F2F2" w:themeFill="background1" w:themeFillShade="F2"/>
            <w:tcMar>
              <w:top w:w="113" w:type="dxa"/>
              <w:left w:w="113" w:type="dxa"/>
              <w:bottom w:w="113" w:type="dxa"/>
              <w:right w:w="113" w:type="dxa"/>
            </w:tcMar>
            <w:vAlign w:val="center"/>
          </w:tcPr>
          <w:p w14:paraId="1254B53B" w14:textId="77777777" w:rsidR="00FB4146" w:rsidRDefault="00FB4146" w:rsidP="00FB4146">
            <w:pPr>
              <w:pStyle w:val="CDIFigure-Table-BodyTextCentre"/>
            </w:pPr>
            <w:r>
              <w:t>0 (0.0)</w:t>
            </w:r>
          </w:p>
        </w:tc>
        <w:tc>
          <w:tcPr>
            <w:tcW w:w="1247" w:type="dxa"/>
            <w:shd w:val="clear" w:color="auto" w:fill="F2F2F2" w:themeFill="background1" w:themeFillShade="F2"/>
            <w:tcMar>
              <w:top w:w="113" w:type="dxa"/>
              <w:left w:w="113" w:type="dxa"/>
              <w:bottom w:w="113" w:type="dxa"/>
              <w:right w:w="113" w:type="dxa"/>
            </w:tcMar>
            <w:vAlign w:val="center"/>
          </w:tcPr>
          <w:p w14:paraId="56B95A98" w14:textId="77777777" w:rsidR="00FB4146" w:rsidRDefault="00FB4146" w:rsidP="00FB4146">
            <w:pPr>
              <w:pStyle w:val="CDIFigure-Table-BodyTextCentre"/>
            </w:pPr>
            <w:r>
              <w:t>5 (26.3)</w:t>
            </w:r>
          </w:p>
        </w:tc>
        <w:tc>
          <w:tcPr>
            <w:tcW w:w="1248" w:type="dxa"/>
            <w:shd w:val="clear" w:color="auto" w:fill="F2F2F2" w:themeFill="background1" w:themeFillShade="F2"/>
            <w:tcMar>
              <w:top w:w="113" w:type="dxa"/>
              <w:left w:w="113" w:type="dxa"/>
              <w:bottom w:w="113" w:type="dxa"/>
              <w:right w:w="113" w:type="dxa"/>
            </w:tcMar>
            <w:vAlign w:val="center"/>
          </w:tcPr>
          <w:p w14:paraId="1FD57057" w14:textId="77777777" w:rsidR="00FB4146" w:rsidRDefault="00FB4146" w:rsidP="00FB4146">
            <w:pPr>
              <w:pStyle w:val="CDIFigure-Table-BodyTextCentre"/>
            </w:pPr>
            <w:r>
              <w:t>14 (73.7)</w:t>
            </w:r>
          </w:p>
        </w:tc>
        <w:tc>
          <w:tcPr>
            <w:tcW w:w="1247" w:type="dxa"/>
            <w:shd w:val="clear" w:color="auto" w:fill="F2F2F2" w:themeFill="background1" w:themeFillShade="F2"/>
            <w:tcMar>
              <w:top w:w="113" w:type="dxa"/>
              <w:left w:w="113" w:type="dxa"/>
              <w:bottom w:w="113" w:type="dxa"/>
              <w:right w:w="113" w:type="dxa"/>
            </w:tcMar>
            <w:vAlign w:val="center"/>
          </w:tcPr>
          <w:p w14:paraId="5A436D9B" w14:textId="77777777" w:rsidR="00FB4146" w:rsidRDefault="00FB4146" w:rsidP="00FB4146">
            <w:pPr>
              <w:pStyle w:val="CDIFigure-Table-BodyTextCentre"/>
            </w:pPr>
            <w:r>
              <w:t>1 (5.3)</w:t>
            </w:r>
          </w:p>
        </w:tc>
      </w:tr>
      <w:tr w:rsidR="00FB4146" w14:paraId="38535F38" w14:textId="77777777" w:rsidTr="00917557">
        <w:trPr>
          <w:trHeight w:val="20"/>
        </w:trPr>
        <w:tc>
          <w:tcPr>
            <w:tcW w:w="3515" w:type="dxa"/>
            <w:tcMar>
              <w:top w:w="113" w:type="dxa"/>
              <w:left w:w="113" w:type="dxa"/>
              <w:bottom w:w="113" w:type="dxa"/>
              <w:right w:w="113" w:type="dxa"/>
            </w:tcMar>
            <w:vAlign w:val="center"/>
          </w:tcPr>
          <w:p w14:paraId="4BE59899" w14:textId="77777777" w:rsidR="00FB4146" w:rsidRDefault="00FB4146" w:rsidP="00917557">
            <w:pPr>
              <w:pStyle w:val="CDIFigure-Table-BodyTextLeft"/>
            </w:pPr>
            <w:r>
              <w:t>Blister</w:t>
            </w:r>
          </w:p>
        </w:tc>
        <w:tc>
          <w:tcPr>
            <w:tcW w:w="1247" w:type="dxa"/>
            <w:tcMar>
              <w:top w:w="113" w:type="dxa"/>
              <w:left w:w="113" w:type="dxa"/>
              <w:bottom w:w="113" w:type="dxa"/>
              <w:right w:w="113" w:type="dxa"/>
            </w:tcMar>
            <w:vAlign w:val="center"/>
          </w:tcPr>
          <w:p w14:paraId="421BF66E" w14:textId="77777777" w:rsidR="00FB4146" w:rsidRDefault="00FB4146" w:rsidP="00FB4146">
            <w:pPr>
              <w:pStyle w:val="CDIFigure-Table-BodyTextCentre"/>
            </w:pPr>
            <w:r>
              <w:t>18 (0.5)</w:t>
            </w:r>
          </w:p>
        </w:tc>
        <w:tc>
          <w:tcPr>
            <w:tcW w:w="1247" w:type="dxa"/>
            <w:tcMar>
              <w:top w:w="113" w:type="dxa"/>
              <w:left w:w="113" w:type="dxa"/>
              <w:bottom w:w="113" w:type="dxa"/>
              <w:right w:w="113" w:type="dxa"/>
            </w:tcMar>
            <w:vAlign w:val="center"/>
          </w:tcPr>
          <w:p w14:paraId="45C9B36D" w14:textId="77777777" w:rsidR="00FB4146" w:rsidRDefault="00FB4146" w:rsidP="00FB4146">
            <w:pPr>
              <w:pStyle w:val="CDIFigure-Table-BodyTextCentre"/>
            </w:pPr>
            <w:r>
              <w:t>2 (11.1)</w:t>
            </w:r>
          </w:p>
        </w:tc>
        <w:tc>
          <w:tcPr>
            <w:tcW w:w="1247" w:type="dxa"/>
            <w:tcMar>
              <w:top w:w="113" w:type="dxa"/>
              <w:left w:w="113" w:type="dxa"/>
              <w:bottom w:w="113" w:type="dxa"/>
              <w:right w:w="113" w:type="dxa"/>
            </w:tcMar>
            <w:vAlign w:val="center"/>
          </w:tcPr>
          <w:p w14:paraId="65F531CA" w14:textId="77777777" w:rsidR="00FB4146" w:rsidRDefault="00FB4146" w:rsidP="00FB4146">
            <w:pPr>
              <w:pStyle w:val="CDIFigure-Table-BodyTextCentre"/>
            </w:pPr>
            <w:r>
              <w:t>9 (50.0)</w:t>
            </w:r>
          </w:p>
        </w:tc>
        <w:tc>
          <w:tcPr>
            <w:tcW w:w="1248" w:type="dxa"/>
            <w:tcMar>
              <w:top w:w="113" w:type="dxa"/>
              <w:left w:w="113" w:type="dxa"/>
              <w:bottom w:w="113" w:type="dxa"/>
              <w:right w:w="113" w:type="dxa"/>
            </w:tcMar>
            <w:vAlign w:val="center"/>
          </w:tcPr>
          <w:p w14:paraId="0A840062" w14:textId="77777777" w:rsidR="00FB4146" w:rsidRDefault="00FB4146" w:rsidP="00FB4146">
            <w:pPr>
              <w:pStyle w:val="CDIFigure-Table-BodyTextCentre"/>
            </w:pPr>
            <w:r>
              <w:t>9 (50.0)</w:t>
            </w:r>
          </w:p>
        </w:tc>
        <w:tc>
          <w:tcPr>
            <w:tcW w:w="1247" w:type="dxa"/>
            <w:tcMar>
              <w:top w:w="113" w:type="dxa"/>
              <w:left w:w="113" w:type="dxa"/>
              <w:bottom w:w="113" w:type="dxa"/>
              <w:right w:w="113" w:type="dxa"/>
            </w:tcMar>
            <w:vAlign w:val="center"/>
          </w:tcPr>
          <w:p w14:paraId="050F5598" w14:textId="77777777" w:rsidR="00FB4146" w:rsidRDefault="00FB4146" w:rsidP="00FB4146">
            <w:pPr>
              <w:pStyle w:val="CDIFigure-Table-BodyTextCentre"/>
            </w:pPr>
            <w:r>
              <w:t>0 (0.0)</w:t>
            </w:r>
          </w:p>
        </w:tc>
      </w:tr>
      <w:tr w:rsidR="00FB4146" w14:paraId="54F36064" w14:textId="77777777" w:rsidTr="00917557">
        <w:trPr>
          <w:trHeight w:val="20"/>
        </w:trPr>
        <w:tc>
          <w:tcPr>
            <w:tcW w:w="3515" w:type="dxa"/>
            <w:shd w:val="clear" w:color="auto" w:fill="F2F2F2" w:themeFill="background1" w:themeFillShade="F2"/>
            <w:tcMar>
              <w:top w:w="113" w:type="dxa"/>
              <w:left w:w="113" w:type="dxa"/>
              <w:bottom w:w="113" w:type="dxa"/>
              <w:right w:w="113" w:type="dxa"/>
            </w:tcMar>
            <w:vAlign w:val="center"/>
          </w:tcPr>
          <w:p w14:paraId="7178A741" w14:textId="77777777" w:rsidR="00FB4146" w:rsidRDefault="00FB4146" w:rsidP="00917557">
            <w:pPr>
              <w:pStyle w:val="CDIFigure-Table-BodyTextLeft"/>
            </w:pPr>
            <w:r>
              <w:t>Gastrointestinal haemorrhage</w:t>
            </w:r>
          </w:p>
        </w:tc>
        <w:tc>
          <w:tcPr>
            <w:tcW w:w="1247" w:type="dxa"/>
            <w:shd w:val="clear" w:color="auto" w:fill="F2F2F2" w:themeFill="background1" w:themeFillShade="F2"/>
            <w:tcMar>
              <w:top w:w="113" w:type="dxa"/>
              <w:left w:w="113" w:type="dxa"/>
              <w:bottom w:w="113" w:type="dxa"/>
              <w:right w:w="113" w:type="dxa"/>
            </w:tcMar>
            <w:vAlign w:val="center"/>
          </w:tcPr>
          <w:p w14:paraId="3CB5667E" w14:textId="77777777" w:rsidR="00FB4146" w:rsidRDefault="00FB4146" w:rsidP="00FB4146">
            <w:pPr>
              <w:pStyle w:val="CDIFigure-Table-BodyTextCentre"/>
            </w:pPr>
            <w:r>
              <w:t>18 (0.5)</w:t>
            </w:r>
          </w:p>
        </w:tc>
        <w:tc>
          <w:tcPr>
            <w:tcW w:w="1247" w:type="dxa"/>
            <w:shd w:val="clear" w:color="auto" w:fill="F2F2F2" w:themeFill="background1" w:themeFillShade="F2"/>
            <w:tcMar>
              <w:top w:w="113" w:type="dxa"/>
              <w:left w:w="113" w:type="dxa"/>
              <w:bottom w:w="113" w:type="dxa"/>
              <w:right w:w="113" w:type="dxa"/>
            </w:tcMar>
            <w:vAlign w:val="center"/>
          </w:tcPr>
          <w:p w14:paraId="1629CF9C" w14:textId="77777777" w:rsidR="00FB4146" w:rsidRDefault="00FB4146" w:rsidP="00FB4146">
            <w:pPr>
              <w:pStyle w:val="CDIFigure-Table-BodyTextCentre"/>
            </w:pPr>
            <w:r>
              <w:t>5 (27.8)</w:t>
            </w:r>
          </w:p>
        </w:tc>
        <w:tc>
          <w:tcPr>
            <w:tcW w:w="1247" w:type="dxa"/>
            <w:shd w:val="clear" w:color="auto" w:fill="F2F2F2" w:themeFill="background1" w:themeFillShade="F2"/>
            <w:tcMar>
              <w:top w:w="113" w:type="dxa"/>
              <w:left w:w="113" w:type="dxa"/>
              <w:bottom w:w="113" w:type="dxa"/>
              <w:right w:w="113" w:type="dxa"/>
            </w:tcMar>
            <w:vAlign w:val="center"/>
          </w:tcPr>
          <w:p w14:paraId="5D0E535C" w14:textId="77777777" w:rsidR="00FB4146" w:rsidRDefault="00FB4146" w:rsidP="00FB4146">
            <w:pPr>
              <w:pStyle w:val="CDIFigure-Table-BodyTextCentre"/>
            </w:pPr>
            <w:r>
              <w:t>17 (94.4)</w:t>
            </w:r>
          </w:p>
        </w:tc>
        <w:tc>
          <w:tcPr>
            <w:tcW w:w="1248" w:type="dxa"/>
            <w:shd w:val="clear" w:color="auto" w:fill="F2F2F2" w:themeFill="background1" w:themeFillShade="F2"/>
            <w:tcMar>
              <w:top w:w="113" w:type="dxa"/>
              <w:left w:w="113" w:type="dxa"/>
              <w:bottom w:w="113" w:type="dxa"/>
              <w:right w:w="113" w:type="dxa"/>
            </w:tcMar>
            <w:vAlign w:val="center"/>
          </w:tcPr>
          <w:p w14:paraId="09A0D966" w14:textId="77777777" w:rsidR="00FB4146" w:rsidRDefault="00FB4146" w:rsidP="00FB4146">
            <w:pPr>
              <w:pStyle w:val="CDIFigure-Table-BodyTextCentre"/>
            </w:pPr>
            <w:r>
              <w:t>1 (5.6)</w:t>
            </w:r>
          </w:p>
        </w:tc>
        <w:tc>
          <w:tcPr>
            <w:tcW w:w="1247" w:type="dxa"/>
            <w:shd w:val="clear" w:color="auto" w:fill="F2F2F2" w:themeFill="background1" w:themeFillShade="F2"/>
            <w:tcMar>
              <w:top w:w="113" w:type="dxa"/>
              <w:left w:w="113" w:type="dxa"/>
              <w:bottom w:w="113" w:type="dxa"/>
              <w:right w:w="113" w:type="dxa"/>
            </w:tcMar>
            <w:vAlign w:val="center"/>
          </w:tcPr>
          <w:p w14:paraId="7AC0E3E2" w14:textId="77777777" w:rsidR="00FB4146" w:rsidRDefault="00FB4146" w:rsidP="00FB4146">
            <w:pPr>
              <w:pStyle w:val="CDIFigure-Table-BodyTextCentre"/>
            </w:pPr>
            <w:r>
              <w:t>1 (5.6)</w:t>
            </w:r>
          </w:p>
        </w:tc>
      </w:tr>
      <w:tr w:rsidR="00FB4146" w14:paraId="6E5DF793" w14:textId="77777777" w:rsidTr="00917557">
        <w:trPr>
          <w:trHeight w:val="20"/>
        </w:trPr>
        <w:tc>
          <w:tcPr>
            <w:tcW w:w="3515" w:type="dxa"/>
            <w:tcBorders>
              <w:bottom w:val="single" w:sz="4" w:space="0" w:color="033636" w:themeColor="text2"/>
            </w:tcBorders>
            <w:tcMar>
              <w:top w:w="113" w:type="dxa"/>
              <w:left w:w="113" w:type="dxa"/>
              <w:bottom w:w="113" w:type="dxa"/>
              <w:right w:w="113" w:type="dxa"/>
            </w:tcMar>
            <w:vAlign w:val="center"/>
          </w:tcPr>
          <w:p w14:paraId="17C5CFF2" w14:textId="77777777" w:rsidR="00FB4146" w:rsidRDefault="00FB4146" w:rsidP="00917557">
            <w:pPr>
              <w:pStyle w:val="CDIFigure-Table-BodyTextLeft"/>
            </w:pPr>
            <w:r>
              <w:t>Insomnia</w:t>
            </w:r>
          </w:p>
        </w:tc>
        <w:tc>
          <w:tcPr>
            <w:tcW w:w="1247" w:type="dxa"/>
            <w:tcBorders>
              <w:bottom w:val="single" w:sz="4" w:space="0" w:color="033636" w:themeColor="text2"/>
            </w:tcBorders>
            <w:tcMar>
              <w:top w:w="113" w:type="dxa"/>
              <w:left w:w="113" w:type="dxa"/>
              <w:bottom w:w="113" w:type="dxa"/>
              <w:right w:w="113" w:type="dxa"/>
            </w:tcMar>
            <w:vAlign w:val="center"/>
          </w:tcPr>
          <w:p w14:paraId="1AC734CF" w14:textId="77777777" w:rsidR="00FB4146" w:rsidRDefault="00FB4146" w:rsidP="00FB4146">
            <w:pPr>
              <w:pStyle w:val="CDIFigure-Table-BodyTextCentre"/>
            </w:pPr>
            <w:r>
              <w:t>18 (0.5)</w:t>
            </w:r>
          </w:p>
        </w:tc>
        <w:tc>
          <w:tcPr>
            <w:tcW w:w="1247" w:type="dxa"/>
            <w:tcBorders>
              <w:bottom w:val="single" w:sz="4" w:space="0" w:color="033636" w:themeColor="text2"/>
            </w:tcBorders>
            <w:tcMar>
              <w:top w:w="113" w:type="dxa"/>
              <w:left w:w="113" w:type="dxa"/>
              <w:bottom w:w="113" w:type="dxa"/>
              <w:right w:w="113" w:type="dxa"/>
            </w:tcMar>
            <w:vAlign w:val="center"/>
          </w:tcPr>
          <w:p w14:paraId="67419E06" w14:textId="77777777" w:rsidR="00FB4146" w:rsidRDefault="00FB4146" w:rsidP="00FB4146">
            <w:pPr>
              <w:pStyle w:val="CDIFigure-Table-BodyTextCentre"/>
            </w:pPr>
            <w:r>
              <w:t>0 (0.0)</w:t>
            </w:r>
          </w:p>
        </w:tc>
        <w:tc>
          <w:tcPr>
            <w:tcW w:w="1247" w:type="dxa"/>
            <w:tcBorders>
              <w:bottom w:val="single" w:sz="4" w:space="0" w:color="033636" w:themeColor="text2"/>
            </w:tcBorders>
            <w:tcMar>
              <w:top w:w="113" w:type="dxa"/>
              <w:left w:w="113" w:type="dxa"/>
              <w:bottom w:w="113" w:type="dxa"/>
              <w:right w:w="113" w:type="dxa"/>
            </w:tcMar>
            <w:vAlign w:val="center"/>
          </w:tcPr>
          <w:p w14:paraId="5B582831" w14:textId="77777777" w:rsidR="00FB4146" w:rsidRDefault="00FB4146" w:rsidP="00FB4146">
            <w:pPr>
              <w:pStyle w:val="CDIFigure-Table-BodyTextCentre"/>
            </w:pPr>
            <w:r>
              <w:t>2 (11.1)</w:t>
            </w:r>
          </w:p>
        </w:tc>
        <w:tc>
          <w:tcPr>
            <w:tcW w:w="1248" w:type="dxa"/>
            <w:tcBorders>
              <w:bottom w:val="single" w:sz="4" w:space="0" w:color="033636" w:themeColor="text2"/>
            </w:tcBorders>
            <w:tcMar>
              <w:top w:w="113" w:type="dxa"/>
              <w:left w:w="113" w:type="dxa"/>
              <w:bottom w:w="113" w:type="dxa"/>
              <w:right w:w="113" w:type="dxa"/>
            </w:tcMar>
            <w:vAlign w:val="center"/>
          </w:tcPr>
          <w:p w14:paraId="600ABBBC" w14:textId="77777777" w:rsidR="00FB4146" w:rsidRDefault="00FB4146" w:rsidP="00FB4146">
            <w:pPr>
              <w:pStyle w:val="CDIFigure-Table-BodyTextCentre"/>
            </w:pPr>
            <w:r>
              <w:t>14 (77.8)</w:t>
            </w:r>
          </w:p>
        </w:tc>
        <w:tc>
          <w:tcPr>
            <w:tcW w:w="1247" w:type="dxa"/>
            <w:tcBorders>
              <w:bottom w:val="single" w:sz="4" w:space="0" w:color="033636" w:themeColor="text2"/>
            </w:tcBorders>
            <w:tcMar>
              <w:top w:w="113" w:type="dxa"/>
              <w:left w:w="113" w:type="dxa"/>
              <w:bottom w:w="113" w:type="dxa"/>
              <w:right w:w="113" w:type="dxa"/>
            </w:tcMar>
            <w:vAlign w:val="center"/>
          </w:tcPr>
          <w:p w14:paraId="16D116A2" w14:textId="77777777" w:rsidR="00FB4146" w:rsidRDefault="00FB4146" w:rsidP="00FB4146">
            <w:pPr>
              <w:pStyle w:val="CDIFigure-Table-BodyTextCentre"/>
            </w:pPr>
            <w:r>
              <w:t>0 (0.0)</w:t>
            </w:r>
          </w:p>
        </w:tc>
      </w:tr>
    </w:tbl>
    <w:p w14:paraId="60B56973" w14:textId="77777777" w:rsidR="00FB4146" w:rsidRDefault="00FB4146" w:rsidP="00FB4146">
      <w:pPr>
        <w:pStyle w:val="CDIFigure-Table-FirstFootnote"/>
      </w:pPr>
      <w:proofErr w:type="gramStart"/>
      <w:r>
        <w:t>a</w:t>
      </w:r>
      <w:r>
        <w:tab/>
        <w:t>Number of</w:t>
      </w:r>
      <w:proofErr w:type="gramEnd"/>
      <w:r>
        <w:t xml:space="preserve"> AEFI reports in which the PT or SMQ was reported. More than one PT/SMQ may be recorded on the same report.</w:t>
      </w:r>
    </w:p>
    <w:p w14:paraId="2A9B5DDF" w14:textId="77777777" w:rsidR="00FB4146" w:rsidRDefault="00FB4146" w:rsidP="00FB4146">
      <w:pPr>
        <w:pStyle w:val="CDIFigure-Table-Footnote"/>
      </w:pPr>
      <w:r>
        <w:t>b</w:t>
      </w:r>
      <w:r>
        <w:tab/>
        <w:t>AEFI reports where only one PT or SMQ was reported.</w:t>
      </w:r>
    </w:p>
    <w:p w14:paraId="256D0430" w14:textId="77777777" w:rsidR="00FB4146" w:rsidRDefault="00FB4146" w:rsidP="00FB4146">
      <w:pPr>
        <w:pStyle w:val="CDIFigure-Table-Footnote"/>
      </w:pPr>
      <w:r>
        <w:t>c</w:t>
      </w:r>
      <w:r>
        <w:tab/>
        <w:t>Percentages are calculated for the number of AEFI reports where the PT or SMQ was reported.</w:t>
      </w:r>
    </w:p>
    <w:p w14:paraId="6246668C" w14:textId="77777777" w:rsidR="00FB4146" w:rsidRDefault="00FB4146" w:rsidP="00FB4146">
      <w:pPr>
        <w:pStyle w:val="CDIFigure-Table-Footnote"/>
      </w:pPr>
      <w:r>
        <w:t>d</w:t>
      </w:r>
      <w:r>
        <w:tab/>
        <w:t>Includes only AEFI reports where an age or date of birth has been reported.</w:t>
      </w:r>
    </w:p>
    <w:p w14:paraId="03C1C9CD" w14:textId="41D90324" w:rsidR="00952313" w:rsidRDefault="00FB4146" w:rsidP="00FB4146">
      <w:pPr>
        <w:pStyle w:val="CDIFigure-Table-Footnote"/>
      </w:pPr>
      <w:r>
        <w:t>e</w:t>
      </w:r>
      <w:r>
        <w:tab/>
      </w:r>
      <w:proofErr w:type="gramStart"/>
      <w:r>
        <w:t>An</w:t>
      </w:r>
      <w:proofErr w:type="gramEnd"/>
      <w:r>
        <w:t xml:space="preserve"> adverse event report is defined as ‘serious’ if it meets one or more of the following criteria: (1) results in death; (2) is life-threatening; (3) requires inpatient hospitalisation or prolongation of existing hospitalisation; (4) results in persistent or significant disability/incapacity; (5) is a congenital anomaly/birth defect or; (6) is a medically important event or reaction.</w:t>
      </w:r>
    </w:p>
    <w:p w14:paraId="6711AF5C" w14:textId="59BADE2D" w:rsidR="00C90E96" w:rsidRDefault="00952313" w:rsidP="00952313">
      <w:pPr>
        <w:pStyle w:val="Heading2"/>
      </w:pPr>
      <w:r>
        <w:t>Serious adverse events</w:t>
      </w:r>
    </w:p>
    <w:p w14:paraId="1FC006DD" w14:textId="6FAC8E4C" w:rsidR="00952313" w:rsidRDefault="00952313" w:rsidP="004246FD">
      <w:r w:rsidRPr="00952313">
        <w:t xml:space="preserve">The proportion of AEFI reports where the outcome was categorised as serious remained low in 2021, with 6.5% of all AEFI reports coded as serious. The proportion of serious AEFI reports for the vaccines with the highest numbers of serious reports were: 65/840 (7.7%) following standard-formulation seasonal influenza vaccine; 45/680 (6.6%) following 13vPCV; 44/324 (13.6%) following rotavirus vaccine; 35/448 (7.8%) following </w:t>
      </w:r>
      <w:proofErr w:type="spellStart"/>
      <w:r w:rsidRPr="00952313">
        <w:t>DTPa</w:t>
      </w:r>
      <w:proofErr w:type="spellEnd"/>
      <w:r w:rsidRPr="00952313">
        <w:t>-IPV-</w:t>
      </w:r>
      <w:proofErr w:type="spellStart"/>
      <w:r w:rsidRPr="00952313">
        <w:t>HepB</w:t>
      </w:r>
      <w:proofErr w:type="spellEnd"/>
      <w:r w:rsidRPr="00952313">
        <w:t>-Hib; and 22/269 (8.2%) following MMR vaccine (Table 3).</w:t>
      </w:r>
    </w:p>
    <w:p w14:paraId="78D0366A" w14:textId="18F151C4" w:rsidR="00952313" w:rsidRDefault="00952313" w:rsidP="00952313">
      <w:pPr>
        <w:pStyle w:val="Heading2"/>
      </w:pPr>
      <w:r>
        <w:t>Death following vaccination</w:t>
      </w:r>
    </w:p>
    <w:p w14:paraId="678BCEEC" w14:textId="6C1D1726" w:rsidR="00952313" w:rsidRPr="00952313" w:rsidRDefault="00952313" w:rsidP="00952313">
      <w:pPr>
        <w:rPr>
          <w:lang w:val="en-GB"/>
        </w:rPr>
      </w:pPr>
      <w:r w:rsidRPr="00952313">
        <w:rPr>
          <w:lang w:val="en-GB"/>
        </w:rPr>
        <w:t>Six adverse events with a fatal outcome were reported to the TGA where the reporter considered a causal link between vaccination and the event was possible.</w:t>
      </w:r>
      <w:r>
        <w:rPr>
          <w:lang w:val="en-GB"/>
        </w:rPr>
        <w:t xml:space="preserve"> </w:t>
      </w:r>
      <w:r w:rsidRPr="00952313">
        <w:rPr>
          <w:lang w:val="en-GB"/>
        </w:rPr>
        <w:t>Following assessment of available information, there was insufficient evidence to establish a causal link between vaccination and the condition that caused the death for any of the six cases. There were three cases in adults aged &gt; 70 years who died following complications of their existing underlying medical conditions. There were three cases in children: one case who died of complications from COVID-19 infection, one who died from a congenital condition, and one who died from a condition not associated with the vaccines the child received.</w:t>
      </w:r>
    </w:p>
    <w:p w14:paraId="77CB8ED0" w14:textId="073DEB86" w:rsidR="00C90E96" w:rsidRDefault="00917557" w:rsidP="00917557">
      <w:pPr>
        <w:pStyle w:val="Heading1"/>
      </w:pPr>
      <w:r>
        <w:t>Discussion</w:t>
      </w:r>
    </w:p>
    <w:p w14:paraId="1147328D" w14:textId="77777777" w:rsidR="00444A56" w:rsidRPr="00444A56" w:rsidRDefault="00444A56" w:rsidP="00444A56">
      <w:pPr>
        <w:rPr>
          <w:lang w:val="en-GB"/>
        </w:rPr>
      </w:pPr>
      <w:r w:rsidRPr="00444A56">
        <w:rPr>
          <w:lang w:val="en-GB"/>
        </w:rPr>
        <w:t>In 2021, there was a decrease in both the number of AEFI reports and the overall AEFI reporting rate compared with previous years.</w:t>
      </w:r>
      <w:r w:rsidRPr="00444A56">
        <w:rPr>
          <w:vertAlign w:val="superscript"/>
          <w:lang w:val="en-GB"/>
        </w:rPr>
        <w:t>19,20</w:t>
      </w:r>
      <w:r w:rsidRPr="00444A56">
        <w:rPr>
          <w:lang w:val="en-GB"/>
        </w:rPr>
        <w:t xml:space="preserve"> While 133 AEFI reports with both non-COVID-19 and COVID-19 vaccines were excluded from this analysis, the number of AEFI reports and overall AEFI reporting rate with the inclusion of these reports (3,585 reports; 13.9 per 100,000 population) is still lower than for 2020 (4,165 reports; 16.2 per 100,000 population, Figure 1). This decrease in the AEFI reporting rate in 2021 could be related to the focus on COVID-19 vaccines and on AEFI reporting for COVID-19 vaccines in 2021.</w:t>
      </w:r>
    </w:p>
    <w:p w14:paraId="736B1673" w14:textId="77777777" w:rsidR="00444A56" w:rsidRPr="00444A56" w:rsidRDefault="00444A56" w:rsidP="00444A56">
      <w:pPr>
        <w:rPr>
          <w:lang w:val="en-GB"/>
        </w:rPr>
      </w:pPr>
      <w:r w:rsidRPr="00444A56">
        <w:rPr>
          <w:lang w:val="en-GB"/>
        </w:rPr>
        <w:t>In children aged &lt; 7 years, there was a decrease in the number of AEFI reports for all vaccines. While there were fewer AEFI reports following standard-formulation seasonal influenza vaccines in 2021 than in 2020, there were also fewer doses administered to this age group in 2021,</w:t>
      </w:r>
      <w:r w:rsidRPr="00444A56">
        <w:rPr>
          <w:vertAlign w:val="superscript"/>
          <w:lang w:val="en-GB"/>
        </w:rPr>
        <w:t>30</w:t>
      </w:r>
      <w:r w:rsidRPr="00444A56">
        <w:rPr>
          <w:lang w:val="en-GB"/>
        </w:rPr>
        <w:t xml:space="preserve"> and the reporting rate was similar: 41.2 per 100,000 doses (95% CI: 35.9–47.1) in 2021 and 38.0 per 100,000 doses (95% CI: 34.2–42.0) in 2020. There were six AEFI reports, out of 450 recorded doses of high-dose or adjuvanted seasonal influenza vaccines in this age group where the vaccine is not recommended, with an AEFI reporting rate of 1333.3 per 100,000 doses (95% CI: 490.8–2879.4) compared to 41.2 per 100,000 doses (95% CI: 35.9–47.1) for standard-formulation seasonal influenza vaccines. This higher AEFI reporting rate could reflect an increased risk of adverse events when administering high-dose or adjuvanted seasonal influenza vaccines in children, or an error in the reporting of the vaccine brand administered.</w:t>
      </w:r>
    </w:p>
    <w:p w14:paraId="6E4921B3" w14:textId="77777777" w:rsidR="00444A56" w:rsidRPr="00444A56" w:rsidRDefault="00444A56" w:rsidP="00444A56">
      <w:pPr>
        <w:rPr>
          <w:lang w:val="en-GB"/>
        </w:rPr>
      </w:pPr>
      <w:r w:rsidRPr="00444A56">
        <w:rPr>
          <w:lang w:val="en-GB"/>
        </w:rPr>
        <w:t>Among people aged 7 to 17 years, there was also a decrease in the number of AEFI reports for all vaccines, whilst AEFI reporting rates remained similar between 2021 and 2020. The decrease in AEFI reports may be a reflection of modestly lower vaccine uptake, possibly as a result of ongoing impacts of COVID-19 restrictions and/or infection delaying vaccinations or access to vaccinations via school-based programs.</w:t>
      </w:r>
      <w:r w:rsidRPr="00444A56">
        <w:rPr>
          <w:vertAlign w:val="superscript"/>
          <w:lang w:val="en-GB"/>
        </w:rPr>
        <w:t>31</w:t>
      </w:r>
      <w:r w:rsidRPr="00444A56">
        <w:rPr>
          <w:lang w:val="en-GB"/>
        </w:rPr>
        <w:t xml:space="preserve"> The AEFI reporting rate for MenACWY in this age group (26.2 per 100,000 doses [95% CI: 20–33.7]) has decreased and stabilised following vaccine introduction to the state/territory immunisation programs in 2017 and comparatively high AEFI reporting rates (63.2 per 100,000 doses [95% CI: 53.4–74.2]) in 2018.</w:t>
      </w:r>
      <w:r w:rsidRPr="00444A56">
        <w:rPr>
          <w:vertAlign w:val="superscript"/>
          <w:lang w:val="en-GB"/>
        </w:rPr>
        <w:t>32</w:t>
      </w:r>
    </w:p>
    <w:p w14:paraId="069ECDD6" w14:textId="77777777" w:rsidR="00444A56" w:rsidRPr="00444A56" w:rsidRDefault="00444A56" w:rsidP="00444A56">
      <w:pPr>
        <w:rPr>
          <w:lang w:val="en-GB"/>
        </w:rPr>
      </w:pPr>
      <w:r w:rsidRPr="00444A56">
        <w:rPr>
          <w:lang w:val="en-GB"/>
        </w:rPr>
        <w:t>In people aged 18 to 64 years, the majority of AEFI reports followed standard-formulation seasonal influenza vaccine. The AEFI reporting rate for standard-formulation seasonal influenza vaccine was similar in 2021 to that seen in the previous year: 10.5 per 100,000 doses (95% CI: 9.6–11.5) in 2021 and 12.3 per 100,000 doses (95% CI: 11.3–13.3) in 2020.</w:t>
      </w:r>
    </w:p>
    <w:p w14:paraId="154B3D52" w14:textId="77777777" w:rsidR="00444A56" w:rsidRPr="00444A56" w:rsidRDefault="00444A56" w:rsidP="00444A56">
      <w:pPr>
        <w:rPr>
          <w:lang w:val="en-GB"/>
        </w:rPr>
      </w:pPr>
      <w:r w:rsidRPr="00444A56">
        <w:rPr>
          <w:lang w:val="en-GB"/>
        </w:rPr>
        <w:t>Finally, in people aged ≥ 65 years, high-dose or adjuvanted seasonal influenza vaccine, 13vPCV and zoster vaccine (ZVL) had the highest numbers of AEFI reports, reflecting the NIP recommendations for this age group. The AEFI reporting rate following 13vPCV decreased from 43.6 per 100,000 doses (95% CI: 35.8–52.6) in 2020 to 34.7 per 100,000 doses (95% CI 29.3–40.9) in 2021. As the NIP recommendation changes from 23vPPV to 13vPCV only occurred in 2020, an increase in AEFI reporting is expected before a reduction and stabilisation of reporting rates over time as providers and consumers are more familiar with the use of the vaccine in this age group.</w:t>
      </w:r>
    </w:p>
    <w:p w14:paraId="027C3D92" w14:textId="77777777" w:rsidR="00444A56" w:rsidRPr="00444A56" w:rsidRDefault="00444A56" w:rsidP="00444A56">
      <w:pPr>
        <w:rPr>
          <w:lang w:val="en-GB"/>
        </w:rPr>
      </w:pPr>
      <w:r w:rsidRPr="00444A56">
        <w:rPr>
          <w:lang w:val="en-GB"/>
        </w:rPr>
        <w:t xml:space="preserve">Overall, injection site reactions remain the most frequently reported AEFI (26.2%), followed by hypersensitivity (19.6%) and pyrexia (14.2%), consistent with previous years. The proportion of serious AEFI reports has also remained low. Finally, of the six deaths following vaccination, none contained sufficient information to </w:t>
      </w:r>
      <w:proofErr w:type="gramStart"/>
      <w:r w:rsidRPr="00444A56">
        <w:rPr>
          <w:lang w:val="en-GB"/>
        </w:rPr>
        <w:t>be considered to be</w:t>
      </w:r>
      <w:proofErr w:type="gramEnd"/>
      <w:r w:rsidRPr="00444A56">
        <w:rPr>
          <w:lang w:val="en-GB"/>
        </w:rPr>
        <w:t xml:space="preserve"> causally related to vaccination.</w:t>
      </w:r>
    </w:p>
    <w:p w14:paraId="7352C827" w14:textId="77777777" w:rsidR="00444A56" w:rsidRPr="00444A56" w:rsidRDefault="00444A56" w:rsidP="00444A56">
      <w:pPr>
        <w:rPr>
          <w:lang w:val="en-GB"/>
        </w:rPr>
      </w:pPr>
      <w:r w:rsidRPr="00444A56">
        <w:rPr>
          <w:lang w:val="en-GB"/>
        </w:rPr>
        <w:t xml:space="preserve">These national spontaneous surveillance data are complemented by </w:t>
      </w:r>
      <w:proofErr w:type="spellStart"/>
      <w:r w:rsidRPr="00444A56">
        <w:rPr>
          <w:lang w:val="en-GB"/>
        </w:rPr>
        <w:t>AusVaxSafety</w:t>
      </w:r>
      <w:proofErr w:type="spellEnd"/>
      <w:r w:rsidRPr="00444A56">
        <w:rPr>
          <w:lang w:val="en-GB"/>
        </w:rPr>
        <w:t>, an active sentinel vaccine safety surveillance system which also monitors the safety of vaccines used in the NIP.</w:t>
      </w:r>
      <w:r w:rsidRPr="00444A56">
        <w:rPr>
          <w:vertAlign w:val="superscript"/>
          <w:lang w:val="en-GB"/>
        </w:rPr>
        <w:t>33</w:t>
      </w:r>
      <w:r w:rsidRPr="00444A56">
        <w:rPr>
          <w:lang w:val="en-GB"/>
        </w:rPr>
        <w:t xml:space="preserve"> While the data from both systems cannot be directly compared due to differences in methodology, they provide complementary data on the safety of vaccines used in Australia.</w:t>
      </w:r>
    </w:p>
    <w:p w14:paraId="49D57043" w14:textId="77777777" w:rsidR="00444A56" w:rsidRPr="00444A56" w:rsidRDefault="00444A56" w:rsidP="00444A56">
      <w:pPr>
        <w:rPr>
          <w:lang w:val="en-GB"/>
        </w:rPr>
      </w:pPr>
      <w:r w:rsidRPr="00444A56">
        <w:rPr>
          <w:lang w:val="en-GB"/>
        </w:rPr>
        <w:t>There are some limitations to this analysis. AEFI reports can vary significantly in the amount of detail, completeness, and quality of information, and are not always verified against clinical notes. AEFI reports can include multiple vaccines, vaccination dates, AEFI, and AEFI onset dates. Based on the information provided, it not always possible to associate specific vaccines to specific AEFI and AEFI onset dates. The seriousness criteria for AEFI reports can be applied differently based on the report source and classification is not always based on verified clinical data, so it may not capture all medically important events, and in addition may capture non-serious events; therefore, the seriousness classification of an AEFI report cannot be directly interpreted as an indicator of safety. While AEFI reporting rates can be estimated, they cannot be interpreted as incidence rates due to potential under-reporting, biased reporting, stimulated reporting (from increased awareness of potential adverse events of vaccines newly introduced to the NIP or covered in the media), and the variable quality and completeness of information provided in individual notifications</w:t>
      </w:r>
      <w:r w:rsidRPr="00444A56">
        <w:rPr>
          <w:vertAlign w:val="superscript"/>
          <w:lang w:val="en-GB"/>
        </w:rPr>
        <w:t>.6–17,34,35</w:t>
      </w:r>
      <w:r w:rsidRPr="00444A56">
        <w:rPr>
          <w:lang w:val="en-GB"/>
        </w:rPr>
        <w:t xml:space="preserve"> Indigenous status is not always reported in all AEFI reports and therefore AEFI rates in Aboriginal and Torres Strait Islander people are likely to be underestimates. Finally, the AEFI reported here are not necessarily causally related to vaccination. The TGA strongly encourages consumers and health professionals to report suspected adverse events, even if there is only a very small chance a vaccine was the cause. With large scale vaccination programs, it is inevitable by chance that some people will experience a new illness or will die within a few days or weeks of vaccination. These events are often coincidental, rather than being caused by the vaccine.</w:t>
      </w:r>
    </w:p>
    <w:p w14:paraId="78934A16" w14:textId="77777777" w:rsidR="00702D05" w:rsidRPr="00702D05" w:rsidRDefault="00702D05" w:rsidP="00242A9E">
      <w:pPr>
        <w:pStyle w:val="Heading1"/>
        <w:divId w:val="935526654"/>
        <w:rPr>
          <w:lang w:val="en-GB"/>
        </w:rPr>
      </w:pPr>
      <w:r w:rsidRPr="00702D05">
        <w:rPr>
          <w:lang w:val="en-GB"/>
        </w:rPr>
        <w:t>Conclusion</w:t>
      </w:r>
    </w:p>
    <w:p w14:paraId="56B3E10B" w14:textId="77777777" w:rsidR="00C43159" w:rsidRPr="00C43159" w:rsidRDefault="00C43159" w:rsidP="00C43159">
      <w:pPr>
        <w:divId w:val="935526654"/>
        <w:rPr>
          <w:lang w:val="en-GB"/>
        </w:rPr>
      </w:pPr>
      <w:r w:rsidRPr="00C43159">
        <w:rPr>
          <w:lang w:val="en-GB"/>
        </w:rPr>
        <w:t>Overall, AEFI reporting rates for non-COVID-19 vaccines decreased in 2021 compared with 2020; the majority of reported AEFI were common, expected adverse events. The data reported here are consistent with an overall high level of safety for vaccines included in the NIP schedule when administered according to clinical recommendations.</w:t>
      </w:r>
    </w:p>
    <w:p w14:paraId="77368360" w14:textId="77777777" w:rsidR="00702D05" w:rsidRPr="00702D05" w:rsidRDefault="007A764D" w:rsidP="00242A9E">
      <w:pPr>
        <w:pStyle w:val="Heading1"/>
        <w:divId w:val="935526654"/>
        <w:rPr>
          <w:lang w:val="en-GB"/>
        </w:rPr>
      </w:pPr>
      <w:r>
        <w:rPr>
          <w:lang w:val="en-GB"/>
        </w:rPr>
        <w:t>Acknowledgments</w:t>
      </w:r>
    </w:p>
    <w:p w14:paraId="59F311E9" w14:textId="77777777" w:rsidR="00C43159" w:rsidRPr="00C43159" w:rsidRDefault="00C43159" w:rsidP="00C43159">
      <w:pPr>
        <w:divId w:val="935526654"/>
        <w:rPr>
          <w:lang w:val="en-GB"/>
        </w:rPr>
      </w:pPr>
      <w:r w:rsidRPr="00C43159">
        <w:rPr>
          <w:lang w:val="en-GB"/>
        </w:rPr>
        <w:t>We would like to acknowledge and thank Aditi Dey, Han Wang, Alexandra Hendry, and Tristan Franks at NCIRS for providing historical context and code and vaccine dose data from the Australian Immunisation Register.</w:t>
      </w:r>
    </w:p>
    <w:p w14:paraId="18DCD2BD" w14:textId="21744D70" w:rsidR="00E30C30" w:rsidRDefault="00E30C30" w:rsidP="003F5172">
      <w:pPr>
        <w:pStyle w:val="Heading1"/>
        <w:divId w:val="935526654"/>
      </w:pPr>
      <w:r>
        <w:t>Author details</w:t>
      </w:r>
    </w:p>
    <w:p w14:paraId="35153B04" w14:textId="77777777" w:rsidR="00C43159" w:rsidRPr="00C43159" w:rsidRDefault="00C43159" w:rsidP="00C43159">
      <w:r w:rsidRPr="00C43159">
        <w:t>Catherine Glover,</w:t>
      </w:r>
      <w:r w:rsidRPr="00C43159">
        <w:rPr>
          <w:vertAlign w:val="superscript"/>
        </w:rPr>
        <w:t>1</w:t>
      </w:r>
    </w:p>
    <w:p w14:paraId="0A85DB7A" w14:textId="77777777" w:rsidR="00C43159" w:rsidRPr="00C43159" w:rsidRDefault="00C43159" w:rsidP="00037B2F">
      <w:pPr>
        <w:pStyle w:val="Normal-lessspace"/>
        <w:rPr>
          <w:vertAlign w:val="superscript"/>
        </w:rPr>
      </w:pPr>
      <w:r w:rsidRPr="00C43159">
        <w:t>Lucy Deng,</w:t>
      </w:r>
      <w:r w:rsidRPr="00C43159">
        <w:rPr>
          <w:vertAlign w:val="superscript"/>
        </w:rPr>
        <w:t>1</w:t>
      </w:r>
    </w:p>
    <w:p w14:paraId="4C4194B0" w14:textId="77777777" w:rsidR="00C43159" w:rsidRPr="00C43159" w:rsidRDefault="00C43159" w:rsidP="00037B2F">
      <w:pPr>
        <w:pStyle w:val="Normal-lessspace"/>
      </w:pPr>
      <w:r w:rsidRPr="00C43159">
        <w:t>Claire Larter,</w:t>
      </w:r>
      <w:r w:rsidRPr="00C43159">
        <w:rPr>
          <w:vertAlign w:val="superscript"/>
        </w:rPr>
        <w:t>2</w:t>
      </w:r>
    </w:p>
    <w:p w14:paraId="0AF1F4B7" w14:textId="77777777" w:rsidR="00C43159" w:rsidRPr="00C43159" w:rsidRDefault="00C43159" w:rsidP="00037B2F">
      <w:pPr>
        <w:pStyle w:val="Normal-lessspace"/>
      </w:pPr>
      <w:r w:rsidRPr="00C43159">
        <w:t>Catherine Brogan,</w:t>
      </w:r>
      <w:r w:rsidRPr="00C43159">
        <w:rPr>
          <w:vertAlign w:val="superscript"/>
        </w:rPr>
        <w:t>2</w:t>
      </w:r>
    </w:p>
    <w:p w14:paraId="7F45BC9C" w14:textId="77777777" w:rsidR="00C43159" w:rsidRPr="00C43159" w:rsidRDefault="00C43159" w:rsidP="00037B2F">
      <w:pPr>
        <w:pStyle w:val="Normal-lessspace"/>
        <w:rPr>
          <w:vertAlign w:val="superscript"/>
        </w:rPr>
      </w:pPr>
      <w:r w:rsidRPr="00C43159">
        <w:t>Olivia Richardson,</w:t>
      </w:r>
      <w:r w:rsidRPr="00C43159">
        <w:rPr>
          <w:vertAlign w:val="superscript"/>
        </w:rPr>
        <w:t>2</w:t>
      </w:r>
    </w:p>
    <w:p w14:paraId="3161AC5A" w14:textId="77777777" w:rsidR="00C43159" w:rsidRPr="00C43159" w:rsidRDefault="00C43159" w:rsidP="00037B2F">
      <w:pPr>
        <w:pStyle w:val="Normal-lessspace"/>
      </w:pPr>
      <w:r w:rsidRPr="00C43159">
        <w:t>Yuanfei Anny Huang,</w:t>
      </w:r>
      <w:r w:rsidRPr="00C43159">
        <w:rPr>
          <w:vertAlign w:val="superscript"/>
        </w:rPr>
        <w:t>1</w:t>
      </w:r>
    </w:p>
    <w:p w14:paraId="0B1DBFF5" w14:textId="77777777" w:rsidR="00C43159" w:rsidRPr="00C43159" w:rsidRDefault="00C43159" w:rsidP="00037B2F">
      <w:pPr>
        <w:pStyle w:val="Normal-lessspace"/>
        <w:rPr>
          <w:vertAlign w:val="superscript"/>
        </w:rPr>
      </w:pPr>
      <w:r w:rsidRPr="00C43159">
        <w:t>Elspeth Kay,</w:t>
      </w:r>
      <w:r w:rsidRPr="00C43159">
        <w:rPr>
          <w:vertAlign w:val="superscript"/>
        </w:rPr>
        <w:t>2</w:t>
      </w:r>
    </w:p>
    <w:p w14:paraId="0F59C384" w14:textId="77777777" w:rsidR="00C43159" w:rsidRPr="00C43159" w:rsidRDefault="00C43159" w:rsidP="00037B2F">
      <w:pPr>
        <w:pStyle w:val="Normal-lessspace"/>
      </w:pPr>
      <w:r w:rsidRPr="00C43159">
        <w:t>Kristine Macartney,</w:t>
      </w:r>
      <w:r w:rsidRPr="00C43159">
        <w:rPr>
          <w:vertAlign w:val="superscript"/>
        </w:rPr>
        <w:t>1</w:t>
      </w:r>
    </w:p>
    <w:p w14:paraId="01AE6A8F" w14:textId="77777777" w:rsidR="00C43159" w:rsidRPr="00C43159" w:rsidRDefault="00C43159" w:rsidP="00037B2F">
      <w:pPr>
        <w:pStyle w:val="Normal-lessspace"/>
        <w:rPr>
          <w:vertAlign w:val="superscript"/>
        </w:rPr>
      </w:pPr>
      <w:r w:rsidRPr="00C43159">
        <w:t>Nicholas Wood</w:t>
      </w:r>
      <w:r w:rsidRPr="00C43159">
        <w:rPr>
          <w:vertAlign w:val="superscript"/>
        </w:rPr>
        <w:t>1</w:t>
      </w:r>
    </w:p>
    <w:p w14:paraId="1B3AADFE" w14:textId="77777777" w:rsidR="00C43159" w:rsidRPr="00C43159" w:rsidRDefault="00C43159" w:rsidP="00C43159">
      <w:pPr>
        <w:keepLines/>
        <w:numPr>
          <w:ilvl w:val="0"/>
          <w:numId w:val="19"/>
        </w:numPr>
        <w:autoSpaceDE w:val="0"/>
        <w:autoSpaceDN w:val="0"/>
        <w:adjustRightInd w:val="0"/>
        <w:textAlignment w:val="center"/>
        <w:rPr>
          <w:rFonts w:cs="Minion3-Regular"/>
          <w:szCs w:val="23"/>
          <w:lang w:val="en-GB"/>
        </w:rPr>
      </w:pPr>
      <w:r w:rsidRPr="00C43159">
        <w:rPr>
          <w:rFonts w:cs="Minion3-Regular"/>
          <w:szCs w:val="23"/>
          <w:lang w:val="en-GB"/>
        </w:rPr>
        <w:t xml:space="preserve">National Centre for Immunisation Research and Surveillance, The University of Sydney and The Children’s Hospital at </w:t>
      </w:r>
      <w:proofErr w:type="spellStart"/>
      <w:r w:rsidRPr="00C43159">
        <w:rPr>
          <w:rFonts w:cs="Minion3-Regular"/>
          <w:szCs w:val="23"/>
          <w:lang w:val="en-GB"/>
        </w:rPr>
        <w:t>Westmead</w:t>
      </w:r>
      <w:proofErr w:type="spellEnd"/>
      <w:r w:rsidRPr="00C43159">
        <w:rPr>
          <w:rFonts w:cs="Minion3-Regular"/>
          <w:szCs w:val="23"/>
          <w:lang w:val="en-GB"/>
        </w:rPr>
        <w:t>, Sydney, Australia</w:t>
      </w:r>
    </w:p>
    <w:p w14:paraId="3531AC0A" w14:textId="1E292955" w:rsidR="00C43159" w:rsidRPr="00C43159" w:rsidRDefault="00C43159" w:rsidP="00C43159">
      <w:pPr>
        <w:keepLines/>
        <w:numPr>
          <w:ilvl w:val="0"/>
          <w:numId w:val="19"/>
        </w:numPr>
        <w:autoSpaceDE w:val="0"/>
        <w:autoSpaceDN w:val="0"/>
        <w:adjustRightInd w:val="0"/>
        <w:ind w:left="397" w:hanging="397"/>
        <w:textAlignment w:val="center"/>
        <w:rPr>
          <w:rFonts w:cs="Minion3-Regular"/>
          <w:szCs w:val="23"/>
          <w:lang w:val="en-GB"/>
        </w:rPr>
      </w:pPr>
      <w:r w:rsidRPr="00C43159">
        <w:rPr>
          <w:rFonts w:cs="Minion3-Regular"/>
          <w:szCs w:val="23"/>
          <w:lang w:val="en-GB"/>
        </w:rPr>
        <w:t>Pharmacovigilance Branch, Therapeutic Goods Administration, Department of Health</w:t>
      </w:r>
      <w:r w:rsidR="00B85286">
        <w:rPr>
          <w:rFonts w:cs="Minion3-Regular"/>
          <w:szCs w:val="23"/>
          <w:lang w:val="en-GB"/>
        </w:rPr>
        <w:t xml:space="preserve"> and Aged Care</w:t>
      </w:r>
      <w:r w:rsidRPr="00C43159">
        <w:rPr>
          <w:rFonts w:cs="Minion3-Regular"/>
          <w:szCs w:val="23"/>
          <w:lang w:val="en-GB"/>
        </w:rPr>
        <w:t>, Canberra, Australia</w:t>
      </w:r>
    </w:p>
    <w:p w14:paraId="4DA1C00B" w14:textId="77777777" w:rsidR="00C43159" w:rsidRPr="00C43159" w:rsidRDefault="00C43159" w:rsidP="00C43159">
      <w:pPr>
        <w:rPr>
          <w:rStyle w:val="Bold"/>
        </w:rPr>
      </w:pPr>
      <w:r w:rsidRPr="00C43159">
        <w:rPr>
          <w:rStyle w:val="Bold"/>
        </w:rPr>
        <w:t xml:space="preserve">Corresponding author </w:t>
      </w:r>
    </w:p>
    <w:p w14:paraId="5151399E" w14:textId="77777777" w:rsidR="00C43159" w:rsidRPr="00C43159" w:rsidRDefault="00C43159" w:rsidP="00037B2F">
      <w:pPr>
        <w:pStyle w:val="Normal-lessspace"/>
      </w:pPr>
      <w:r w:rsidRPr="00C43159">
        <w:t>Yuanfei Anny Huang</w:t>
      </w:r>
    </w:p>
    <w:p w14:paraId="341C3126" w14:textId="77777777" w:rsidR="00C43159" w:rsidRPr="00C43159" w:rsidRDefault="00C43159" w:rsidP="00037B2F">
      <w:pPr>
        <w:pStyle w:val="Normal-lessspace"/>
      </w:pPr>
      <w:r w:rsidRPr="00C43159">
        <w:t xml:space="preserve">National Centre for Immunisation Research and Surveillance, Locked Bag 4001, </w:t>
      </w:r>
      <w:proofErr w:type="spellStart"/>
      <w:r w:rsidRPr="00C43159">
        <w:t>Westmead</w:t>
      </w:r>
      <w:proofErr w:type="spellEnd"/>
      <w:r w:rsidRPr="00C43159">
        <w:t xml:space="preserve"> NSW 2145, Sydney, Australia</w:t>
      </w:r>
    </w:p>
    <w:p w14:paraId="389654F9" w14:textId="77777777" w:rsidR="00C43159" w:rsidRPr="00C43159" w:rsidRDefault="00C43159" w:rsidP="00037B2F">
      <w:pPr>
        <w:pStyle w:val="Normal-lessspace"/>
      </w:pPr>
      <w:r w:rsidRPr="00C43159">
        <w:t>Phone: +61 2 9391 9267</w:t>
      </w:r>
    </w:p>
    <w:p w14:paraId="55E6F211" w14:textId="7EDC31A1" w:rsidR="00AA78FF" w:rsidRPr="007A2D74" w:rsidRDefault="00C43159" w:rsidP="00343991">
      <w:pPr>
        <w:pStyle w:val="Normal-lessspace"/>
      </w:pPr>
      <w:r w:rsidRPr="00C43159">
        <w:rPr>
          <w:lang w:val="en-AU"/>
        </w:rPr>
        <w:t>Email: yuanfei.huang@health.nsw.gov.au</w:t>
      </w:r>
      <w:r w:rsidR="00AA78FF" w:rsidRPr="007A2D74">
        <w:br w:type="page"/>
      </w:r>
    </w:p>
    <w:p w14:paraId="17E1490D" w14:textId="77777777" w:rsidR="00E30C30" w:rsidRDefault="00E30C30" w:rsidP="003F5172">
      <w:pPr>
        <w:pStyle w:val="Heading1"/>
        <w:divId w:val="935526654"/>
      </w:pPr>
      <w:r>
        <w:t>References</w:t>
      </w:r>
    </w:p>
    <w:p w14:paraId="40B84560" w14:textId="77777777" w:rsidR="00FF5708" w:rsidRPr="00FF5708" w:rsidRDefault="00FF5708" w:rsidP="00FF5708">
      <w:pPr>
        <w:pStyle w:val="CDINumberedList1L1"/>
        <w:numPr>
          <w:ilvl w:val="0"/>
          <w:numId w:val="32"/>
        </w:numPr>
        <w:divId w:val="935526654"/>
      </w:pPr>
      <w:r w:rsidRPr="00FF5708">
        <w:t xml:space="preserve">Council for International Organizations of Medical Sciences (CIOMS) c/o World Health Organization (WHO). </w:t>
      </w:r>
      <w:r w:rsidRPr="00FF5708">
        <w:rPr>
          <w:i/>
          <w:iCs/>
        </w:rPr>
        <w:t>Definition and Application of Terms for Vaccine Pharmacovigilance: Report of CIOMS/WHO Working Group on Vaccine Pharmacovigilance</w:t>
      </w:r>
      <w:r w:rsidRPr="00FF5708">
        <w:t>. Geneva: CIOMS; 2012. Available from: https://www.who.int/vaccine_safety/initiative/tools/CIOMS_report_WG_vaccine.pdf.</w:t>
      </w:r>
    </w:p>
    <w:p w14:paraId="784A397B" w14:textId="77777777" w:rsidR="00FF5708" w:rsidRPr="00FF5708" w:rsidRDefault="00FF5708" w:rsidP="00FF5708">
      <w:pPr>
        <w:pStyle w:val="CDINumberedList1L1"/>
        <w:numPr>
          <w:ilvl w:val="0"/>
          <w:numId w:val="32"/>
        </w:numPr>
        <w:divId w:val="935526654"/>
      </w:pPr>
      <w:r w:rsidRPr="00FF5708">
        <w:t>Australian Technical Advisory Group on Immunisation (ATAGI). Australian Immunisation Handbook. Canberra: Australian Government Department of Health and Aged Care; 2020. Available from: https://immunisationhandbook.health.gov.au/.</w:t>
      </w:r>
    </w:p>
    <w:p w14:paraId="528C1A12" w14:textId="77777777" w:rsidR="00FF5708" w:rsidRPr="00FF5708" w:rsidRDefault="00FF5708" w:rsidP="00FF5708">
      <w:pPr>
        <w:pStyle w:val="CDINumberedList1L1"/>
        <w:numPr>
          <w:ilvl w:val="0"/>
          <w:numId w:val="32"/>
        </w:numPr>
        <w:divId w:val="935526654"/>
      </w:pPr>
      <w:r w:rsidRPr="00FF5708">
        <w:t>Uppsala Monitoring Centre. WHO Collaborating Centre for International Drug Monitoring. [Website.] Uppsala: Uppsala Monitoring Centre; 2020. Available from: http://www.who-umc.org/.</w:t>
      </w:r>
    </w:p>
    <w:p w14:paraId="63D0FE14" w14:textId="77777777" w:rsidR="00FF5708" w:rsidRPr="00FF5708" w:rsidRDefault="00FF5708" w:rsidP="00FF5708">
      <w:pPr>
        <w:pStyle w:val="CDINumberedList1L1"/>
        <w:numPr>
          <w:ilvl w:val="0"/>
          <w:numId w:val="32"/>
        </w:numPr>
        <w:divId w:val="935526654"/>
      </w:pPr>
      <w:r w:rsidRPr="00FF5708">
        <w:t xml:space="preserve">Uppsala Monitoring Centre. </w:t>
      </w:r>
      <w:r w:rsidRPr="00FF5708">
        <w:rPr>
          <w:i/>
          <w:iCs/>
        </w:rPr>
        <w:t>The use of the WHO-UMC system for standardised case causality assessment</w:t>
      </w:r>
      <w:r w:rsidRPr="00FF5708">
        <w:t>. Uppsala: Uppsala Monitoring Centre; 6 April 2018. Available from: https://who-umc.org/media/164200/who-umc-causality-assessment_new-logo.pdf.</w:t>
      </w:r>
    </w:p>
    <w:p w14:paraId="63B0216D" w14:textId="77777777" w:rsidR="00FF5708" w:rsidRPr="00FF5708" w:rsidRDefault="00FF5708" w:rsidP="00FF5708">
      <w:pPr>
        <w:pStyle w:val="CDINumberedList1L1"/>
        <w:numPr>
          <w:ilvl w:val="0"/>
          <w:numId w:val="32"/>
        </w:numPr>
        <w:divId w:val="935526654"/>
      </w:pPr>
      <w:r w:rsidRPr="00FF5708">
        <w:t xml:space="preserve">Dey A, Wang H, Quinn H, Hill R, Macartney K. Surveillance of adverse events following immunisation in Australia annual report, 2014. </w:t>
      </w:r>
      <w:r w:rsidRPr="00FF5708">
        <w:rPr>
          <w:i/>
          <w:iCs/>
        </w:rPr>
        <w:t>Commun Dis Intell Q Rep</w:t>
      </w:r>
      <w:r w:rsidRPr="00FF5708">
        <w:t>. 2016;40(3</w:t>
      </w:r>
      <w:proofErr w:type="gramStart"/>
      <w:r w:rsidRPr="00FF5708">
        <w:t>):E</w:t>
      </w:r>
      <w:proofErr w:type="gramEnd"/>
      <w:r w:rsidRPr="00FF5708">
        <w:t>377–90.</w:t>
      </w:r>
    </w:p>
    <w:p w14:paraId="76FF3C78" w14:textId="77777777" w:rsidR="00FF5708" w:rsidRPr="00FF5708" w:rsidRDefault="00FF5708" w:rsidP="00FF5708">
      <w:pPr>
        <w:pStyle w:val="CDINumberedList1L1"/>
        <w:numPr>
          <w:ilvl w:val="0"/>
          <w:numId w:val="32"/>
        </w:numPr>
        <w:divId w:val="935526654"/>
      </w:pPr>
      <w:r w:rsidRPr="00FF5708">
        <w:t xml:space="preserve">Lawrence G, Boyd I, McIntyre P, Isaacs D. Surveillance of adverse events following immunisation: Australia 2002 to 2003. </w:t>
      </w:r>
      <w:r w:rsidRPr="00FF5708">
        <w:rPr>
          <w:i/>
          <w:iCs/>
        </w:rPr>
        <w:t>Commun Dis Intell Q Rep</w:t>
      </w:r>
      <w:r w:rsidRPr="00FF5708">
        <w:t>. 2004;28(3):324–38.</w:t>
      </w:r>
    </w:p>
    <w:p w14:paraId="38BFBAAF" w14:textId="77777777" w:rsidR="00FF5708" w:rsidRPr="00FF5708" w:rsidRDefault="00FF5708" w:rsidP="00FF5708">
      <w:pPr>
        <w:pStyle w:val="CDINumberedList1L1"/>
        <w:numPr>
          <w:ilvl w:val="0"/>
          <w:numId w:val="32"/>
        </w:numPr>
        <w:divId w:val="935526654"/>
      </w:pPr>
      <w:r w:rsidRPr="00FF5708">
        <w:t xml:space="preserve">Lawrence G, Boyd I, McIntyre P, Isaacs D. Annual report: surveillance of adverse events following immunisation in Australia, 2005. </w:t>
      </w:r>
      <w:r w:rsidRPr="00FF5708">
        <w:rPr>
          <w:i/>
          <w:iCs/>
        </w:rPr>
        <w:t>Commun Dis Intell Q Rep</w:t>
      </w:r>
      <w:r w:rsidRPr="00FF5708">
        <w:t>. 2006;30(3):319–33.</w:t>
      </w:r>
    </w:p>
    <w:p w14:paraId="2E69A56A" w14:textId="77777777" w:rsidR="00FF5708" w:rsidRPr="00FF5708" w:rsidRDefault="00FF5708" w:rsidP="00FF5708">
      <w:pPr>
        <w:pStyle w:val="CDINumberedList1L1"/>
        <w:numPr>
          <w:ilvl w:val="0"/>
          <w:numId w:val="32"/>
        </w:numPr>
        <w:divId w:val="935526654"/>
      </w:pPr>
      <w:r w:rsidRPr="00FF5708">
        <w:t xml:space="preserve">Lawrence G, Gold MS, Hill R, Deeks S, </w:t>
      </w:r>
      <w:proofErr w:type="spellStart"/>
      <w:r w:rsidRPr="00FF5708">
        <w:t>Glasswell</w:t>
      </w:r>
      <w:proofErr w:type="spellEnd"/>
      <w:r w:rsidRPr="00FF5708">
        <w:t xml:space="preserve"> A, McIntyre PB. Annual report: surveillance of adverse events following immunisation in Australia, 2007. </w:t>
      </w:r>
      <w:r w:rsidRPr="00FF5708">
        <w:rPr>
          <w:i/>
          <w:iCs/>
        </w:rPr>
        <w:t>Commun Dis Intell Q Rep</w:t>
      </w:r>
      <w:r w:rsidRPr="00FF5708">
        <w:t>. 2008;32(4):371–87.</w:t>
      </w:r>
    </w:p>
    <w:p w14:paraId="25FBA52E" w14:textId="77777777" w:rsidR="00FF5708" w:rsidRPr="00FF5708" w:rsidRDefault="00FF5708" w:rsidP="00FF5708">
      <w:pPr>
        <w:pStyle w:val="CDINumberedList1L1"/>
        <w:numPr>
          <w:ilvl w:val="0"/>
          <w:numId w:val="32"/>
        </w:numPr>
        <w:divId w:val="935526654"/>
      </w:pPr>
      <w:r w:rsidRPr="00FF5708">
        <w:t xml:space="preserve">Lawrence G, Menzies R, Burgess M, McIntyre P, Wood N, Boyd I et al. Surveillance of adverse events following immunisation: Australia, 2000–2002. </w:t>
      </w:r>
      <w:r w:rsidRPr="00FF5708">
        <w:rPr>
          <w:i/>
          <w:iCs/>
        </w:rPr>
        <w:t>Commun Dis Intell Q Rep</w:t>
      </w:r>
      <w:r w:rsidRPr="00FF5708">
        <w:t>. 2003;27(3):307–23.</w:t>
      </w:r>
    </w:p>
    <w:p w14:paraId="41FCAF1A" w14:textId="77777777" w:rsidR="00FF5708" w:rsidRPr="00FF5708" w:rsidRDefault="00FF5708" w:rsidP="00FF5708">
      <w:pPr>
        <w:pStyle w:val="CDINumberedList1L1"/>
        <w:numPr>
          <w:ilvl w:val="0"/>
          <w:numId w:val="32"/>
        </w:numPr>
        <w:divId w:val="935526654"/>
      </w:pPr>
      <w:r w:rsidRPr="00FF5708">
        <w:t xml:space="preserve">Lawrence GL, </w:t>
      </w:r>
      <w:proofErr w:type="spellStart"/>
      <w:r w:rsidRPr="00FF5708">
        <w:t>Aratchige</w:t>
      </w:r>
      <w:proofErr w:type="spellEnd"/>
      <w:r w:rsidRPr="00FF5708">
        <w:t xml:space="preserve"> PE, Boyd I, McIntyre PB, Gold MS. Annual report on surveillance of adverse events following immunisation in Australia, 2006. </w:t>
      </w:r>
      <w:r w:rsidRPr="00FF5708">
        <w:rPr>
          <w:i/>
          <w:iCs/>
        </w:rPr>
        <w:t>Commun Dis Intell Q Rep</w:t>
      </w:r>
      <w:r w:rsidRPr="00FF5708">
        <w:t>. 2007;31(3):269–82.</w:t>
      </w:r>
    </w:p>
    <w:p w14:paraId="15D646AC" w14:textId="77777777" w:rsidR="00FF5708" w:rsidRPr="00FF5708" w:rsidRDefault="00FF5708" w:rsidP="00FF5708">
      <w:pPr>
        <w:pStyle w:val="CDINumberedList1L1"/>
        <w:numPr>
          <w:ilvl w:val="0"/>
          <w:numId w:val="32"/>
        </w:numPr>
        <w:divId w:val="935526654"/>
      </w:pPr>
      <w:r w:rsidRPr="00FF5708">
        <w:t xml:space="preserve">Lawrence GL, Boyd I, McIntyre PB, Isaacs D. Annual report: surveillance of adverse events following immunisation in Australia, 2004. </w:t>
      </w:r>
      <w:r w:rsidRPr="00FF5708">
        <w:rPr>
          <w:i/>
          <w:iCs/>
        </w:rPr>
        <w:t>Commun Dis Intell Q Rep</w:t>
      </w:r>
      <w:r w:rsidRPr="00FF5708">
        <w:t>. 2005;29(3):248–62.</w:t>
      </w:r>
    </w:p>
    <w:p w14:paraId="5862003C" w14:textId="6282E958" w:rsidR="00FF5708" w:rsidRPr="00FF5708" w:rsidRDefault="00FF5708" w:rsidP="00FF5708">
      <w:pPr>
        <w:pStyle w:val="CDINumberedList1L1"/>
        <w:numPr>
          <w:ilvl w:val="0"/>
          <w:numId w:val="32"/>
        </w:numPr>
        <w:divId w:val="935526654"/>
      </w:pPr>
      <w:r w:rsidRPr="00FF5708">
        <w:t>Mahajan D, Cook J, Dey A, Macartney K, Menzies R. Supplementary report: surveillance of adverse events following immunisation among children aged less than seven years in Australia, 1 January to 30</w:t>
      </w:r>
      <w:r>
        <w:t> </w:t>
      </w:r>
      <w:r w:rsidRPr="00FF5708">
        <w:t xml:space="preserve">June 2012. </w:t>
      </w:r>
      <w:r w:rsidRPr="00FF5708">
        <w:rPr>
          <w:i/>
          <w:iCs/>
        </w:rPr>
        <w:t>Commun Dis Intell Q Rep</w:t>
      </w:r>
      <w:r w:rsidRPr="00FF5708">
        <w:t>. 2013;37(2</w:t>
      </w:r>
      <w:proofErr w:type="gramStart"/>
      <w:r w:rsidRPr="00FF5708">
        <w:t>):E</w:t>
      </w:r>
      <w:proofErr w:type="gramEnd"/>
      <w:r w:rsidRPr="00FF5708">
        <w:t>130–4.</w:t>
      </w:r>
    </w:p>
    <w:p w14:paraId="42AFF023" w14:textId="77777777" w:rsidR="00FF5708" w:rsidRPr="00FF5708" w:rsidRDefault="00FF5708" w:rsidP="00FF5708">
      <w:pPr>
        <w:pStyle w:val="CDINumberedList1L1"/>
        <w:numPr>
          <w:ilvl w:val="0"/>
          <w:numId w:val="32"/>
        </w:numPr>
        <w:divId w:val="935526654"/>
      </w:pPr>
      <w:r w:rsidRPr="00FF5708">
        <w:t xml:space="preserve">Mahajan D, Cook J, Dey A, Macartney K, Menzies RI. Annual report: surveillance of adverse events following immunisation in Australia, 2011. </w:t>
      </w:r>
      <w:r w:rsidRPr="00FF5708">
        <w:rPr>
          <w:i/>
          <w:iCs/>
        </w:rPr>
        <w:t>Commun Dis Intell Q Rep</w:t>
      </w:r>
      <w:r w:rsidRPr="00FF5708">
        <w:t>. 2012;36(4</w:t>
      </w:r>
      <w:proofErr w:type="gramStart"/>
      <w:r w:rsidRPr="00FF5708">
        <w:t>):E</w:t>
      </w:r>
      <w:proofErr w:type="gramEnd"/>
      <w:r w:rsidRPr="00FF5708">
        <w:t>315–32.</w:t>
      </w:r>
    </w:p>
    <w:p w14:paraId="729C4F98" w14:textId="2834FC52" w:rsidR="00FF5708" w:rsidRPr="00FF5708" w:rsidRDefault="00FF5708" w:rsidP="00FF5708">
      <w:pPr>
        <w:pStyle w:val="CDINumberedList1L1"/>
        <w:numPr>
          <w:ilvl w:val="0"/>
          <w:numId w:val="32"/>
        </w:numPr>
        <w:divId w:val="935526654"/>
      </w:pPr>
      <w:r w:rsidRPr="00FF5708">
        <w:t>Mahajan D, Cook J, McIntyre P, Macartney K, Menzies R. Supplementary report: surveillance of adverse events following immunisation among children aged less than seven years in Australia, 1 January to 30</w:t>
      </w:r>
      <w:r>
        <w:t> </w:t>
      </w:r>
      <w:r w:rsidRPr="00FF5708">
        <w:t xml:space="preserve">June 2011. </w:t>
      </w:r>
      <w:r w:rsidRPr="00FF5708">
        <w:rPr>
          <w:i/>
          <w:iCs/>
        </w:rPr>
        <w:t>Commun Dis Intell Q Rep</w:t>
      </w:r>
      <w:r w:rsidRPr="00FF5708">
        <w:t>. 2012;36(1):114–9.</w:t>
      </w:r>
    </w:p>
    <w:p w14:paraId="71A67519" w14:textId="77777777" w:rsidR="00FF5708" w:rsidRPr="00FF5708" w:rsidRDefault="00FF5708" w:rsidP="00FF5708">
      <w:pPr>
        <w:pStyle w:val="CDINumberedList1L1"/>
        <w:numPr>
          <w:ilvl w:val="0"/>
          <w:numId w:val="32"/>
        </w:numPr>
        <w:divId w:val="935526654"/>
      </w:pPr>
      <w:r w:rsidRPr="00FF5708">
        <w:t xml:space="preserve">Mahajan D, Cook J, McIntyre PB, Macartney K, Menzies RI. Annual report: surveillance of adverse events following immunisation in Australia, 2010. </w:t>
      </w:r>
      <w:r w:rsidRPr="00FF5708">
        <w:rPr>
          <w:i/>
          <w:iCs/>
        </w:rPr>
        <w:t>Commun Dis Intell Q Rep</w:t>
      </w:r>
      <w:r w:rsidRPr="00FF5708">
        <w:t>. 2011;35(4):263–80.</w:t>
      </w:r>
    </w:p>
    <w:p w14:paraId="19E73C17" w14:textId="77777777" w:rsidR="00FF5708" w:rsidRPr="00FF5708" w:rsidRDefault="00FF5708" w:rsidP="00FF5708">
      <w:pPr>
        <w:pStyle w:val="CDINumberedList1L1"/>
        <w:numPr>
          <w:ilvl w:val="0"/>
          <w:numId w:val="32"/>
        </w:numPr>
        <w:divId w:val="935526654"/>
      </w:pPr>
      <w:r w:rsidRPr="00FF5708">
        <w:t xml:space="preserve">Mahajan D, </w:t>
      </w:r>
      <w:proofErr w:type="spellStart"/>
      <w:r w:rsidRPr="00FF5708">
        <w:t>Roomiani</w:t>
      </w:r>
      <w:proofErr w:type="spellEnd"/>
      <w:r w:rsidRPr="00FF5708">
        <w:t xml:space="preserve"> I, Gold MS, Lawrence GL, McIntyre PB, Menzies RI. Annual report: surveillance of adverse events following immunisation in Australia, 2009. </w:t>
      </w:r>
      <w:r w:rsidRPr="00FF5708">
        <w:rPr>
          <w:i/>
          <w:iCs/>
        </w:rPr>
        <w:t>Commun Dis Intell Q Rep</w:t>
      </w:r>
      <w:r w:rsidRPr="00FF5708">
        <w:t>. 2010;34(3):259–76.</w:t>
      </w:r>
    </w:p>
    <w:p w14:paraId="56F90982" w14:textId="77777777" w:rsidR="00FF5708" w:rsidRPr="00FF5708" w:rsidRDefault="00FF5708" w:rsidP="00FF5708">
      <w:pPr>
        <w:pStyle w:val="CDINumberedList1L1"/>
        <w:numPr>
          <w:ilvl w:val="0"/>
          <w:numId w:val="32"/>
        </w:numPr>
        <w:divId w:val="935526654"/>
      </w:pPr>
      <w:r w:rsidRPr="00FF5708">
        <w:t xml:space="preserve">Menzies R, Mahajan D, Gold MS, </w:t>
      </w:r>
      <w:proofErr w:type="spellStart"/>
      <w:r w:rsidRPr="00FF5708">
        <w:t>Roomiani</w:t>
      </w:r>
      <w:proofErr w:type="spellEnd"/>
      <w:r w:rsidRPr="00FF5708">
        <w:t xml:space="preserve"> I, McIntyre P, Lawrence G. Annual report: surveillance of adverse events following immunisation in Australia, 2008. </w:t>
      </w:r>
      <w:r w:rsidRPr="00FF5708">
        <w:rPr>
          <w:i/>
          <w:iCs/>
        </w:rPr>
        <w:t>Commun Dis Intell Q Rep</w:t>
      </w:r>
      <w:r w:rsidRPr="00FF5708">
        <w:t>. 2009;33(4):365–81.</w:t>
      </w:r>
    </w:p>
    <w:p w14:paraId="2AEEA12F" w14:textId="77777777" w:rsidR="00FF5708" w:rsidRPr="00FF5708" w:rsidRDefault="00FF5708" w:rsidP="00FF5708">
      <w:pPr>
        <w:pStyle w:val="CDINumberedList1L1"/>
        <w:numPr>
          <w:ilvl w:val="0"/>
          <w:numId w:val="32"/>
        </w:numPr>
        <w:divId w:val="935526654"/>
      </w:pPr>
      <w:r w:rsidRPr="00FF5708">
        <w:t xml:space="preserve">Mahajan D, Dey A, Cook J, Harvey B, Menzies R, Macartney K. Surveillance of adverse events following immunisation in Australia annual report, 2013. </w:t>
      </w:r>
      <w:r w:rsidRPr="00FF5708">
        <w:rPr>
          <w:i/>
          <w:iCs/>
        </w:rPr>
        <w:t>Commun Dis Intell Q Rep</w:t>
      </w:r>
      <w:r w:rsidRPr="00FF5708">
        <w:t>. 2015;39(3</w:t>
      </w:r>
      <w:proofErr w:type="gramStart"/>
      <w:r w:rsidRPr="00FF5708">
        <w:t>):E</w:t>
      </w:r>
      <w:proofErr w:type="gramEnd"/>
      <w:r w:rsidRPr="00FF5708">
        <w:t>369–86.</w:t>
      </w:r>
    </w:p>
    <w:p w14:paraId="1FAA6390" w14:textId="5DBD7799" w:rsidR="00FF5708" w:rsidRPr="00FF5708" w:rsidRDefault="00FF5708" w:rsidP="00FF5708">
      <w:pPr>
        <w:pStyle w:val="CDINumberedList1L1"/>
        <w:numPr>
          <w:ilvl w:val="0"/>
          <w:numId w:val="32"/>
        </w:numPr>
        <w:divId w:val="935526654"/>
      </w:pPr>
      <w:r w:rsidRPr="00FF5708">
        <w:t xml:space="preserve">Dey A, Wang H, Quinn H, Pillsbury A, Glover C, Hickie M et al. Surveillance of adverse events following immunisation in Australia annual report, 2019. </w:t>
      </w:r>
      <w:r w:rsidRPr="00FF5708">
        <w:rPr>
          <w:i/>
          <w:iCs/>
        </w:rPr>
        <w:t>Commun Dis Intell (2018)</w:t>
      </w:r>
      <w:r w:rsidRPr="00FF5708">
        <w:t>. 2021;45. doi:</w:t>
      </w:r>
      <w:r>
        <w:t> </w:t>
      </w:r>
      <w:r w:rsidRPr="00FF5708">
        <w:t>https://doi.org/10.33321/cdi.2021.45.23.</w:t>
      </w:r>
    </w:p>
    <w:p w14:paraId="66BA5CD5" w14:textId="099742AB" w:rsidR="00FF5708" w:rsidRPr="00FF5708" w:rsidRDefault="00FF5708" w:rsidP="00FF5708">
      <w:pPr>
        <w:pStyle w:val="CDINumberedList1L1"/>
        <w:numPr>
          <w:ilvl w:val="0"/>
          <w:numId w:val="32"/>
        </w:numPr>
        <w:divId w:val="935526654"/>
      </w:pPr>
      <w:r w:rsidRPr="00FF5708">
        <w:t xml:space="preserve">Dey A, Wang H, Quinn H, Pillsbury A, Hickie M, Deng L et al. Surveillance of adverse events following immunisation in Australia annual report, 2020. </w:t>
      </w:r>
      <w:r w:rsidRPr="00FF5708">
        <w:rPr>
          <w:i/>
          <w:iCs/>
        </w:rPr>
        <w:t>Commun Dis Intell (2018)</w:t>
      </w:r>
      <w:r w:rsidRPr="00FF5708">
        <w:t>. 2022;46. doi:</w:t>
      </w:r>
      <w:r>
        <w:t> </w:t>
      </w:r>
      <w:r w:rsidRPr="00FF5708">
        <w:t>https://doi.org/10.33321/cdi.2022.46.47.</w:t>
      </w:r>
    </w:p>
    <w:p w14:paraId="16884933" w14:textId="1C5CDB8C" w:rsidR="00FF5708" w:rsidRPr="00FF5708" w:rsidRDefault="00FF5708" w:rsidP="00FF5708">
      <w:pPr>
        <w:pStyle w:val="CDINumberedList1L1"/>
        <w:numPr>
          <w:ilvl w:val="0"/>
          <w:numId w:val="32"/>
        </w:numPr>
        <w:divId w:val="935526654"/>
      </w:pPr>
      <w:r w:rsidRPr="00FF5708">
        <w:t xml:space="preserve">Glover C, Deng L, Larter C, Brogan C, Richardson O, Huang YA et al. Surveillance of adverse events following immunisation in Australia, COVID-19 vaccines, 2021. </w:t>
      </w:r>
      <w:r w:rsidRPr="00FF5708">
        <w:rPr>
          <w:i/>
          <w:iCs/>
        </w:rPr>
        <w:t>Commun Dis Intell (2018)</w:t>
      </w:r>
      <w:r w:rsidRPr="00FF5708">
        <w:t>. 2024;48. doi:</w:t>
      </w:r>
      <w:r>
        <w:t> </w:t>
      </w:r>
      <w:r w:rsidRPr="00FF5708">
        <w:t>https://doi.org/10.33321/cdi.2024.48.2.</w:t>
      </w:r>
    </w:p>
    <w:p w14:paraId="056CD9A3" w14:textId="2E8FD49B" w:rsidR="00FF5708" w:rsidRPr="00FF5708" w:rsidRDefault="00FF5708" w:rsidP="00FF5708">
      <w:pPr>
        <w:pStyle w:val="CDINumberedList1L1"/>
        <w:numPr>
          <w:ilvl w:val="0"/>
          <w:numId w:val="32"/>
        </w:numPr>
        <w:divId w:val="935526654"/>
      </w:pPr>
      <w:r w:rsidRPr="00FF5708">
        <w:t xml:space="preserve">Brown EG. Using MedDRA: implications for risk management. </w:t>
      </w:r>
      <w:r w:rsidRPr="00FF5708">
        <w:rPr>
          <w:i/>
          <w:iCs/>
        </w:rPr>
        <w:t>Drug Saf</w:t>
      </w:r>
      <w:r w:rsidRPr="00FF5708">
        <w:t>. 2004;27(8):591–602. doi:</w:t>
      </w:r>
      <w:r>
        <w:t> </w:t>
      </w:r>
      <w:r w:rsidRPr="00FF5708">
        <w:t>https://doi.org/10.2165/00002018-200427080-00010.</w:t>
      </w:r>
    </w:p>
    <w:p w14:paraId="3BE5E6DB" w14:textId="77777777" w:rsidR="00FF5708" w:rsidRPr="00FF5708" w:rsidRDefault="00FF5708" w:rsidP="00FF5708">
      <w:pPr>
        <w:pStyle w:val="CDINumberedList1L1"/>
        <w:numPr>
          <w:ilvl w:val="0"/>
          <w:numId w:val="32"/>
        </w:numPr>
        <w:divId w:val="935526654"/>
      </w:pPr>
      <w:r w:rsidRPr="00FF5708">
        <w:t xml:space="preserve">Brown EG, Wood L, Wood S. The medical dictionary for regulatory activities (MedDRA). </w:t>
      </w:r>
      <w:r w:rsidRPr="00FF5708">
        <w:rPr>
          <w:i/>
          <w:iCs/>
        </w:rPr>
        <w:t>Drug Saf</w:t>
      </w:r>
      <w:r w:rsidRPr="00FF5708">
        <w:t>. 1999;20(2):109–17. doi: https://doi.org/10.2165/00002018-199920020-00002.</w:t>
      </w:r>
    </w:p>
    <w:p w14:paraId="7DD63293" w14:textId="77777777" w:rsidR="00FF5708" w:rsidRPr="00FF5708" w:rsidRDefault="00FF5708" w:rsidP="00FF5708">
      <w:pPr>
        <w:pStyle w:val="CDINumberedList1L1"/>
        <w:numPr>
          <w:ilvl w:val="0"/>
          <w:numId w:val="32"/>
        </w:numPr>
        <w:divId w:val="935526654"/>
      </w:pPr>
      <w:r w:rsidRPr="00FF5708">
        <w:t>Medical Dictionary for Regulatory Activities (MedDRA). Standardised MedDRA Queries. [Webpage.] Herndon VA: MedDRA: 2023. Available from: https://www.meddra.org/standardised-meddra-queries.</w:t>
      </w:r>
    </w:p>
    <w:p w14:paraId="1D5F3B7F" w14:textId="77777777" w:rsidR="00FF5708" w:rsidRPr="00FF5708" w:rsidRDefault="00FF5708" w:rsidP="00FF5708">
      <w:pPr>
        <w:pStyle w:val="CDINumberedList1L1"/>
        <w:numPr>
          <w:ilvl w:val="0"/>
          <w:numId w:val="32"/>
        </w:numPr>
        <w:divId w:val="935526654"/>
      </w:pPr>
      <w:r w:rsidRPr="00FF5708">
        <w:t xml:space="preserve">WHO. </w:t>
      </w:r>
      <w:r w:rsidRPr="00FF5708">
        <w:rPr>
          <w:i/>
          <w:iCs/>
        </w:rPr>
        <w:t>Causality assessment of an adverse event following immunization (AEFI): user manual for the revised WHO classification, 2nd ed., 2019 update</w:t>
      </w:r>
      <w:r w:rsidRPr="00FF5708">
        <w:t>. Geneva: WHO; 16 April 2021. Available from: https://www.who.int/publications/i/item/9789241516990.</w:t>
      </w:r>
    </w:p>
    <w:p w14:paraId="697A47FB" w14:textId="77777777" w:rsidR="00FF5708" w:rsidRPr="00FF5708" w:rsidRDefault="00FF5708" w:rsidP="00FF5708">
      <w:pPr>
        <w:pStyle w:val="CDINumberedList1L1"/>
        <w:numPr>
          <w:ilvl w:val="0"/>
          <w:numId w:val="32"/>
        </w:numPr>
        <w:divId w:val="935526654"/>
      </w:pPr>
      <w:r w:rsidRPr="00FF5708">
        <w:t xml:space="preserve">Zhou W, Pool V, Iskander JK, English-Bullard R, Ball R, Wise RP et al. Surveillance for safety after immunization: Vaccine Adverse Event Reporting System (VAERS)—United States, 1991–2001. </w:t>
      </w:r>
      <w:r w:rsidRPr="00FF5708">
        <w:rPr>
          <w:i/>
          <w:iCs/>
        </w:rPr>
        <w:t xml:space="preserve">MMWR </w:t>
      </w:r>
      <w:proofErr w:type="spellStart"/>
      <w:r w:rsidRPr="00FF5708">
        <w:rPr>
          <w:i/>
          <w:iCs/>
        </w:rPr>
        <w:t>Surveill</w:t>
      </w:r>
      <w:proofErr w:type="spellEnd"/>
      <w:r w:rsidRPr="00FF5708">
        <w:rPr>
          <w:i/>
          <w:iCs/>
        </w:rPr>
        <w:t xml:space="preserve"> </w:t>
      </w:r>
      <w:proofErr w:type="spellStart"/>
      <w:r w:rsidRPr="00FF5708">
        <w:rPr>
          <w:i/>
          <w:iCs/>
        </w:rPr>
        <w:t>Summ</w:t>
      </w:r>
      <w:proofErr w:type="spellEnd"/>
      <w:r w:rsidRPr="00FF5708">
        <w:t>. 2003;52(1):1–24.</w:t>
      </w:r>
    </w:p>
    <w:p w14:paraId="13286804" w14:textId="77777777" w:rsidR="00FF5708" w:rsidRPr="00FF5708" w:rsidRDefault="00FF5708" w:rsidP="00FF5708">
      <w:pPr>
        <w:pStyle w:val="CDINumberedList1L1"/>
        <w:numPr>
          <w:ilvl w:val="0"/>
          <w:numId w:val="32"/>
        </w:numPr>
        <w:divId w:val="935526654"/>
      </w:pPr>
      <w:r w:rsidRPr="00FF5708">
        <w:t>Australian Bureau of Statistics. National, state and territory population. Reference period: June 2021. [Webpage.] Canberra: Australian Bureau of Standards; 16 December 2021. Available from: https://www.abs.gov.au/statistics/people/population/national-state-and-territory-population/jun-2021.</w:t>
      </w:r>
    </w:p>
    <w:p w14:paraId="102B1049" w14:textId="77777777" w:rsidR="00FF5708" w:rsidRPr="00FF5708" w:rsidRDefault="00FF5708" w:rsidP="00FF5708">
      <w:pPr>
        <w:pStyle w:val="CDINumberedList1L1"/>
        <w:numPr>
          <w:ilvl w:val="0"/>
          <w:numId w:val="32"/>
        </w:numPr>
        <w:divId w:val="935526654"/>
      </w:pPr>
      <w:r w:rsidRPr="00FF5708">
        <w:t>Australian Government: Services Australia. Australian Immunisation Register. [Webpage.] Canberra: Services Australia. Available from: https://www.servicesaustralia.gov.au/australian-immunisation-register.</w:t>
      </w:r>
    </w:p>
    <w:p w14:paraId="5F1C8826" w14:textId="77777777" w:rsidR="00FF5708" w:rsidRPr="00FF5708" w:rsidRDefault="00FF5708" w:rsidP="00FF5708">
      <w:pPr>
        <w:pStyle w:val="CDINumberedList1L1"/>
        <w:numPr>
          <w:ilvl w:val="0"/>
          <w:numId w:val="32"/>
        </w:numPr>
        <w:divId w:val="935526654"/>
      </w:pPr>
      <w:r w:rsidRPr="00FF5708">
        <w:t>Australian Government Department of Health and Aged Care, TGA. Database of Adverse Event Notifications. [Internet.] Canberra: Australian Government Department of Health and Aged Care. [Accessed on 26 March 2013.] Available from: http://www.tga.gov.au/safety/daen.htm.</w:t>
      </w:r>
    </w:p>
    <w:p w14:paraId="64A00C85" w14:textId="77777777" w:rsidR="00FF5708" w:rsidRPr="00FF5708" w:rsidRDefault="00FF5708" w:rsidP="00FF5708">
      <w:pPr>
        <w:pStyle w:val="CDINumberedList1L1"/>
        <w:numPr>
          <w:ilvl w:val="0"/>
          <w:numId w:val="32"/>
        </w:numPr>
        <w:divId w:val="935526654"/>
      </w:pPr>
      <w:r w:rsidRPr="00FF5708">
        <w:t xml:space="preserve">Hull B, Hendry A, Dey A, </w:t>
      </w:r>
      <w:proofErr w:type="spellStart"/>
      <w:r w:rsidRPr="00FF5708">
        <w:t>Brotheron</w:t>
      </w:r>
      <w:proofErr w:type="spellEnd"/>
      <w:r w:rsidRPr="00FF5708">
        <w:t xml:space="preserve"> J, Macartney K, Beard F. Annual Immunisation Coverage Report 2021. </w:t>
      </w:r>
      <w:r w:rsidRPr="00FF5708">
        <w:rPr>
          <w:i/>
          <w:iCs/>
        </w:rPr>
        <w:t>Commun Dis Intell (2018)</w:t>
      </w:r>
      <w:r w:rsidRPr="00FF5708">
        <w:t>. 2023;47. doi: https://doi.org/10.33321/cdi.2023.47.47.</w:t>
      </w:r>
    </w:p>
    <w:p w14:paraId="6B0D27AD" w14:textId="384D2CE1" w:rsidR="00FF5708" w:rsidRPr="00FF5708" w:rsidRDefault="00FF5708" w:rsidP="00FF5708">
      <w:pPr>
        <w:pStyle w:val="CDINumberedList1L1"/>
        <w:numPr>
          <w:ilvl w:val="0"/>
          <w:numId w:val="32"/>
        </w:numPr>
        <w:divId w:val="935526654"/>
      </w:pPr>
      <w:r w:rsidRPr="00FF5708">
        <w:t xml:space="preserve">Hull BP, Hendry AJ, Dey A, Bryant K, Radkowski C, Pellissier S et al. The impact of the COVID-19 pandemic on routine vaccinations in Victoria. </w:t>
      </w:r>
      <w:r w:rsidRPr="00FF5708">
        <w:rPr>
          <w:i/>
          <w:iCs/>
        </w:rPr>
        <w:t>Med J Aust</w:t>
      </w:r>
      <w:r w:rsidRPr="00FF5708">
        <w:t>. 2021;215(2):83–4. doi:</w:t>
      </w:r>
      <w:r>
        <w:t> </w:t>
      </w:r>
      <w:r w:rsidRPr="00FF5708">
        <w:t>https://doi.org/10.5694/mja2.51145.</w:t>
      </w:r>
    </w:p>
    <w:p w14:paraId="72B7FE1F" w14:textId="66C9B6E2" w:rsidR="00FF5708" w:rsidRPr="00FF5708" w:rsidRDefault="00FF5708" w:rsidP="00FF5708">
      <w:pPr>
        <w:pStyle w:val="CDINumberedList1L1"/>
        <w:numPr>
          <w:ilvl w:val="0"/>
          <w:numId w:val="32"/>
        </w:numPr>
        <w:divId w:val="935526654"/>
      </w:pPr>
      <w:r w:rsidRPr="00FF5708">
        <w:t xml:space="preserve">Dey A, Wang H, Quinn H, Pillsbury A, Glover C, Hickie M et al. Surveillance of adverse events following immunisation in Australia annual report, 2018. </w:t>
      </w:r>
      <w:r w:rsidRPr="00FF5708">
        <w:rPr>
          <w:i/>
          <w:iCs/>
        </w:rPr>
        <w:t>Commun Dis Intell (2018)</w:t>
      </w:r>
      <w:r w:rsidRPr="00FF5708">
        <w:t>. 2020;44. doi:</w:t>
      </w:r>
      <w:r>
        <w:t> </w:t>
      </w:r>
      <w:r w:rsidRPr="00FF5708">
        <w:t>https://doi.org/10.33321/cdi.2020.44.12.</w:t>
      </w:r>
    </w:p>
    <w:p w14:paraId="179CE938" w14:textId="77777777" w:rsidR="00FF5708" w:rsidRPr="00FF5708" w:rsidRDefault="00FF5708" w:rsidP="00FF5708">
      <w:pPr>
        <w:pStyle w:val="CDINumberedList1L1"/>
        <w:numPr>
          <w:ilvl w:val="0"/>
          <w:numId w:val="32"/>
        </w:numPr>
        <w:divId w:val="935526654"/>
      </w:pPr>
      <w:r w:rsidRPr="00FF5708">
        <w:t xml:space="preserve">Australian Government Department of Health and Aged Care. </w:t>
      </w:r>
      <w:r w:rsidRPr="00FF5708">
        <w:rPr>
          <w:i/>
          <w:iCs/>
        </w:rPr>
        <w:t xml:space="preserve">Vaccine safety in Australia: </w:t>
      </w:r>
      <w:proofErr w:type="spellStart"/>
      <w:r w:rsidRPr="00FF5708">
        <w:rPr>
          <w:i/>
          <w:iCs/>
        </w:rPr>
        <w:t>AusVaxSafety</w:t>
      </w:r>
      <w:proofErr w:type="spellEnd"/>
      <w:r w:rsidRPr="00FF5708">
        <w:rPr>
          <w:i/>
          <w:iCs/>
        </w:rPr>
        <w:t xml:space="preserve"> summary report 2021</w:t>
      </w:r>
      <w:r w:rsidRPr="00FF5708">
        <w:t>. Canberra: Australian Government Department of Health and Aged Care; 29 September 2022. Available from: https://www.health.gov.au/resources/publications/vaccine-safety-in-australia-ausvaxsafety-summary-report-2021.</w:t>
      </w:r>
    </w:p>
    <w:p w14:paraId="79ABC9DB" w14:textId="77777777" w:rsidR="00FF5708" w:rsidRPr="00FF5708" w:rsidRDefault="00FF5708" w:rsidP="00FF5708">
      <w:pPr>
        <w:pStyle w:val="CDINumberedList1L1"/>
        <w:numPr>
          <w:ilvl w:val="0"/>
          <w:numId w:val="32"/>
        </w:numPr>
        <w:divId w:val="935526654"/>
      </w:pPr>
      <w:r w:rsidRPr="00FF5708">
        <w:t xml:space="preserve">Varricchio F, Iskander J, </w:t>
      </w:r>
      <w:proofErr w:type="spellStart"/>
      <w:r w:rsidRPr="00FF5708">
        <w:t>Destefano</w:t>
      </w:r>
      <w:proofErr w:type="spellEnd"/>
      <w:r w:rsidRPr="00FF5708">
        <w:t xml:space="preserve"> F, Ball R, Pless R, Braun MM et al. Understanding vaccine safety information from the Vaccine Adverse Event Reporting System. </w:t>
      </w:r>
      <w:proofErr w:type="spellStart"/>
      <w:r w:rsidRPr="00FF5708">
        <w:rPr>
          <w:i/>
          <w:iCs/>
        </w:rPr>
        <w:t>Pediatr</w:t>
      </w:r>
      <w:proofErr w:type="spellEnd"/>
      <w:r w:rsidRPr="00FF5708">
        <w:rPr>
          <w:i/>
          <w:iCs/>
        </w:rPr>
        <w:t xml:space="preserve"> Infect Dis J</w:t>
      </w:r>
      <w:r w:rsidRPr="00FF5708">
        <w:t>. 2004;23(4):287–94. doi: https://doi.org/10.1097/00006454-200404000-00002.</w:t>
      </w:r>
    </w:p>
    <w:p w14:paraId="44A9C8D2" w14:textId="6129D156" w:rsidR="00AC0F5D" w:rsidRDefault="00FF5708" w:rsidP="00E96F05">
      <w:pPr>
        <w:pStyle w:val="CDINumberedList1L1"/>
      </w:pPr>
      <w:r w:rsidRPr="00FF5708">
        <w:t xml:space="preserve">Mahajan D, Reid S, Cook J, Macartney K, Menzies R. NSW annual report describing adverse events following immunisation, 2011. </w:t>
      </w:r>
      <w:r w:rsidRPr="00EF3F9B">
        <w:rPr>
          <w:i/>
          <w:iCs/>
        </w:rPr>
        <w:t>NSW Public Health Bull</w:t>
      </w:r>
      <w:r w:rsidRPr="00FF5708">
        <w:t>. 2012;23(9–10):187–200. doi:</w:t>
      </w:r>
      <w:r>
        <w:t> </w:t>
      </w:r>
      <w:r w:rsidRPr="00FF5708">
        <w:t>https://doi.org/10.1071/NB12081.</w:t>
      </w:r>
    </w:p>
    <w:p w14:paraId="408A00A6" w14:textId="77777777" w:rsidR="00AC0F5D" w:rsidRDefault="00AC0F5D" w:rsidP="00B33E0B">
      <w:pPr>
        <w:sectPr w:rsidR="00AC0F5D" w:rsidSect="001A26DD">
          <w:headerReference w:type="default" r:id="rId21"/>
          <w:pgSz w:w="11907" w:h="16840" w:code="9"/>
          <w:pgMar w:top="1304" w:right="1134" w:bottom="1304" w:left="1134" w:header="709" w:footer="527" w:gutter="0"/>
          <w:cols w:space="708"/>
          <w:docGrid w:linePitch="360"/>
        </w:sectPr>
      </w:pPr>
    </w:p>
    <w:p w14:paraId="0947AA6A" w14:textId="77777777" w:rsidR="00AC0F5D" w:rsidRDefault="00AC0F5D" w:rsidP="00351347">
      <w:pPr>
        <w:pStyle w:val="Heading1-nospacebefore"/>
      </w:pPr>
      <w:r>
        <w:t>Appendix A</w:t>
      </w:r>
    </w:p>
    <w:p w14:paraId="1D614A46" w14:textId="507BC543" w:rsidR="00AC0F5D" w:rsidRDefault="006C4818" w:rsidP="006C4818">
      <w:pPr>
        <w:pStyle w:val="CDIFigure-Table-Title"/>
        <w:rPr>
          <w:vertAlign w:val="superscript"/>
        </w:rPr>
      </w:pPr>
      <w:r>
        <w:t xml:space="preserve">Table A.1: </w:t>
      </w:r>
      <w:r w:rsidRPr="006C4818">
        <w:t>Changes in immunisation policy and the National Immunisation Program (2005–</w:t>
      </w:r>
      <w:proofErr w:type="gramStart"/>
      <w:r w:rsidRPr="006C4818">
        <w:t>2021)</w:t>
      </w:r>
      <w:r w:rsidRPr="006C4818">
        <w:rPr>
          <w:vertAlign w:val="superscript"/>
        </w:rPr>
        <w:t>a</w:t>
      </w:r>
      <w:proofErr w:type="gramEnd"/>
    </w:p>
    <w:tbl>
      <w:tblPr>
        <w:tblW w:w="14343" w:type="dxa"/>
        <w:tblInd w:w="-8" w:type="dxa"/>
        <w:tblLayout w:type="fixed"/>
        <w:tblCellMar>
          <w:left w:w="0" w:type="dxa"/>
          <w:right w:w="0" w:type="dxa"/>
        </w:tblCellMar>
        <w:tblLook w:val="0000" w:firstRow="0" w:lastRow="0" w:firstColumn="0" w:lastColumn="0" w:noHBand="0" w:noVBand="0"/>
        <w:tblCaption w:val="Table A.1: Changes in immunisation policy and the National Immunisation Program (2005–2021)"/>
        <w:tblDescription w:val="Table A.1 shows changes in immunisation policy and the National Immunisation Program (2005–2021)."/>
      </w:tblPr>
      <w:tblGrid>
        <w:gridCol w:w="850"/>
        <w:gridCol w:w="1474"/>
        <w:gridCol w:w="1474"/>
        <w:gridCol w:w="10545"/>
      </w:tblGrid>
      <w:tr w:rsidR="00037B2F" w14:paraId="216695BC" w14:textId="77777777" w:rsidTr="00006D10">
        <w:trPr>
          <w:trHeight w:val="20"/>
          <w:tblHeader/>
        </w:trPr>
        <w:tc>
          <w:tcPr>
            <w:tcW w:w="850" w:type="dxa"/>
            <w:shd w:val="clear" w:color="auto" w:fill="033636" w:themeFill="text2"/>
            <w:tcMar>
              <w:top w:w="113" w:type="dxa"/>
              <w:left w:w="113" w:type="dxa"/>
              <w:bottom w:w="113" w:type="dxa"/>
              <w:right w:w="113" w:type="dxa"/>
            </w:tcMar>
            <w:vAlign w:val="center"/>
          </w:tcPr>
          <w:p w14:paraId="16481AE6" w14:textId="77777777" w:rsidR="00037B2F" w:rsidRDefault="00037B2F" w:rsidP="006E1954">
            <w:pPr>
              <w:pStyle w:val="CDIFigure-Table-H1Left"/>
            </w:pPr>
            <w:r>
              <w:t>Year</w:t>
            </w:r>
          </w:p>
        </w:tc>
        <w:tc>
          <w:tcPr>
            <w:tcW w:w="1474" w:type="dxa"/>
            <w:shd w:val="clear" w:color="auto" w:fill="033636" w:themeFill="text2"/>
            <w:tcMar>
              <w:top w:w="113" w:type="dxa"/>
              <w:left w:w="113" w:type="dxa"/>
              <w:bottom w:w="113" w:type="dxa"/>
              <w:right w:w="113" w:type="dxa"/>
            </w:tcMar>
            <w:vAlign w:val="center"/>
          </w:tcPr>
          <w:p w14:paraId="673CB215" w14:textId="77777777" w:rsidR="00037B2F" w:rsidRDefault="00037B2F" w:rsidP="006E1954">
            <w:pPr>
              <w:pStyle w:val="CDIFigure-Table-H1Left"/>
            </w:pPr>
            <w:r>
              <w:t>Month</w:t>
            </w:r>
          </w:p>
        </w:tc>
        <w:tc>
          <w:tcPr>
            <w:tcW w:w="1474" w:type="dxa"/>
            <w:shd w:val="clear" w:color="auto" w:fill="033636" w:themeFill="text2"/>
            <w:tcMar>
              <w:top w:w="113" w:type="dxa"/>
              <w:left w:w="113" w:type="dxa"/>
              <w:bottom w:w="113" w:type="dxa"/>
              <w:right w:w="113" w:type="dxa"/>
            </w:tcMar>
            <w:vAlign w:val="center"/>
          </w:tcPr>
          <w:p w14:paraId="1E88C93D" w14:textId="77777777" w:rsidR="00037B2F" w:rsidRDefault="00037B2F" w:rsidP="006E1954">
            <w:pPr>
              <w:pStyle w:val="CDIFigure-Table-H1Left"/>
            </w:pPr>
            <w:proofErr w:type="spellStart"/>
            <w:r>
              <w:t>Jurisdiction</w:t>
            </w:r>
            <w:r>
              <w:rPr>
                <w:rStyle w:val="Superscript"/>
              </w:rPr>
              <w:t>b</w:t>
            </w:r>
            <w:proofErr w:type="spellEnd"/>
          </w:p>
        </w:tc>
        <w:tc>
          <w:tcPr>
            <w:tcW w:w="10545" w:type="dxa"/>
            <w:shd w:val="clear" w:color="auto" w:fill="033636" w:themeFill="text2"/>
            <w:tcMar>
              <w:top w:w="113" w:type="dxa"/>
              <w:left w:w="113" w:type="dxa"/>
              <w:bottom w:w="113" w:type="dxa"/>
              <w:right w:w="113" w:type="dxa"/>
            </w:tcMar>
            <w:vAlign w:val="center"/>
          </w:tcPr>
          <w:p w14:paraId="009CFB70" w14:textId="77777777" w:rsidR="00037B2F" w:rsidRPr="00037B2F" w:rsidRDefault="00037B2F" w:rsidP="00037B2F">
            <w:pPr>
              <w:pStyle w:val="CDIFigure-Table-H1Left"/>
            </w:pPr>
            <w:r w:rsidRPr="00037B2F">
              <w:t>Change</w:t>
            </w:r>
          </w:p>
        </w:tc>
      </w:tr>
      <w:tr w:rsidR="00037B2F" w14:paraId="2D14399C" w14:textId="77777777" w:rsidTr="00006D10">
        <w:trPr>
          <w:trHeight w:val="20"/>
        </w:trPr>
        <w:tc>
          <w:tcPr>
            <w:tcW w:w="850"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78B20EA" w14:textId="77777777" w:rsidR="00037B2F" w:rsidRDefault="00037B2F" w:rsidP="00037B2F">
            <w:pPr>
              <w:pStyle w:val="CDIFigure-Table-BodyTextLeft"/>
            </w:pPr>
            <w:r>
              <w:t>2020</w:t>
            </w:r>
          </w:p>
        </w:tc>
        <w:tc>
          <w:tcPr>
            <w:tcW w:w="1474" w:type="dxa"/>
            <w:shd w:val="clear" w:color="auto" w:fill="F2F2F2" w:themeFill="background1" w:themeFillShade="F2"/>
            <w:tcMar>
              <w:top w:w="113" w:type="dxa"/>
              <w:left w:w="113" w:type="dxa"/>
              <w:bottom w:w="113" w:type="dxa"/>
              <w:right w:w="113" w:type="dxa"/>
            </w:tcMar>
            <w:vAlign w:val="center"/>
          </w:tcPr>
          <w:p w14:paraId="2F7AB1A0" w14:textId="77777777" w:rsidR="00037B2F" w:rsidRDefault="00037B2F" w:rsidP="00037B2F">
            <w:pPr>
              <w:pStyle w:val="CDIFigure-Table-BodyTextLeft"/>
            </w:pPr>
            <w:r>
              <w:t>July</w:t>
            </w:r>
          </w:p>
        </w:tc>
        <w:tc>
          <w:tcPr>
            <w:tcW w:w="1474" w:type="dxa"/>
            <w:shd w:val="clear" w:color="auto" w:fill="F2F2F2" w:themeFill="background1" w:themeFillShade="F2"/>
            <w:tcMar>
              <w:top w:w="113" w:type="dxa"/>
              <w:left w:w="113" w:type="dxa"/>
              <w:bottom w:w="113" w:type="dxa"/>
              <w:right w:w="113" w:type="dxa"/>
            </w:tcMar>
            <w:vAlign w:val="center"/>
          </w:tcPr>
          <w:p w14:paraId="10FD05B1" w14:textId="77777777" w:rsidR="00037B2F" w:rsidRDefault="00037B2F" w:rsidP="00037B2F">
            <w:pPr>
              <w:pStyle w:val="CDIFigure-Table-BodyTextLeft"/>
            </w:pPr>
            <w:r>
              <w:t>NT, Qld, SA, WA</w:t>
            </w:r>
          </w:p>
        </w:tc>
        <w:tc>
          <w:tcPr>
            <w:tcW w:w="10545" w:type="dxa"/>
            <w:shd w:val="clear" w:color="auto" w:fill="F2F2F2" w:themeFill="background1" w:themeFillShade="F2"/>
            <w:tcMar>
              <w:top w:w="113" w:type="dxa"/>
              <w:left w:w="113" w:type="dxa"/>
              <w:bottom w:w="113" w:type="dxa"/>
              <w:right w:w="113" w:type="dxa"/>
            </w:tcMar>
            <w:vAlign w:val="center"/>
          </w:tcPr>
          <w:p w14:paraId="55D0247A" w14:textId="77777777" w:rsidR="00037B2F" w:rsidRDefault="00037B2F" w:rsidP="00037B2F">
            <w:pPr>
              <w:pStyle w:val="CDIFigure-Table-BodyTextLeft"/>
            </w:pPr>
            <w:r>
              <w:t>Funded schedule expanded for Aboriginal and Torres Strait Islander children from 13vPCV at 2, 4, 6 and 12 months (3+1) to include an additional dose of 23vPPV at 4 years of age and a second dose 5–10 years later</w:t>
            </w:r>
          </w:p>
        </w:tc>
      </w:tr>
      <w:tr w:rsidR="006E1954" w14:paraId="65C19E20"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2C14476D" w14:textId="77777777" w:rsidR="006E1954" w:rsidRDefault="006E1954" w:rsidP="00037B2F">
            <w:pPr>
              <w:pStyle w:val="CDIFigure-Table-BodyTextLeft"/>
            </w:pPr>
          </w:p>
        </w:tc>
        <w:tc>
          <w:tcPr>
            <w:tcW w:w="1474" w:type="dxa"/>
            <w:vMerge w:val="restart"/>
            <w:tcMar>
              <w:top w:w="113" w:type="dxa"/>
              <w:left w:w="113" w:type="dxa"/>
              <w:bottom w:w="113" w:type="dxa"/>
              <w:right w:w="113" w:type="dxa"/>
            </w:tcMar>
            <w:vAlign w:val="center"/>
          </w:tcPr>
          <w:p w14:paraId="2104EE00" w14:textId="149BE886" w:rsidR="006E1954" w:rsidRDefault="006E1954" w:rsidP="00037B2F">
            <w:pPr>
              <w:pStyle w:val="CDIFigure-Table-BodyTextLeft"/>
            </w:pPr>
            <w:r>
              <w:t>July</w:t>
            </w:r>
          </w:p>
        </w:tc>
        <w:tc>
          <w:tcPr>
            <w:tcW w:w="1474" w:type="dxa"/>
            <w:vMerge w:val="restart"/>
            <w:tcMar>
              <w:top w:w="113" w:type="dxa"/>
              <w:left w:w="113" w:type="dxa"/>
              <w:bottom w:w="113" w:type="dxa"/>
              <w:right w:w="113" w:type="dxa"/>
            </w:tcMar>
            <w:vAlign w:val="center"/>
          </w:tcPr>
          <w:p w14:paraId="552B41D4" w14:textId="6C95CFD1" w:rsidR="006E1954" w:rsidRDefault="006E1954" w:rsidP="00037B2F">
            <w:pPr>
              <w:pStyle w:val="CDIFigure-Table-BodyTextLeft"/>
            </w:pPr>
            <w:r>
              <w:t>All</w:t>
            </w:r>
          </w:p>
        </w:tc>
        <w:tc>
          <w:tcPr>
            <w:tcW w:w="10545" w:type="dxa"/>
            <w:tcMar>
              <w:top w:w="113" w:type="dxa"/>
              <w:left w:w="113" w:type="dxa"/>
              <w:bottom w:w="113" w:type="dxa"/>
              <w:right w:w="113" w:type="dxa"/>
            </w:tcMar>
            <w:vAlign w:val="center"/>
          </w:tcPr>
          <w:p w14:paraId="778934F5" w14:textId="590B87B1" w:rsidR="006E1954" w:rsidRDefault="006E1954" w:rsidP="00037B2F">
            <w:pPr>
              <w:pStyle w:val="CDIFigure-Table-BodyTextLeft"/>
            </w:pPr>
            <w:r>
              <w:t>A single dose of 13vPCV is recommended and funded for Aboriginal and Torres Strait Islander adults at 50 years of age, followed by a dose of 23vPPV 12 months later and a second dose of 23vPPV 5–10 years after that.</w:t>
            </w:r>
          </w:p>
        </w:tc>
      </w:tr>
      <w:tr w:rsidR="006E1954" w14:paraId="4C6A9027"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303314FA" w14:textId="77777777" w:rsidR="006E1954" w:rsidRDefault="006E1954" w:rsidP="00037B2F">
            <w:pPr>
              <w:pStyle w:val="CDIFigure-Table-BodyTextLeft"/>
            </w:pPr>
          </w:p>
        </w:tc>
        <w:tc>
          <w:tcPr>
            <w:tcW w:w="1474" w:type="dxa"/>
            <w:vMerge/>
            <w:tcMar>
              <w:top w:w="113" w:type="dxa"/>
              <w:left w:w="113" w:type="dxa"/>
              <w:bottom w:w="113" w:type="dxa"/>
              <w:right w:w="113" w:type="dxa"/>
            </w:tcMar>
            <w:vAlign w:val="center"/>
          </w:tcPr>
          <w:p w14:paraId="32B890B0" w14:textId="197E1297" w:rsidR="006E1954" w:rsidRDefault="006E1954" w:rsidP="00037B2F">
            <w:pPr>
              <w:pStyle w:val="CDIFigure-Table-BodyTextLeft"/>
            </w:pPr>
          </w:p>
        </w:tc>
        <w:tc>
          <w:tcPr>
            <w:tcW w:w="1474" w:type="dxa"/>
            <w:vMerge/>
            <w:tcMar>
              <w:top w:w="113" w:type="dxa"/>
              <w:left w:w="113" w:type="dxa"/>
              <w:bottom w:w="113" w:type="dxa"/>
              <w:right w:w="113" w:type="dxa"/>
            </w:tcMar>
            <w:vAlign w:val="center"/>
          </w:tcPr>
          <w:p w14:paraId="6D938FEB" w14:textId="43995670" w:rsidR="006E1954" w:rsidRDefault="006E1954" w:rsidP="00037B2F">
            <w:pPr>
              <w:pStyle w:val="CDIFigure-Table-BodyTextLeft"/>
            </w:pPr>
          </w:p>
        </w:tc>
        <w:tc>
          <w:tcPr>
            <w:tcW w:w="10545" w:type="dxa"/>
            <w:tcMar>
              <w:top w:w="113" w:type="dxa"/>
              <w:left w:w="113" w:type="dxa"/>
              <w:bottom w:w="113" w:type="dxa"/>
              <w:right w:w="113" w:type="dxa"/>
            </w:tcMar>
            <w:vAlign w:val="center"/>
          </w:tcPr>
          <w:p w14:paraId="51051E5C" w14:textId="732D9893" w:rsidR="006E1954" w:rsidRDefault="006E1954" w:rsidP="00037B2F">
            <w:pPr>
              <w:pStyle w:val="CDIFigure-Table-BodyTextLeft"/>
            </w:pPr>
            <w:r>
              <w:t>A single dose of 13vPCV is recommended and funded for non- Aboriginal and Torres Strait Islander adults at 70 years of age, replacing the previously funded dose of 23vPPV at 65 years of age.</w:t>
            </w:r>
          </w:p>
        </w:tc>
      </w:tr>
      <w:tr w:rsidR="006E1954" w14:paraId="72440F78"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7BF2CE9D" w14:textId="77777777" w:rsidR="006E1954" w:rsidRDefault="006E1954" w:rsidP="00037B2F">
            <w:pPr>
              <w:pStyle w:val="CDIFigure-Table-BodyTextLeft"/>
            </w:pPr>
          </w:p>
        </w:tc>
        <w:tc>
          <w:tcPr>
            <w:tcW w:w="1474" w:type="dxa"/>
            <w:vMerge/>
            <w:tcMar>
              <w:top w:w="113" w:type="dxa"/>
              <w:left w:w="113" w:type="dxa"/>
              <w:bottom w:w="113" w:type="dxa"/>
              <w:right w:w="113" w:type="dxa"/>
            </w:tcMar>
            <w:vAlign w:val="center"/>
          </w:tcPr>
          <w:p w14:paraId="2CED5F0A" w14:textId="4AC3E289" w:rsidR="006E1954" w:rsidRDefault="006E1954" w:rsidP="00037B2F">
            <w:pPr>
              <w:pStyle w:val="CDIFigure-Table-BodyTextLeft"/>
            </w:pPr>
          </w:p>
        </w:tc>
        <w:tc>
          <w:tcPr>
            <w:tcW w:w="1474" w:type="dxa"/>
            <w:vMerge/>
            <w:tcMar>
              <w:top w:w="113" w:type="dxa"/>
              <w:left w:w="113" w:type="dxa"/>
              <w:bottom w:w="113" w:type="dxa"/>
              <w:right w:w="113" w:type="dxa"/>
            </w:tcMar>
            <w:vAlign w:val="center"/>
          </w:tcPr>
          <w:p w14:paraId="2963BBCE" w14:textId="50CD0926" w:rsidR="006E1954" w:rsidRDefault="006E1954" w:rsidP="00037B2F">
            <w:pPr>
              <w:pStyle w:val="CDIFigure-Table-BodyTextLeft"/>
            </w:pPr>
          </w:p>
        </w:tc>
        <w:tc>
          <w:tcPr>
            <w:tcW w:w="10545" w:type="dxa"/>
            <w:tcMar>
              <w:top w:w="113" w:type="dxa"/>
              <w:left w:w="113" w:type="dxa"/>
              <w:bottom w:w="113" w:type="dxa"/>
              <w:right w:w="113" w:type="dxa"/>
            </w:tcMar>
            <w:vAlign w:val="center"/>
          </w:tcPr>
          <w:p w14:paraId="6F2179A1" w14:textId="77777777" w:rsidR="006E1954" w:rsidRDefault="006E1954" w:rsidP="00037B2F">
            <w:pPr>
              <w:pStyle w:val="CDIFigure-Table-BodyTextLeft"/>
            </w:pPr>
            <w:r>
              <w:t>MenB vaccine funded for all Aboriginal and Torres Strait Islander children (age &lt; 12 months) and individuals of any age with specified high risk medical conditions. Catch-up available for all Aboriginal and Torres Strait Islander children &lt; 2 years of age (up to 23 months) for three years, until 30 June 2023.</w:t>
            </w:r>
          </w:p>
        </w:tc>
      </w:tr>
      <w:tr w:rsidR="006E1954" w14:paraId="14082056"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74E2C36C" w14:textId="77777777" w:rsidR="006E1954" w:rsidRDefault="006E1954" w:rsidP="00037B2F">
            <w:pPr>
              <w:pStyle w:val="CDIFigure-Table-BodyTextLeft"/>
            </w:pPr>
          </w:p>
        </w:tc>
        <w:tc>
          <w:tcPr>
            <w:tcW w:w="1474" w:type="dxa"/>
            <w:vMerge w:val="restart"/>
            <w:shd w:val="clear" w:color="auto" w:fill="F2F2F2" w:themeFill="background1" w:themeFillShade="F2"/>
            <w:tcMar>
              <w:top w:w="113" w:type="dxa"/>
              <w:left w:w="113" w:type="dxa"/>
              <w:bottom w:w="113" w:type="dxa"/>
              <w:right w:w="113" w:type="dxa"/>
            </w:tcMar>
            <w:vAlign w:val="center"/>
          </w:tcPr>
          <w:p w14:paraId="3A6FECD0" w14:textId="2E0779B4" w:rsidR="006E1954" w:rsidRDefault="006E1954" w:rsidP="00037B2F">
            <w:pPr>
              <w:pStyle w:val="CDIFigure-Table-BodyTextLeft"/>
            </w:pPr>
            <w:r>
              <w:t>March</w:t>
            </w:r>
          </w:p>
        </w:tc>
        <w:tc>
          <w:tcPr>
            <w:tcW w:w="1474" w:type="dxa"/>
            <w:vMerge w:val="restart"/>
            <w:shd w:val="clear" w:color="auto" w:fill="F2F2F2" w:themeFill="background1" w:themeFillShade="F2"/>
            <w:tcMar>
              <w:top w:w="113" w:type="dxa"/>
              <w:left w:w="113" w:type="dxa"/>
              <w:bottom w:w="113" w:type="dxa"/>
              <w:right w:w="113" w:type="dxa"/>
            </w:tcMar>
            <w:vAlign w:val="center"/>
          </w:tcPr>
          <w:p w14:paraId="72DCB4A9" w14:textId="7CF2D756" w:rsidR="006E1954" w:rsidRDefault="006E1954"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180BB414" w14:textId="58DC3744" w:rsidR="006E1954" w:rsidRDefault="006E1954" w:rsidP="00037B2F">
            <w:pPr>
              <w:pStyle w:val="CDIFigure-Table-BodyTextLeft"/>
            </w:pPr>
            <w:r>
              <w:t>All children aged 6 months to &lt; 5 years funded for influenza vaccine under NIP.</w:t>
            </w:r>
          </w:p>
        </w:tc>
      </w:tr>
      <w:tr w:rsidR="006E1954" w14:paraId="15F48115"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381263B5" w14:textId="77777777" w:rsidR="006E1954" w:rsidRDefault="006E1954" w:rsidP="00037B2F">
            <w:pPr>
              <w:pStyle w:val="CDIFigure-Table-BodyTextLeft"/>
            </w:pPr>
          </w:p>
        </w:tc>
        <w:tc>
          <w:tcPr>
            <w:tcW w:w="1474" w:type="dxa"/>
            <w:vMerge/>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487ECFF" w14:textId="08227C4E" w:rsidR="006E1954" w:rsidRDefault="006E1954" w:rsidP="00037B2F">
            <w:pPr>
              <w:pStyle w:val="CDIFigure-Table-BodyTextLeft"/>
            </w:pPr>
          </w:p>
        </w:tc>
        <w:tc>
          <w:tcPr>
            <w:tcW w:w="1474" w:type="dxa"/>
            <w:vMerge/>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D9BCF19" w14:textId="5EC66A8F" w:rsidR="006E1954" w:rsidRDefault="006E1954" w:rsidP="00037B2F">
            <w:pPr>
              <w:pStyle w:val="CDIFigure-Table-BodyTextLeft"/>
            </w:pPr>
          </w:p>
        </w:tc>
        <w:tc>
          <w:tcPr>
            <w:tcW w:w="10545"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FC4A4D6" w14:textId="77777777" w:rsidR="006E1954" w:rsidRDefault="006E1954" w:rsidP="00037B2F">
            <w:pPr>
              <w:pStyle w:val="CDIFigure-Table-BodyTextLeft"/>
            </w:pPr>
            <w:r>
              <w:t>First enhanced quadrivalent influenza vaccine (adjuvanted) funded nationally for adults aged 65 years and over.</w:t>
            </w:r>
          </w:p>
        </w:tc>
      </w:tr>
      <w:tr w:rsidR="00037B2F" w14:paraId="72AAB812" w14:textId="77777777" w:rsidTr="00006D10">
        <w:trPr>
          <w:trHeight w:val="20"/>
        </w:trPr>
        <w:tc>
          <w:tcPr>
            <w:tcW w:w="850" w:type="dxa"/>
            <w:vMerge w:val="restart"/>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008C636" w14:textId="77777777" w:rsidR="00037B2F" w:rsidRDefault="00037B2F" w:rsidP="00037B2F">
            <w:pPr>
              <w:pStyle w:val="CDIFigure-Table-BodyTextLeft"/>
            </w:pPr>
            <w:r>
              <w:t>2019</w:t>
            </w:r>
          </w:p>
        </w:tc>
        <w:tc>
          <w:tcPr>
            <w:tcW w:w="1474" w:type="dxa"/>
            <w:tcBorders>
              <w:top w:val="single" w:sz="6" w:space="0" w:color="033636" w:themeColor="text2"/>
            </w:tcBorders>
            <w:tcMar>
              <w:top w:w="113" w:type="dxa"/>
              <w:left w:w="113" w:type="dxa"/>
              <w:bottom w:w="113" w:type="dxa"/>
              <w:right w:w="113" w:type="dxa"/>
            </w:tcMar>
            <w:vAlign w:val="center"/>
          </w:tcPr>
          <w:p w14:paraId="4BA8FFAD" w14:textId="77777777" w:rsidR="00037B2F" w:rsidRDefault="00037B2F" w:rsidP="00037B2F">
            <w:pPr>
              <w:pStyle w:val="CDIFigure-Table-BodyTextLeft"/>
            </w:pPr>
            <w:r>
              <w:t>December</w:t>
            </w:r>
          </w:p>
        </w:tc>
        <w:tc>
          <w:tcPr>
            <w:tcW w:w="1474" w:type="dxa"/>
            <w:tcBorders>
              <w:top w:val="single" w:sz="6" w:space="0" w:color="033636" w:themeColor="text2"/>
            </w:tcBorders>
            <w:tcMar>
              <w:top w:w="113" w:type="dxa"/>
              <w:left w:w="113" w:type="dxa"/>
              <w:bottom w:w="113" w:type="dxa"/>
              <w:right w:w="113" w:type="dxa"/>
            </w:tcMar>
            <w:vAlign w:val="center"/>
          </w:tcPr>
          <w:p w14:paraId="2D656591" w14:textId="77777777" w:rsidR="00037B2F" w:rsidRDefault="00037B2F" w:rsidP="00037B2F">
            <w:pPr>
              <w:pStyle w:val="CDIFigure-Table-BodyTextLeft"/>
            </w:pPr>
            <w:r>
              <w:t>SA</w:t>
            </w:r>
          </w:p>
        </w:tc>
        <w:tc>
          <w:tcPr>
            <w:tcW w:w="10545" w:type="dxa"/>
            <w:tcBorders>
              <w:top w:val="single" w:sz="6" w:space="0" w:color="033636" w:themeColor="text2"/>
            </w:tcBorders>
            <w:tcMar>
              <w:top w:w="113" w:type="dxa"/>
              <w:left w:w="113" w:type="dxa"/>
              <w:bottom w:w="113" w:type="dxa"/>
              <w:right w:w="113" w:type="dxa"/>
            </w:tcMar>
            <w:vAlign w:val="center"/>
          </w:tcPr>
          <w:p w14:paraId="25F63DB9" w14:textId="77777777" w:rsidR="00037B2F" w:rsidRDefault="00037B2F" w:rsidP="00037B2F">
            <w:pPr>
              <w:pStyle w:val="CDIFigure-Table-BodyTextLeft"/>
            </w:pPr>
            <w:r>
              <w:t>Multicomponent recombinant MenB vaccine catch-up for children aged 12–47 months (&lt; 4 years) ceased on 31 December 2019.</w:t>
            </w:r>
          </w:p>
        </w:tc>
      </w:tr>
      <w:tr w:rsidR="00037B2F" w14:paraId="49CD5246" w14:textId="77777777" w:rsidTr="00B21973">
        <w:trPr>
          <w:trHeight w:val="20"/>
        </w:trPr>
        <w:tc>
          <w:tcPr>
            <w:tcW w:w="850" w:type="dxa"/>
            <w:vMerge/>
            <w:shd w:val="clear" w:color="auto" w:fill="C5FFEF" w:themeFill="background2" w:themeFillTint="33"/>
          </w:tcPr>
          <w:p w14:paraId="1A6490E3" w14:textId="77777777" w:rsidR="00037B2F" w:rsidRDefault="00037B2F"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1F17222B" w14:textId="77777777" w:rsidR="00037B2F" w:rsidRDefault="00037B2F" w:rsidP="00037B2F">
            <w:pPr>
              <w:pStyle w:val="CDIFigure-Table-BodyTextLeft"/>
            </w:pPr>
            <w:r>
              <w:t>April</w:t>
            </w:r>
          </w:p>
        </w:tc>
        <w:tc>
          <w:tcPr>
            <w:tcW w:w="1474" w:type="dxa"/>
            <w:shd w:val="clear" w:color="auto" w:fill="F2F2F2" w:themeFill="background1" w:themeFillShade="F2"/>
            <w:tcMar>
              <w:top w:w="113" w:type="dxa"/>
              <w:left w:w="113" w:type="dxa"/>
              <w:bottom w:w="113" w:type="dxa"/>
              <w:right w:w="113" w:type="dxa"/>
            </w:tcMar>
            <w:vAlign w:val="center"/>
          </w:tcPr>
          <w:p w14:paraId="55868CF5" w14:textId="77777777" w:rsidR="00037B2F" w:rsidRDefault="00037B2F"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25DA7BD5" w14:textId="77777777" w:rsidR="00037B2F" w:rsidRDefault="00037B2F" w:rsidP="00037B2F">
            <w:pPr>
              <w:pStyle w:val="CDIFigure-Table-BodyTextLeft"/>
            </w:pPr>
            <w:r>
              <w:t>MenACWY conjugate vaccine funded under the NIP for adolescents aged 14–16 years delivered through a school-based program and adolescents aged 15–19 years delivered through primary care providers as part of an ongoing catch-up program.</w:t>
            </w:r>
          </w:p>
        </w:tc>
      </w:tr>
      <w:tr w:rsidR="00037B2F" w14:paraId="2B05483B" w14:textId="77777777" w:rsidTr="00351347">
        <w:trPr>
          <w:trHeight w:val="20"/>
        </w:trPr>
        <w:tc>
          <w:tcPr>
            <w:tcW w:w="850" w:type="dxa"/>
            <w:vMerge/>
            <w:shd w:val="clear" w:color="auto" w:fill="C5FFEF" w:themeFill="background2" w:themeFillTint="33"/>
          </w:tcPr>
          <w:p w14:paraId="64DA3499" w14:textId="77777777" w:rsidR="00037B2F" w:rsidRDefault="00037B2F" w:rsidP="00037B2F">
            <w:pPr>
              <w:pStyle w:val="CDIFigure-Table-BodyTextLeft"/>
            </w:pPr>
          </w:p>
        </w:tc>
        <w:tc>
          <w:tcPr>
            <w:tcW w:w="1474" w:type="dxa"/>
            <w:tcMar>
              <w:top w:w="113" w:type="dxa"/>
              <w:left w:w="113" w:type="dxa"/>
              <w:bottom w:w="113" w:type="dxa"/>
              <w:right w:w="113" w:type="dxa"/>
            </w:tcMar>
            <w:vAlign w:val="center"/>
          </w:tcPr>
          <w:p w14:paraId="2220C460" w14:textId="77777777" w:rsidR="00037B2F" w:rsidRDefault="00037B2F" w:rsidP="00037B2F">
            <w:pPr>
              <w:pStyle w:val="CDIFigure-Table-BodyTextLeft"/>
            </w:pPr>
            <w:r>
              <w:t>March</w:t>
            </w:r>
          </w:p>
        </w:tc>
        <w:tc>
          <w:tcPr>
            <w:tcW w:w="1474" w:type="dxa"/>
            <w:tcMar>
              <w:top w:w="113" w:type="dxa"/>
              <w:left w:w="113" w:type="dxa"/>
              <w:bottom w:w="113" w:type="dxa"/>
              <w:right w:w="113" w:type="dxa"/>
            </w:tcMar>
            <w:vAlign w:val="center"/>
          </w:tcPr>
          <w:p w14:paraId="5E1A54D7" w14:textId="77777777" w:rsidR="00037B2F" w:rsidRDefault="00037B2F" w:rsidP="00037B2F">
            <w:pPr>
              <w:pStyle w:val="CDIFigure-Table-BodyTextLeft"/>
            </w:pPr>
            <w:r>
              <w:t>NT</w:t>
            </w:r>
          </w:p>
        </w:tc>
        <w:tc>
          <w:tcPr>
            <w:tcW w:w="10545" w:type="dxa"/>
            <w:tcMar>
              <w:top w:w="113" w:type="dxa"/>
              <w:left w:w="113" w:type="dxa"/>
              <w:bottom w:w="113" w:type="dxa"/>
              <w:right w:w="113" w:type="dxa"/>
            </w:tcMar>
            <w:vAlign w:val="center"/>
          </w:tcPr>
          <w:p w14:paraId="33359E43" w14:textId="77777777" w:rsidR="00037B2F" w:rsidRDefault="00037B2F" w:rsidP="00037B2F">
            <w:pPr>
              <w:pStyle w:val="CDIFigure-Table-BodyTextLeft"/>
            </w:pPr>
            <w:r>
              <w:t>Annual seasonal influenza vaccination program funded for all children aged 6–59 months (&lt; 5 years).</w:t>
            </w:r>
          </w:p>
        </w:tc>
      </w:tr>
      <w:tr w:rsidR="006E1954" w14:paraId="1504C8CC" w14:textId="77777777" w:rsidTr="00351347">
        <w:trPr>
          <w:trHeight w:val="20"/>
        </w:trPr>
        <w:tc>
          <w:tcPr>
            <w:tcW w:w="850" w:type="dxa"/>
            <w:vMerge/>
            <w:shd w:val="clear" w:color="auto" w:fill="C5FFEF" w:themeFill="background2" w:themeFillTint="33"/>
          </w:tcPr>
          <w:p w14:paraId="33329F31" w14:textId="77777777" w:rsidR="006E1954" w:rsidRDefault="006E1954" w:rsidP="00037B2F">
            <w:pPr>
              <w:pStyle w:val="CDIFigure-Table-BodyTextLeft"/>
            </w:pPr>
          </w:p>
        </w:tc>
        <w:tc>
          <w:tcPr>
            <w:tcW w:w="1474" w:type="dxa"/>
            <w:vMerge w:val="restart"/>
            <w:shd w:val="clear" w:color="auto" w:fill="F2F2F2" w:themeFill="background1" w:themeFillShade="F2"/>
            <w:tcMar>
              <w:top w:w="113" w:type="dxa"/>
              <w:left w:w="113" w:type="dxa"/>
              <w:bottom w:w="113" w:type="dxa"/>
              <w:right w:w="113" w:type="dxa"/>
            </w:tcMar>
            <w:vAlign w:val="center"/>
          </w:tcPr>
          <w:p w14:paraId="3811D94B" w14:textId="63EE6A00" w:rsidR="006E1954" w:rsidRDefault="006E1954" w:rsidP="00037B2F">
            <w:pPr>
              <w:pStyle w:val="CDIFigure-Table-BodyTextLeft"/>
            </w:pPr>
            <w:r>
              <w:t>February</w:t>
            </w:r>
          </w:p>
        </w:tc>
        <w:tc>
          <w:tcPr>
            <w:tcW w:w="1474" w:type="dxa"/>
            <w:vMerge w:val="restart"/>
            <w:shd w:val="clear" w:color="auto" w:fill="F2F2F2" w:themeFill="background1" w:themeFillShade="F2"/>
            <w:tcMar>
              <w:top w:w="113" w:type="dxa"/>
              <w:left w:w="113" w:type="dxa"/>
              <w:bottom w:w="113" w:type="dxa"/>
              <w:right w:w="113" w:type="dxa"/>
            </w:tcMar>
            <w:vAlign w:val="center"/>
          </w:tcPr>
          <w:p w14:paraId="1FC9D875" w14:textId="123D5B19" w:rsidR="006E1954" w:rsidRDefault="006E1954"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1D81BB8D" w14:textId="724AB026" w:rsidR="006E1954" w:rsidRDefault="006E1954" w:rsidP="00037B2F">
            <w:pPr>
              <w:pStyle w:val="CDIFigure-Table-BodyTextLeft"/>
            </w:pPr>
            <w:r>
              <w:t xml:space="preserve">Annual seasonal influenza vaccination funded on the national childhood vaccination schedule for all Australian children aged 6–59 months </w:t>
            </w:r>
            <w:r w:rsidR="00B21973">
              <w:br/>
            </w:r>
            <w:r>
              <w:t>(&lt; 5 years).</w:t>
            </w:r>
          </w:p>
        </w:tc>
      </w:tr>
      <w:tr w:rsidR="006E1954" w14:paraId="5D6722B8" w14:textId="77777777" w:rsidTr="00006D10">
        <w:trPr>
          <w:trHeight w:val="20"/>
        </w:trPr>
        <w:tc>
          <w:tcPr>
            <w:tcW w:w="850" w:type="dxa"/>
            <w:vMerge/>
            <w:shd w:val="clear" w:color="auto" w:fill="C5FFEF" w:themeFill="background2" w:themeFillTint="33"/>
          </w:tcPr>
          <w:p w14:paraId="04B0DBC0" w14:textId="77777777" w:rsidR="006E1954" w:rsidRDefault="006E1954" w:rsidP="00037B2F">
            <w:pPr>
              <w:pStyle w:val="CDIFigure-Table-BodyTextLeft"/>
            </w:pPr>
          </w:p>
        </w:tc>
        <w:tc>
          <w:tcPr>
            <w:tcW w:w="1474" w:type="dxa"/>
            <w:vMerge/>
            <w:shd w:val="clear" w:color="auto" w:fill="F2F2F2" w:themeFill="background1" w:themeFillShade="F2"/>
            <w:tcMar>
              <w:top w:w="113" w:type="dxa"/>
              <w:left w:w="113" w:type="dxa"/>
              <w:bottom w:w="113" w:type="dxa"/>
              <w:right w:w="113" w:type="dxa"/>
            </w:tcMar>
            <w:vAlign w:val="center"/>
          </w:tcPr>
          <w:p w14:paraId="0FEAFFD6" w14:textId="2D990F58" w:rsidR="006E1954" w:rsidRDefault="006E1954" w:rsidP="00037B2F">
            <w:pPr>
              <w:pStyle w:val="CDIFigure-Table-BodyTextLeft"/>
            </w:pPr>
          </w:p>
        </w:tc>
        <w:tc>
          <w:tcPr>
            <w:tcW w:w="1474" w:type="dxa"/>
            <w:vMerge/>
            <w:shd w:val="clear" w:color="auto" w:fill="F2F2F2" w:themeFill="background1" w:themeFillShade="F2"/>
            <w:tcMar>
              <w:top w:w="113" w:type="dxa"/>
              <w:left w:w="113" w:type="dxa"/>
              <w:bottom w:w="113" w:type="dxa"/>
              <w:right w:w="113" w:type="dxa"/>
            </w:tcMar>
            <w:vAlign w:val="center"/>
          </w:tcPr>
          <w:p w14:paraId="4565793A" w14:textId="1B25BFD7" w:rsidR="006E1954" w:rsidRDefault="006E1954" w:rsidP="00037B2F">
            <w:pPr>
              <w:pStyle w:val="CDIFigure-Table-BodyTextLeft"/>
            </w:pPr>
          </w:p>
        </w:tc>
        <w:tc>
          <w:tcPr>
            <w:tcW w:w="10545" w:type="dxa"/>
            <w:shd w:val="clear" w:color="auto" w:fill="F2F2F2" w:themeFill="background1" w:themeFillShade="F2"/>
            <w:tcMar>
              <w:top w:w="113" w:type="dxa"/>
              <w:left w:w="113" w:type="dxa"/>
              <w:bottom w:w="113" w:type="dxa"/>
              <w:right w:w="113" w:type="dxa"/>
            </w:tcMar>
            <w:vAlign w:val="center"/>
          </w:tcPr>
          <w:p w14:paraId="529C9E06" w14:textId="77777777" w:rsidR="006E1954" w:rsidRDefault="006E1954" w:rsidP="00037B2F">
            <w:pPr>
              <w:pStyle w:val="CDIFigure-Table-BodyTextLeft"/>
            </w:pPr>
            <w:r>
              <w:t>Aboriginal and Torres Strait Islander children and adolescents aged 5–14 years of age funded for influenza vaccine under NIP.</w:t>
            </w:r>
          </w:p>
        </w:tc>
      </w:tr>
      <w:tr w:rsidR="00B21973" w14:paraId="409853C0" w14:textId="77777777" w:rsidTr="00006D10">
        <w:trPr>
          <w:trHeight w:val="20"/>
        </w:trPr>
        <w:tc>
          <w:tcPr>
            <w:tcW w:w="850"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8ABE52D" w14:textId="77777777" w:rsidR="00B21973" w:rsidRDefault="00B21973" w:rsidP="00351347">
            <w:pPr>
              <w:pStyle w:val="CDIFigure-Table-BodyTextLeft"/>
              <w:keepNext/>
              <w:keepLines/>
            </w:pPr>
            <w:r>
              <w:t>2018</w:t>
            </w:r>
          </w:p>
        </w:tc>
        <w:tc>
          <w:tcPr>
            <w:tcW w:w="1474" w:type="dxa"/>
            <w:tcMar>
              <w:top w:w="113" w:type="dxa"/>
              <w:left w:w="113" w:type="dxa"/>
              <w:bottom w:w="113" w:type="dxa"/>
              <w:right w:w="113" w:type="dxa"/>
            </w:tcMar>
            <w:vAlign w:val="center"/>
          </w:tcPr>
          <w:p w14:paraId="5583E49C" w14:textId="77777777" w:rsidR="00B21973" w:rsidRDefault="00B21973" w:rsidP="00351347">
            <w:pPr>
              <w:pStyle w:val="CDIFigure-Table-BodyTextLeft"/>
              <w:keepNext/>
              <w:keepLines/>
            </w:pPr>
            <w:r>
              <w:t>October</w:t>
            </w:r>
          </w:p>
        </w:tc>
        <w:tc>
          <w:tcPr>
            <w:tcW w:w="1474" w:type="dxa"/>
            <w:tcMar>
              <w:top w:w="113" w:type="dxa"/>
              <w:left w:w="113" w:type="dxa"/>
              <w:bottom w:w="113" w:type="dxa"/>
              <w:right w:w="113" w:type="dxa"/>
            </w:tcMar>
            <w:vAlign w:val="center"/>
          </w:tcPr>
          <w:p w14:paraId="3FE618C7" w14:textId="77777777" w:rsidR="00B21973" w:rsidRDefault="00B21973" w:rsidP="00351347">
            <w:pPr>
              <w:pStyle w:val="CDIFigure-Table-BodyTextLeft"/>
              <w:keepNext/>
              <w:keepLines/>
            </w:pPr>
            <w:r>
              <w:t>SA</w:t>
            </w:r>
          </w:p>
        </w:tc>
        <w:tc>
          <w:tcPr>
            <w:tcW w:w="10545" w:type="dxa"/>
            <w:tcMar>
              <w:top w:w="113" w:type="dxa"/>
              <w:left w:w="113" w:type="dxa"/>
              <w:bottom w:w="113" w:type="dxa"/>
              <w:right w:w="113" w:type="dxa"/>
            </w:tcMar>
            <w:vAlign w:val="center"/>
          </w:tcPr>
          <w:p w14:paraId="7951578A" w14:textId="77777777" w:rsidR="00B21973" w:rsidRDefault="00B21973" w:rsidP="00351347">
            <w:pPr>
              <w:pStyle w:val="CDIFigure-Table-BodyTextLeft"/>
              <w:keepNext/>
              <w:keepLines/>
            </w:pPr>
            <w:r>
              <w:t>Multicomponent recombinant MenB vaccine funded for children 6 weeks to 12 months of age, with catch-up for children aged 12–47 months (&lt; 4 years).</w:t>
            </w:r>
          </w:p>
        </w:tc>
      </w:tr>
      <w:tr w:rsidR="00B21973" w14:paraId="58238ACA"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1DA0DE56" w14:textId="77777777" w:rsidR="00B21973" w:rsidRDefault="00B21973" w:rsidP="00351347">
            <w:pPr>
              <w:pStyle w:val="CDIFigure-Table-BodyTextLeft"/>
              <w:keepNext/>
            </w:pPr>
          </w:p>
        </w:tc>
        <w:tc>
          <w:tcPr>
            <w:tcW w:w="1474" w:type="dxa"/>
            <w:vMerge w:val="restart"/>
            <w:shd w:val="clear" w:color="auto" w:fill="F2F2F2" w:themeFill="background1" w:themeFillShade="F2"/>
            <w:tcMar>
              <w:top w:w="113" w:type="dxa"/>
              <w:left w:w="113" w:type="dxa"/>
              <w:bottom w:w="113" w:type="dxa"/>
              <w:right w:w="113" w:type="dxa"/>
            </w:tcMar>
            <w:vAlign w:val="center"/>
          </w:tcPr>
          <w:p w14:paraId="3F7E3C92" w14:textId="3F02E54D" w:rsidR="00B21973" w:rsidRDefault="00B21973" w:rsidP="00351347">
            <w:pPr>
              <w:pStyle w:val="CDIFigure-Table-BodyTextLeft"/>
              <w:keepNext/>
            </w:pPr>
            <w:r>
              <w:t>July</w:t>
            </w:r>
          </w:p>
        </w:tc>
        <w:tc>
          <w:tcPr>
            <w:tcW w:w="1474" w:type="dxa"/>
            <w:vMerge w:val="restart"/>
            <w:shd w:val="clear" w:color="auto" w:fill="F2F2F2" w:themeFill="background1" w:themeFillShade="F2"/>
            <w:tcMar>
              <w:top w:w="113" w:type="dxa"/>
              <w:left w:w="113" w:type="dxa"/>
              <w:bottom w:w="113" w:type="dxa"/>
              <w:right w:w="113" w:type="dxa"/>
            </w:tcMar>
            <w:vAlign w:val="center"/>
          </w:tcPr>
          <w:p w14:paraId="68E670C6" w14:textId="24391E38" w:rsidR="00B21973" w:rsidRDefault="00B21973" w:rsidP="00351347">
            <w:pPr>
              <w:pStyle w:val="CDIFigure-Table-BodyTextLeft"/>
              <w:keepNext/>
            </w:pPr>
            <w:r>
              <w:t>All</w:t>
            </w:r>
          </w:p>
        </w:tc>
        <w:tc>
          <w:tcPr>
            <w:tcW w:w="10545" w:type="dxa"/>
            <w:shd w:val="clear" w:color="auto" w:fill="F2F2F2" w:themeFill="background1" w:themeFillShade="F2"/>
            <w:tcMar>
              <w:top w:w="113" w:type="dxa"/>
              <w:left w:w="113" w:type="dxa"/>
              <w:bottom w:w="113" w:type="dxa"/>
              <w:right w:w="113" w:type="dxa"/>
            </w:tcMar>
            <w:vAlign w:val="center"/>
          </w:tcPr>
          <w:p w14:paraId="6B813D8F" w14:textId="0277C9B1" w:rsidR="00B21973" w:rsidRDefault="00B21973" w:rsidP="00351347">
            <w:pPr>
              <w:pStyle w:val="CDIFigure-Table-BodyTextLeft"/>
              <w:keepNext/>
            </w:pPr>
            <w:r>
              <w:t>MenACWY conjugate vaccine funded for all children at 12 months of age, replacing Hib-MenC.</w:t>
            </w:r>
          </w:p>
        </w:tc>
      </w:tr>
      <w:tr w:rsidR="00B21973" w14:paraId="504E31C3"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4A34F597" w14:textId="77777777" w:rsidR="00B21973" w:rsidRDefault="00B21973" w:rsidP="00351347">
            <w:pPr>
              <w:pStyle w:val="CDIFigure-Table-BodyTextLeft"/>
              <w:keepNext/>
            </w:pPr>
          </w:p>
        </w:tc>
        <w:tc>
          <w:tcPr>
            <w:tcW w:w="1474" w:type="dxa"/>
            <w:vMerge/>
            <w:shd w:val="clear" w:color="auto" w:fill="F2F2F2" w:themeFill="background1" w:themeFillShade="F2"/>
            <w:tcMar>
              <w:top w:w="113" w:type="dxa"/>
              <w:left w:w="113" w:type="dxa"/>
              <w:bottom w:w="113" w:type="dxa"/>
              <w:right w:w="113" w:type="dxa"/>
            </w:tcMar>
            <w:vAlign w:val="center"/>
          </w:tcPr>
          <w:p w14:paraId="6CBE7A32" w14:textId="028EE564" w:rsidR="00B21973" w:rsidRDefault="00B21973" w:rsidP="00351347">
            <w:pPr>
              <w:pStyle w:val="CDIFigure-Table-BodyTextLeft"/>
              <w:keepNext/>
            </w:pPr>
          </w:p>
        </w:tc>
        <w:tc>
          <w:tcPr>
            <w:tcW w:w="1474" w:type="dxa"/>
            <w:vMerge/>
            <w:shd w:val="clear" w:color="auto" w:fill="F2F2F2" w:themeFill="background1" w:themeFillShade="F2"/>
            <w:tcMar>
              <w:top w:w="113" w:type="dxa"/>
              <w:left w:w="113" w:type="dxa"/>
              <w:bottom w:w="113" w:type="dxa"/>
              <w:right w:w="113" w:type="dxa"/>
            </w:tcMar>
            <w:vAlign w:val="center"/>
          </w:tcPr>
          <w:p w14:paraId="6262AFEC" w14:textId="4B48001C" w:rsidR="00B21973" w:rsidRDefault="00B21973" w:rsidP="00351347">
            <w:pPr>
              <w:pStyle w:val="CDIFigure-Table-BodyTextLeft"/>
              <w:keepNext/>
            </w:pPr>
          </w:p>
        </w:tc>
        <w:tc>
          <w:tcPr>
            <w:tcW w:w="10545" w:type="dxa"/>
            <w:shd w:val="clear" w:color="auto" w:fill="F2F2F2" w:themeFill="background1" w:themeFillShade="F2"/>
            <w:tcMar>
              <w:top w:w="113" w:type="dxa"/>
              <w:left w:w="113" w:type="dxa"/>
              <w:bottom w:w="113" w:type="dxa"/>
              <w:right w:w="113" w:type="dxa"/>
            </w:tcMar>
            <w:vAlign w:val="center"/>
          </w:tcPr>
          <w:p w14:paraId="7F03CFF7" w14:textId="76973C0E" w:rsidR="00B21973" w:rsidRDefault="00B21973" w:rsidP="00351347">
            <w:pPr>
              <w:pStyle w:val="CDIFigure-Table-BodyTextLeft"/>
              <w:keepNext/>
            </w:pPr>
            <w:r>
              <w:t>Hib dose moved to 18 months and given as monovalent Hib vaccine.</w:t>
            </w:r>
          </w:p>
        </w:tc>
      </w:tr>
      <w:tr w:rsidR="00B21973" w14:paraId="4DBC2015"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2ED1C817" w14:textId="77777777" w:rsidR="00B21973" w:rsidRDefault="00B21973" w:rsidP="00351347">
            <w:pPr>
              <w:pStyle w:val="CDIFigure-Table-BodyTextLeft"/>
              <w:keepNext/>
            </w:pPr>
          </w:p>
        </w:tc>
        <w:tc>
          <w:tcPr>
            <w:tcW w:w="1474" w:type="dxa"/>
            <w:vMerge/>
            <w:shd w:val="clear" w:color="auto" w:fill="F2F2F2" w:themeFill="background1" w:themeFillShade="F2"/>
            <w:tcMar>
              <w:top w:w="113" w:type="dxa"/>
              <w:left w:w="113" w:type="dxa"/>
              <w:bottom w:w="113" w:type="dxa"/>
              <w:right w:w="113" w:type="dxa"/>
            </w:tcMar>
            <w:vAlign w:val="center"/>
          </w:tcPr>
          <w:p w14:paraId="40F5DDF1" w14:textId="21F09E0A" w:rsidR="00B21973" w:rsidRDefault="00B21973" w:rsidP="00351347">
            <w:pPr>
              <w:pStyle w:val="CDIFigure-Table-BodyTextLeft"/>
              <w:keepNext/>
            </w:pPr>
          </w:p>
        </w:tc>
        <w:tc>
          <w:tcPr>
            <w:tcW w:w="1474" w:type="dxa"/>
            <w:vMerge/>
            <w:shd w:val="clear" w:color="auto" w:fill="F2F2F2" w:themeFill="background1" w:themeFillShade="F2"/>
            <w:tcMar>
              <w:top w:w="113" w:type="dxa"/>
              <w:left w:w="113" w:type="dxa"/>
              <w:bottom w:w="113" w:type="dxa"/>
              <w:right w:w="113" w:type="dxa"/>
            </w:tcMar>
            <w:vAlign w:val="center"/>
          </w:tcPr>
          <w:p w14:paraId="33503A3F" w14:textId="37DAF3F8" w:rsidR="00B21973" w:rsidRDefault="00B21973" w:rsidP="00351347">
            <w:pPr>
              <w:pStyle w:val="CDIFigure-Table-BodyTextLeft"/>
              <w:keepNext/>
            </w:pPr>
          </w:p>
        </w:tc>
        <w:tc>
          <w:tcPr>
            <w:tcW w:w="10545" w:type="dxa"/>
            <w:shd w:val="clear" w:color="auto" w:fill="F2F2F2" w:themeFill="background1" w:themeFillShade="F2"/>
            <w:tcMar>
              <w:top w:w="113" w:type="dxa"/>
              <w:left w:w="113" w:type="dxa"/>
              <w:bottom w:w="113" w:type="dxa"/>
              <w:right w:w="113" w:type="dxa"/>
            </w:tcMar>
            <w:vAlign w:val="center"/>
          </w:tcPr>
          <w:p w14:paraId="3D06ECED" w14:textId="77777777" w:rsidR="00B21973" w:rsidRDefault="00B21973" w:rsidP="00351347">
            <w:pPr>
              <w:pStyle w:val="CDIFigure-Table-BodyTextLeft"/>
              <w:keepNext/>
            </w:pPr>
            <w:r>
              <w:t>Schedule for routine childhood vaccination with 13vPCV changed from 2, 4 and 6 months of age to 2, 4 and 12 months of age.</w:t>
            </w:r>
          </w:p>
        </w:tc>
      </w:tr>
      <w:tr w:rsidR="00B21973" w14:paraId="396DA699"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45279341" w14:textId="77777777" w:rsidR="00B21973" w:rsidRDefault="00B21973" w:rsidP="00037B2F">
            <w:pPr>
              <w:pStyle w:val="CDIFigure-Table-BodyTextLeft"/>
            </w:pPr>
          </w:p>
        </w:tc>
        <w:tc>
          <w:tcPr>
            <w:tcW w:w="1474" w:type="dxa"/>
            <w:tcMar>
              <w:top w:w="113" w:type="dxa"/>
              <w:left w:w="113" w:type="dxa"/>
              <w:bottom w:w="113" w:type="dxa"/>
              <w:right w:w="113" w:type="dxa"/>
            </w:tcMar>
            <w:vAlign w:val="center"/>
          </w:tcPr>
          <w:p w14:paraId="1A490559" w14:textId="77777777" w:rsidR="00B21973" w:rsidRDefault="00B21973" w:rsidP="00351347">
            <w:pPr>
              <w:pStyle w:val="CDIFigure-Table-BodyTextLeft"/>
              <w:keepNext/>
            </w:pPr>
            <w:r>
              <w:t>April</w:t>
            </w:r>
          </w:p>
        </w:tc>
        <w:tc>
          <w:tcPr>
            <w:tcW w:w="1474" w:type="dxa"/>
            <w:tcMar>
              <w:top w:w="113" w:type="dxa"/>
              <w:left w:w="113" w:type="dxa"/>
              <w:bottom w:w="113" w:type="dxa"/>
              <w:right w:w="113" w:type="dxa"/>
            </w:tcMar>
            <w:vAlign w:val="center"/>
          </w:tcPr>
          <w:p w14:paraId="7E5EEDE9" w14:textId="77777777" w:rsidR="00B21973" w:rsidRDefault="00B21973" w:rsidP="00037B2F">
            <w:pPr>
              <w:pStyle w:val="CDIFigure-Table-BodyTextLeft"/>
            </w:pPr>
            <w:r>
              <w:t>All</w:t>
            </w:r>
          </w:p>
        </w:tc>
        <w:tc>
          <w:tcPr>
            <w:tcW w:w="10545" w:type="dxa"/>
            <w:tcMar>
              <w:top w:w="113" w:type="dxa"/>
              <w:left w:w="113" w:type="dxa"/>
              <w:bottom w:w="113" w:type="dxa"/>
              <w:right w:w="113" w:type="dxa"/>
            </w:tcMar>
            <w:vAlign w:val="center"/>
          </w:tcPr>
          <w:p w14:paraId="1ADA07E5" w14:textId="77777777" w:rsidR="00B21973" w:rsidRDefault="00B21973" w:rsidP="00037B2F">
            <w:pPr>
              <w:pStyle w:val="CDIFigure-Table-BodyTextLeft"/>
            </w:pPr>
            <w:r>
              <w:t>Enhanced trivalent influenza vaccines (high-dose and adjuvanted) funded nationally for all adults aged 65+ years.</w:t>
            </w:r>
          </w:p>
        </w:tc>
      </w:tr>
      <w:tr w:rsidR="00B21973" w14:paraId="18C183C3"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3E9CFD38" w14:textId="77777777" w:rsidR="00B21973" w:rsidRDefault="00B21973"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27AB2BAE" w14:textId="77777777" w:rsidR="00B21973" w:rsidRDefault="00B21973" w:rsidP="00037B2F">
            <w:pPr>
              <w:pStyle w:val="CDIFigure-Table-BodyTextLeft"/>
            </w:pPr>
            <w:r>
              <w:t>April</w:t>
            </w:r>
          </w:p>
        </w:tc>
        <w:tc>
          <w:tcPr>
            <w:tcW w:w="1474" w:type="dxa"/>
            <w:shd w:val="clear" w:color="auto" w:fill="F2F2F2" w:themeFill="background1" w:themeFillShade="F2"/>
            <w:tcMar>
              <w:top w:w="113" w:type="dxa"/>
              <w:left w:w="113" w:type="dxa"/>
              <w:bottom w:w="113" w:type="dxa"/>
              <w:right w:w="113" w:type="dxa"/>
            </w:tcMar>
            <w:vAlign w:val="center"/>
          </w:tcPr>
          <w:p w14:paraId="6CB77FFC" w14:textId="77777777" w:rsidR="00B21973" w:rsidRDefault="00B21973" w:rsidP="00037B2F">
            <w:pPr>
              <w:pStyle w:val="CDIFigure-Table-BodyTextLeft"/>
            </w:pPr>
            <w:r>
              <w:t>ACT, NSW, Qld, SA, Tas., Vic.</w:t>
            </w:r>
          </w:p>
        </w:tc>
        <w:tc>
          <w:tcPr>
            <w:tcW w:w="10545" w:type="dxa"/>
            <w:shd w:val="clear" w:color="auto" w:fill="F2F2F2" w:themeFill="background1" w:themeFillShade="F2"/>
            <w:tcMar>
              <w:top w:w="113" w:type="dxa"/>
              <w:left w:w="113" w:type="dxa"/>
              <w:bottom w:w="113" w:type="dxa"/>
              <w:right w:w="113" w:type="dxa"/>
            </w:tcMar>
            <w:vAlign w:val="center"/>
          </w:tcPr>
          <w:p w14:paraId="56B5D537" w14:textId="77777777" w:rsidR="00B21973" w:rsidRDefault="00B21973" w:rsidP="00037B2F">
            <w:pPr>
              <w:pStyle w:val="CDIFigure-Table-BodyTextLeft"/>
            </w:pPr>
            <w:r>
              <w:t>Annual seasonal influenza vaccination funded for all children aged 6–59 months (&lt; 5 years).</w:t>
            </w:r>
          </w:p>
        </w:tc>
      </w:tr>
      <w:tr w:rsidR="00B21973" w14:paraId="18412FC3"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52E88F14" w14:textId="77777777" w:rsidR="00B21973" w:rsidRDefault="00B21973" w:rsidP="00037B2F">
            <w:pPr>
              <w:pStyle w:val="CDIFigure-Table-BodyTextLeft"/>
            </w:pPr>
          </w:p>
        </w:tc>
        <w:tc>
          <w:tcPr>
            <w:tcW w:w="1474" w:type="dxa"/>
            <w:tcMar>
              <w:top w:w="113" w:type="dxa"/>
              <w:left w:w="113" w:type="dxa"/>
              <w:bottom w:w="113" w:type="dxa"/>
              <w:right w:w="113" w:type="dxa"/>
            </w:tcMar>
            <w:vAlign w:val="center"/>
          </w:tcPr>
          <w:p w14:paraId="3EC5D7CB" w14:textId="77777777" w:rsidR="00B21973" w:rsidRDefault="00B21973" w:rsidP="00037B2F">
            <w:pPr>
              <w:pStyle w:val="CDIFigure-Table-BodyTextLeft"/>
            </w:pPr>
            <w:r>
              <w:t>April</w:t>
            </w:r>
          </w:p>
        </w:tc>
        <w:tc>
          <w:tcPr>
            <w:tcW w:w="1474" w:type="dxa"/>
            <w:tcMar>
              <w:top w:w="113" w:type="dxa"/>
              <w:left w:w="113" w:type="dxa"/>
              <w:bottom w:w="113" w:type="dxa"/>
              <w:right w:w="113" w:type="dxa"/>
            </w:tcMar>
            <w:vAlign w:val="center"/>
          </w:tcPr>
          <w:p w14:paraId="46F4654E" w14:textId="77777777" w:rsidR="00B21973" w:rsidRDefault="00B21973" w:rsidP="00037B2F">
            <w:pPr>
              <w:pStyle w:val="CDIFigure-Table-BodyTextLeft"/>
            </w:pPr>
            <w:r>
              <w:t>SA</w:t>
            </w:r>
          </w:p>
        </w:tc>
        <w:tc>
          <w:tcPr>
            <w:tcW w:w="10545" w:type="dxa"/>
            <w:tcMar>
              <w:top w:w="113" w:type="dxa"/>
              <w:left w:w="113" w:type="dxa"/>
              <w:bottom w:w="113" w:type="dxa"/>
              <w:right w:w="113" w:type="dxa"/>
            </w:tcMar>
            <w:vAlign w:val="center"/>
          </w:tcPr>
          <w:p w14:paraId="28DF4405" w14:textId="77777777" w:rsidR="00B21973" w:rsidRDefault="00B21973" w:rsidP="00037B2F">
            <w:pPr>
              <w:pStyle w:val="CDIFigure-Table-BodyTextLeft"/>
            </w:pPr>
            <w:r>
              <w:t>MenACWY conjugate vaccine funded for Aboriginal and Torres Strait Islander children and adolescents aged 12 months to 19 years living in the Eyre and Far North, and Flinders and Upper North regions.</w:t>
            </w:r>
          </w:p>
        </w:tc>
      </w:tr>
      <w:tr w:rsidR="00B21973" w14:paraId="5FA8D1BC" w14:textId="77777777" w:rsidTr="00006D10">
        <w:trPr>
          <w:trHeight w:val="20"/>
        </w:trPr>
        <w:tc>
          <w:tcPr>
            <w:tcW w:w="850" w:type="dxa"/>
            <w:vMerge/>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7D20B4F" w14:textId="77777777" w:rsidR="00B21973" w:rsidRDefault="00B21973"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70088367" w14:textId="77777777" w:rsidR="00B21973" w:rsidRDefault="00B21973" w:rsidP="00037B2F">
            <w:pPr>
              <w:pStyle w:val="CDIFigure-Table-BodyTextLeft"/>
            </w:pPr>
            <w:r>
              <w:t>February</w:t>
            </w:r>
          </w:p>
        </w:tc>
        <w:tc>
          <w:tcPr>
            <w:tcW w:w="1474" w:type="dxa"/>
            <w:shd w:val="clear" w:color="auto" w:fill="F2F2F2" w:themeFill="background1" w:themeFillShade="F2"/>
            <w:tcMar>
              <w:top w:w="113" w:type="dxa"/>
              <w:left w:w="113" w:type="dxa"/>
              <w:bottom w:w="113" w:type="dxa"/>
              <w:right w:w="113" w:type="dxa"/>
            </w:tcMar>
            <w:vAlign w:val="center"/>
          </w:tcPr>
          <w:p w14:paraId="11A5FEFB" w14:textId="77777777" w:rsidR="00B21973" w:rsidRDefault="00B21973" w:rsidP="00037B2F">
            <w:pPr>
              <w:pStyle w:val="CDIFigure-Table-BodyTextLeft"/>
            </w:pPr>
            <w:r>
              <w:t>ACT</w:t>
            </w:r>
          </w:p>
        </w:tc>
        <w:tc>
          <w:tcPr>
            <w:tcW w:w="10545" w:type="dxa"/>
            <w:shd w:val="clear" w:color="auto" w:fill="F2F2F2" w:themeFill="background1" w:themeFillShade="F2"/>
            <w:tcMar>
              <w:top w:w="113" w:type="dxa"/>
              <w:left w:w="113" w:type="dxa"/>
              <w:bottom w:w="113" w:type="dxa"/>
              <w:right w:w="113" w:type="dxa"/>
            </w:tcMar>
            <w:vAlign w:val="center"/>
          </w:tcPr>
          <w:p w14:paraId="2833A0B4" w14:textId="77777777" w:rsidR="00B21973" w:rsidRDefault="00B21973" w:rsidP="00037B2F">
            <w:pPr>
              <w:pStyle w:val="CDIFigure-Table-BodyTextLeft"/>
            </w:pPr>
            <w:r>
              <w:t>MenACWY conjugate vaccine funded for grade 10 students and persons aged 16–19 years who no longer attend school.</w:t>
            </w:r>
          </w:p>
        </w:tc>
      </w:tr>
      <w:tr w:rsidR="00B21973" w14:paraId="61EFA372"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6A8309E9" w14:textId="77777777" w:rsidR="00B21973" w:rsidRDefault="00B21973" w:rsidP="00037B2F">
            <w:pPr>
              <w:pStyle w:val="CDIFigure-Table-BodyTextLeft"/>
            </w:pPr>
          </w:p>
        </w:tc>
        <w:tc>
          <w:tcPr>
            <w:tcW w:w="1474" w:type="dxa"/>
            <w:tcMar>
              <w:top w:w="113" w:type="dxa"/>
              <w:left w:w="113" w:type="dxa"/>
              <w:bottom w:w="113" w:type="dxa"/>
              <w:right w:w="113" w:type="dxa"/>
            </w:tcMar>
            <w:vAlign w:val="center"/>
          </w:tcPr>
          <w:p w14:paraId="40203012" w14:textId="77777777" w:rsidR="00B21973" w:rsidRDefault="00B21973" w:rsidP="00037B2F">
            <w:pPr>
              <w:pStyle w:val="CDIFigure-Table-BodyTextLeft"/>
            </w:pPr>
            <w:r>
              <w:t>February</w:t>
            </w:r>
          </w:p>
        </w:tc>
        <w:tc>
          <w:tcPr>
            <w:tcW w:w="1474" w:type="dxa"/>
            <w:tcMar>
              <w:top w:w="113" w:type="dxa"/>
              <w:left w:w="113" w:type="dxa"/>
              <w:bottom w:w="113" w:type="dxa"/>
              <w:right w:w="113" w:type="dxa"/>
            </w:tcMar>
            <w:vAlign w:val="center"/>
          </w:tcPr>
          <w:p w14:paraId="2DE1091E" w14:textId="77777777" w:rsidR="00B21973" w:rsidRDefault="00B21973" w:rsidP="00037B2F">
            <w:pPr>
              <w:pStyle w:val="CDIFigure-Table-BodyTextLeft"/>
            </w:pPr>
            <w:r>
              <w:t>All</w:t>
            </w:r>
          </w:p>
        </w:tc>
        <w:tc>
          <w:tcPr>
            <w:tcW w:w="10545" w:type="dxa"/>
            <w:tcMar>
              <w:top w:w="113" w:type="dxa"/>
              <w:left w:w="113" w:type="dxa"/>
              <w:bottom w:w="113" w:type="dxa"/>
              <w:right w:w="113" w:type="dxa"/>
            </w:tcMar>
            <w:vAlign w:val="center"/>
          </w:tcPr>
          <w:p w14:paraId="2D2790ED" w14:textId="77777777" w:rsidR="00B21973" w:rsidRDefault="00B21973" w:rsidP="00037B2F">
            <w:pPr>
              <w:pStyle w:val="CDIFigure-Table-BodyTextLeft"/>
            </w:pPr>
            <w:r>
              <w:t>A two-dose schedule of 9vHPV funded for adolescents aged 12–14 years, delivered through a school-based program; 4vHPV ceased to be used in the program.</w:t>
            </w:r>
          </w:p>
        </w:tc>
      </w:tr>
      <w:tr w:rsidR="00B21973" w14:paraId="1D2FA54B"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415E33F7" w14:textId="77777777" w:rsidR="00B21973" w:rsidRDefault="00B21973"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55FC659E" w14:textId="77777777" w:rsidR="00B21973" w:rsidRDefault="00B21973" w:rsidP="00037B2F">
            <w:pPr>
              <w:pStyle w:val="CDIFigure-Table-BodyTextLeft"/>
            </w:pPr>
            <w:r>
              <w:t>January</w:t>
            </w:r>
          </w:p>
        </w:tc>
        <w:tc>
          <w:tcPr>
            <w:tcW w:w="1474" w:type="dxa"/>
            <w:shd w:val="clear" w:color="auto" w:fill="F2F2F2" w:themeFill="background1" w:themeFillShade="F2"/>
            <w:tcMar>
              <w:top w:w="113" w:type="dxa"/>
              <w:left w:w="113" w:type="dxa"/>
              <w:bottom w:w="113" w:type="dxa"/>
              <w:right w:w="113" w:type="dxa"/>
            </w:tcMar>
            <w:vAlign w:val="center"/>
          </w:tcPr>
          <w:p w14:paraId="4ED344E6" w14:textId="77777777" w:rsidR="00B21973" w:rsidRDefault="00B21973" w:rsidP="00037B2F">
            <w:pPr>
              <w:pStyle w:val="CDIFigure-Table-BodyTextLeft"/>
            </w:pPr>
            <w:r>
              <w:t>WA</w:t>
            </w:r>
          </w:p>
        </w:tc>
        <w:tc>
          <w:tcPr>
            <w:tcW w:w="10545" w:type="dxa"/>
            <w:shd w:val="clear" w:color="auto" w:fill="F2F2F2" w:themeFill="background1" w:themeFillShade="F2"/>
            <w:tcMar>
              <w:top w:w="113" w:type="dxa"/>
              <w:left w:w="113" w:type="dxa"/>
              <w:bottom w:w="113" w:type="dxa"/>
              <w:right w:w="113" w:type="dxa"/>
            </w:tcMar>
            <w:vAlign w:val="center"/>
          </w:tcPr>
          <w:p w14:paraId="1A0717FB" w14:textId="77777777" w:rsidR="00B21973" w:rsidRDefault="00B21973" w:rsidP="00037B2F">
            <w:pPr>
              <w:pStyle w:val="CDIFigure-Table-BodyTextLeft"/>
            </w:pPr>
            <w:r>
              <w:t xml:space="preserve">MenACWY conjugate vaccine funded for children aged </w:t>
            </w:r>
            <w:proofErr w:type="spellStart"/>
            <w:r>
              <w:t>aged</w:t>
            </w:r>
            <w:proofErr w:type="spellEnd"/>
            <w:r>
              <w:t xml:space="preserve"> 12–59 months (&lt; 5 years).</w:t>
            </w:r>
          </w:p>
        </w:tc>
      </w:tr>
      <w:tr w:rsidR="00B21973" w14:paraId="7077C590" w14:textId="77777777" w:rsidTr="00006D10">
        <w:trPr>
          <w:trHeight w:val="20"/>
        </w:trPr>
        <w:tc>
          <w:tcPr>
            <w:tcW w:w="850" w:type="dxa"/>
            <w:vMerge/>
            <w:tcBorders>
              <w:bottom w:val="single" w:sz="6" w:space="0" w:color="033636" w:themeColor="text2"/>
            </w:tcBorders>
            <w:shd w:val="clear" w:color="auto" w:fill="C5FFEF" w:themeFill="background2" w:themeFillTint="33"/>
          </w:tcPr>
          <w:p w14:paraId="47E4EF0F" w14:textId="77777777" w:rsidR="00B21973" w:rsidRDefault="00B21973" w:rsidP="00037B2F">
            <w:pPr>
              <w:pStyle w:val="CDIFigure-Table-BodyTextLeft"/>
            </w:pPr>
          </w:p>
        </w:tc>
        <w:tc>
          <w:tcPr>
            <w:tcW w:w="1474" w:type="dxa"/>
            <w:tcBorders>
              <w:bottom w:val="single" w:sz="6" w:space="0" w:color="033636" w:themeColor="text2"/>
            </w:tcBorders>
            <w:tcMar>
              <w:top w:w="113" w:type="dxa"/>
              <w:left w:w="113" w:type="dxa"/>
              <w:bottom w:w="113" w:type="dxa"/>
              <w:right w:w="113" w:type="dxa"/>
            </w:tcMar>
            <w:vAlign w:val="center"/>
          </w:tcPr>
          <w:p w14:paraId="34B3F0DC" w14:textId="77777777" w:rsidR="00B21973" w:rsidRDefault="00B21973" w:rsidP="00037B2F">
            <w:pPr>
              <w:pStyle w:val="CDIFigure-Table-BodyTextLeft"/>
            </w:pPr>
            <w:r>
              <w:t>January</w:t>
            </w:r>
          </w:p>
        </w:tc>
        <w:tc>
          <w:tcPr>
            <w:tcW w:w="1474" w:type="dxa"/>
            <w:tcBorders>
              <w:bottom w:val="single" w:sz="6" w:space="0" w:color="033636" w:themeColor="text2"/>
            </w:tcBorders>
            <w:tcMar>
              <w:top w:w="113" w:type="dxa"/>
              <w:left w:w="113" w:type="dxa"/>
              <w:bottom w:w="113" w:type="dxa"/>
              <w:right w:w="113" w:type="dxa"/>
            </w:tcMar>
            <w:vAlign w:val="center"/>
          </w:tcPr>
          <w:p w14:paraId="762BFCAA" w14:textId="77777777" w:rsidR="00B21973" w:rsidRDefault="00B21973" w:rsidP="00037B2F">
            <w:pPr>
              <w:pStyle w:val="CDIFigure-Table-BodyTextLeft"/>
            </w:pPr>
            <w:r>
              <w:t>NSW</w:t>
            </w:r>
          </w:p>
        </w:tc>
        <w:tc>
          <w:tcPr>
            <w:tcW w:w="10545" w:type="dxa"/>
            <w:tcBorders>
              <w:bottom w:val="single" w:sz="6" w:space="0" w:color="033636" w:themeColor="text2"/>
            </w:tcBorders>
            <w:tcMar>
              <w:top w:w="113" w:type="dxa"/>
              <w:left w:w="113" w:type="dxa"/>
              <w:bottom w:w="113" w:type="dxa"/>
              <w:right w:w="113" w:type="dxa"/>
            </w:tcMar>
            <w:vAlign w:val="center"/>
          </w:tcPr>
          <w:p w14:paraId="1088F04F" w14:textId="77777777" w:rsidR="00B21973" w:rsidRDefault="00B21973" w:rsidP="00037B2F">
            <w:pPr>
              <w:pStyle w:val="CDIFigure-Table-BodyTextLeft"/>
            </w:pPr>
            <w:r>
              <w:t>MenACWY school-based vaccination program funded for all secondary school students in Years 10 and 11, as well as adolescents aged 15 to 19 years who have not received the vaccine at school.</w:t>
            </w:r>
          </w:p>
        </w:tc>
      </w:tr>
      <w:tr w:rsidR="00037B2F" w14:paraId="63D2B6D9" w14:textId="77777777" w:rsidTr="00006D10">
        <w:trPr>
          <w:trHeight w:val="20"/>
        </w:trPr>
        <w:tc>
          <w:tcPr>
            <w:tcW w:w="850" w:type="dxa"/>
            <w:vMerge w:val="restart"/>
            <w:tcBorders>
              <w:top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DE30E5D" w14:textId="77777777" w:rsidR="00037B2F" w:rsidRDefault="00037B2F" w:rsidP="00037B2F">
            <w:pPr>
              <w:pStyle w:val="CDIFigure-Table-BodyTextLeft"/>
            </w:pPr>
            <w:r>
              <w:t>2017</w:t>
            </w:r>
          </w:p>
        </w:tc>
        <w:tc>
          <w:tcPr>
            <w:tcW w:w="147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AAD2BC" w14:textId="77777777" w:rsidR="00037B2F" w:rsidRDefault="00037B2F" w:rsidP="00037B2F">
            <w:pPr>
              <w:pStyle w:val="CDIFigure-Table-BodyTextLeft"/>
            </w:pPr>
            <w:r>
              <w:t>January to December</w:t>
            </w:r>
          </w:p>
        </w:tc>
        <w:tc>
          <w:tcPr>
            <w:tcW w:w="1474"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63650B" w14:textId="77777777" w:rsidR="00037B2F" w:rsidRDefault="00037B2F" w:rsidP="00037B2F">
            <w:pPr>
              <w:pStyle w:val="CDIFigure-Table-BodyTextLeft"/>
            </w:pPr>
            <w:r>
              <w:t>Tas., Vic., WA</w:t>
            </w:r>
          </w:p>
        </w:tc>
        <w:tc>
          <w:tcPr>
            <w:tcW w:w="10545" w:type="dxa"/>
            <w:tcBorders>
              <w:top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E281C4D" w14:textId="0A65ED14" w:rsidR="00037B2F" w:rsidRDefault="00037B2F" w:rsidP="00037B2F">
            <w:pPr>
              <w:pStyle w:val="CDIFigure-Table-BodyTextLeft"/>
            </w:pPr>
            <w:r>
              <w:t xml:space="preserve">MenACWY conjugate vaccine funded for grade 10–12 </w:t>
            </w:r>
            <w:proofErr w:type="spellStart"/>
            <w:r>
              <w:t>students</w:t>
            </w:r>
            <w:r>
              <w:rPr>
                <w:rStyle w:val="Superscript"/>
              </w:rPr>
              <w:t>c</w:t>
            </w:r>
            <w:proofErr w:type="spellEnd"/>
          </w:p>
        </w:tc>
      </w:tr>
      <w:tr w:rsidR="00037B2F" w14:paraId="5068E2B1" w14:textId="77777777" w:rsidTr="00006D10">
        <w:trPr>
          <w:trHeight w:val="20"/>
        </w:trPr>
        <w:tc>
          <w:tcPr>
            <w:tcW w:w="850" w:type="dxa"/>
            <w:vMerge/>
            <w:tcBorders>
              <w:top w:val="single" w:sz="4" w:space="0" w:color="033636" w:themeColor="text2"/>
              <w:bottom w:val="single" w:sz="6" w:space="0" w:color="033636" w:themeColor="text2"/>
            </w:tcBorders>
            <w:shd w:val="clear" w:color="auto" w:fill="C5FFEF" w:themeFill="background2" w:themeFillTint="33"/>
          </w:tcPr>
          <w:p w14:paraId="25BD8CDC" w14:textId="77777777" w:rsidR="00037B2F" w:rsidRDefault="00037B2F" w:rsidP="00037B2F">
            <w:pPr>
              <w:pStyle w:val="CDIFigure-Table-BodyTextLeft"/>
            </w:pPr>
          </w:p>
        </w:tc>
        <w:tc>
          <w:tcPr>
            <w:tcW w:w="1474" w:type="dxa"/>
            <w:tcMar>
              <w:top w:w="113" w:type="dxa"/>
              <w:left w:w="113" w:type="dxa"/>
              <w:bottom w:w="113" w:type="dxa"/>
              <w:right w:w="113" w:type="dxa"/>
            </w:tcMar>
            <w:vAlign w:val="center"/>
          </w:tcPr>
          <w:p w14:paraId="73D18838" w14:textId="77777777" w:rsidR="00037B2F" w:rsidRDefault="00037B2F" w:rsidP="00037B2F">
            <w:pPr>
              <w:pStyle w:val="CDIFigure-Table-BodyTextLeft"/>
            </w:pPr>
          </w:p>
        </w:tc>
        <w:tc>
          <w:tcPr>
            <w:tcW w:w="1474" w:type="dxa"/>
            <w:tcMar>
              <w:top w:w="113" w:type="dxa"/>
              <w:left w:w="113" w:type="dxa"/>
              <w:bottom w:w="113" w:type="dxa"/>
              <w:right w:w="113" w:type="dxa"/>
            </w:tcMar>
            <w:vAlign w:val="center"/>
          </w:tcPr>
          <w:p w14:paraId="4863C44E" w14:textId="77777777" w:rsidR="00037B2F" w:rsidRDefault="00037B2F" w:rsidP="00037B2F">
            <w:pPr>
              <w:pStyle w:val="CDIFigure-Table-BodyTextLeft"/>
            </w:pPr>
            <w:r>
              <w:t>NSW</w:t>
            </w:r>
          </w:p>
        </w:tc>
        <w:tc>
          <w:tcPr>
            <w:tcW w:w="10545" w:type="dxa"/>
            <w:tcMar>
              <w:top w:w="113" w:type="dxa"/>
              <w:left w:w="113" w:type="dxa"/>
              <w:bottom w:w="113" w:type="dxa"/>
              <w:right w:w="113" w:type="dxa"/>
            </w:tcMar>
            <w:vAlign w:val="center"/>
          </w:tcPr>
          <w:p w14:paraId="366EB6D5" w14:textId="0344C7C6" w:rsidR="00037B2F" w:rsidRDefault="00037B2F" w:rsidP="00037B2F">
            <w:pPr>
              <w:pStyle w:val="CDIFigure-Table-BodyTextLeft"/>
            </w:pPr>
            <w:r>
              <w:t xml:space="preserve">MenACWY conjugate vaccine funded for grade 11–12 </w:t>
            </w:r>
            <w:proofErr w:type="spellStart"/>
            <w:r>
              <w:t>students</w:t>
            </w:r>
            <w:r>
              <w:rPr>
                <w:rStyle w:val="Superscript"/>
              </w:rPr>
              <w:t>c</w:t>
            </w:r>
            <w:proofErr w:type="spellEnd"/>
          </w:p>
        </w:tc>
      </w:tr>
      <w:tr w:rsidR="00037B2F" w14:paraId="0297B283" w14:textId="77777777" w:rsidTr="00006D10">
        <w:trPr>
          <w:trHeight w:val="20"/>
        </w:trPr>
        <w:tc>
          <w:tcPr>
            <w:tcW w:w="850" w:type="dxa"/>
            <w:vMerge/>
            <w:tcBorders>
              <w:top w:val="single" w:sz="4" w:space="0" w:color="033636" w:themeColor="text2"/>
              <w:bottom w:val="single" w:sz="6" w:space="0" w:color="033636" w:themeColor="text2"/>
            </w:tcBorders>
            <w:shd w:val="clear" w:color="auto" w:fill="C5FFEF" w:themeFill="background2" w:themeFillTint="33"/>
          </w:tcPr>
          <w:p w14:paraId="62CD8DEB" w14:textId="77777777" w:rsidR="00037B2F" w:rsidRDefault="00037B2F"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02CA669D" w14:textId="77777777" w:rsidR="00037B2F" w:rsidRDefault="00037B2F"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29CF3A47" w14:textId="77777777" w:rsidR="00037B2F" w:rsidRDefault="00037B2F" w:rsidP="00037B2F">
            <w:pPr>
              <w:pStyle w:val="CDIFigure-Table-BodyTextLeft"/>
            </w:pPr>
            <w:r>
              <w:t>Qld</w:t>
            </w:r>
          </w:p>
        </w:tc>
        <w:tc>
          <w:tcPr>
            <w:tcW w:w="10545" w:type="dxa"/>
            <w:shd w:val="clear" w:color="auto" w:fill="F2F2F2" w:themeFill="background1" w:themeFillShade="F2"/>
            <w:tcMar>
              <w:top w:w="113" w:type="dxa"/>
              <w:left w:w="113" w:type="dxa"/>
              <w:bottom w:w="113" w:type="dxa"/>
              <w:right w:w="113" w:type="dxa"/>
            </w:tcMar>
            <w:vAlign w:val="center"/>
          </w:tcPr>
          <w:p w14:paraId="0DFB73D7" w14:textId="00B0B08E" w:rsidR="00037B2F" w:rsidRDefault="00037B2F" w:rsidP="00037B2F">
            <w:pPr>
              <w:pStyle w:val="CDIFigure-Table-BodyTextLeft"/>
            </w:pPr>
            <w:r>
              <w:t xml:space="preserve">MenACWY conjugate vaccine funded for grade 10 students and persons aged 15–19 years who no longer attend </w:t>
            </w:r>
            <w:proofErr w:type="spellStart"/>
            <w:r>
              <w:t>school</w:t>
            </w:r>
            <w:r>
              <w:rPr>
                <w:rStyle w:val="Superscript"/>
              </w:rPr>
              <w:t>c</w:t>
            </w:r>
            <w:proofErr w:type="spellEnd"/>
          </w:p>
        </w:tc>
      </w:tr>
      <w:tr w:rsidR="00037B2F" w14:paraId="57426E79" w14:textId="77777777" w:rsidTr="00006D10">
        <w:trPr>
          <w:trHeight w:val="20"/>
        </w:trPr>
        <w:tc>
          <w:tcPr>
            <w:tcW w:w="850" w:type="dxa"/>
            <w:vMerge/>
            <w:tcBorders>
              <w:top w:val="single" w:sz="4" w:space="0" w:color="033636" w:themeColor="text2"/>
              <w:bottom w:val="single" w:sz="6" w:space="0" w:color="033636" w:themeColor="text2"/>
            </w:tcBorders>
            <w:shd w:val="clear" w:color="auto" w:fill="C5FFEF" w:themeFill="background2" w:themeFillTint="33"/>
          </w:tcPr>
          <w:p w14:paraId="10A7EFEF" w14:textId="77777777" w:rsidR="00037B2F" w:rsidRDefault="00037B2F" w:rsidP="00037B2F">
            <w:pPr>
              <w:pStyle w:val="CDIFigure-Table-BodyTextLeft"/>
            </w:pPr>
          </w:p>
        </w:tc>
        <w:tc>
          <w:tcPr>
            <w:tcW w:w="1474" w:type="dxa"/>
            <w:tcMar>
              <w:top w:w="113" w:type="dxa"/>
              <w:left w:w="113" w:type="dxa"/>
              <w:bottom w:w="113" w:type="dxa"/>
              <w:right w:w="113" w:type="dxa"/>
            </w:tcMar>
            <w:vAlign w:val="center"/>
          </w:tcPr>
          <w:p w14:paraId="15AC5AFA" w14:textId="77777777" w:rsidR="00037B2F" w:rsidRDefault="00037B2F" w:rsidP="00037B2F">
            <w:pPr>
              <w:pStyle w:val="CDIFigure-Table-BodyTextLeft"/>
            </w:pPr>
          </w:p>
        </w:tc>
        <w:tc>
          <w:tcPr>
            <w:tcW w:w="1474" w:type="dxa"/>
            <w:tcMar>
              <w:top w:w="113" w:type="dxa"/>
              <w:left w:w="113" w:type="dxa"/>
              <w:bottom w:w="113" w:type="dxa"/>
              <w:right w:w="113" w:type="dxa"/>
            </w:tcMar>
            <w:vAlign w:val="center"/>
          </w:tcPr>
          <w:p w14:paraId="102AE750" w14:textId="77777777" w:rsidR="00037B2F" w:rsidRDefault="00037B2F" w:rsidP="00037B2F">
            <w:pPr>
              <w:pStyle w:val="CDIFigure-Table-BodyTextLeft"/>
            </w:pPr>
            <w:r>
              <w:t>NT</w:t>
            </w:r>
          </w:p>
        </w:tc>
        <w:tc>
          <w:tcPr>
            <w:tcW w:w="10545" w:type="dxa"/>
            <w:tcMar>
              <w:top w:w="113" w:type="dxa"/>
              <w:left w:w="113" w:type="dxa"/>
              <w:bottom w:w="113" w:type="dxa"/>
              <w:right w:w="113" w:type="dxa"/>
            </w:tcMar>
            <w:vAlign w:val="center"/>
          </w:tcPr>
          <w:p w14:paraId="58F8AE45" w14:textId="1571DEDB" w:rsidR="00037B2F" w:rsidRDefault="00037B2F" w:rsidP="00037B2F">
            <w:pPr>
              <w:pStyle w:val="CDIFigure-Table-BodyTextLeft"/>
            </w:pPr>
            <w:r>
              <w:t xml:space="preserve">MenACWY conjugate vaccine funded for at-risk people aged 1–19 years living in specified remote regions and all children aged 12 </w:t>
            </w:r>
            <w:proofErr w:type="spellStart"/>
            <w:r>
              <w:t>months</w:t>
            </w:r>
            <w:r>
              <w:rPr>
                <w:rStyle w:val="Superscript"/>
              </w:rPr>
              <w:t>c</w:t>
            </w:r>
            <w:proofErr w:type="spellEnd"/>
          </w:p>
        </w:tc>
      </w:tr>
      <w:tr w:rsidR="00037B2F" w14:paraId="536FFF56" w14:textId="77777777" w:rsidTr="00006D10">
        <w:trPr>
          <w:trHeight w:val="20"/>
        </w:trPr>
        <w:tc>
          <w:tcPr>
            <w:tcW w:w="850" w:type="dxa"/>
            <w:vMerge/>
            <w:tcBorders>
              <w:top w:val="single" w:sz="4" w:space="0" w:color="033636" w:themeColor="text2"/>
              <w:bottom w:val="single" w:sz="6" w:space="0" w:color="033636" w:themeColor="text2"/>
            </w:tcBorders>
            <w:shd w:val="clear" w:color="auto" w:fill="C5FFEF" w:themeFill="background2" w:themeFillTint="33"/>
          </w:tcPr>
          <w:p w14:paraId="2A94F6E5" w14:textId="77777777" w:rsidR="00037B2F" w:rsidRDefault="00037B2F" w:rsidP="00037B2F">
            <w:pPr>
              <w:pStyle w:val="CDIFigure-Table-BodyTextLeft"/>
            </w:pPr>
          </w:p>
        </w:tc>
        <w:tc>
          <w:tcPr>
            <w:tcW w:w="1474"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FD067FD" w14:textId="77777777" w:rsidR="00037B2F" w:rsidRDefault="00037B2F" w:rsidP="00037B2F">
            <w:pPr>
              <w:pStyle w:val="CDIFigure-Table-BodyTextLeft"/>
            </w:pPr>
            <w:r>
              <w:t>April</w:t>
            </w:r>
          </w:p>
        </w:tc>
        <w:tc>
          <w:tcPr>
            <w:tcW w:w="1474"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932229C" w14:textId="77777777" w:rsidR="00037B2F" w:rsidRDefault="00037B2F" w:rsidP="00037B2F">
            <w:pPr>
              <w:pStyle w:val="CDIFigure-Table-BodyTextLeft"/>
            </w:pPr>
            <w:r>
              <w:t>SA</w:t>
            </w:r>
          </w:p>
        </w:tc>
        <w:tc>
          <w:tcPr>
            <w:tcW w:w="10545"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366A25F" w14:textId="77777777" w:rsidR="00037B2F" w:rsidRDefault="00037B2F" w:rsidP="00037B2F">
            <w:pPr>
              <w:pStyle w:val="CDIFigure-Table-BodyTextLeft"/>
            </w:pPr>
            <w:r>
              <w:t>MenB vaccine study commenced for grade 10–12 students at participating schools.</w:t>
            </w:r>
          </w:p>
        </w:tc>
      </w:tr>
      <w:tr w:rsidR="00037B2F" w14:paraId="178FD59E" w14:textId="77777777" w:rsidTr="00006D10">
        <w:trPr>
          <w:trHeight w:val="20"/>
        </w:trPr>
        <w:tc>
          <w:tcPr>
            <w:tcW w:w="850" w:type="dxa"/>
            <w:vMerge w:val="restart"/>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AA36481" w14:textId="77777777" w:rsidR="00037B2F" w:rsidRDefault="00037B2F" w:rsidP="00006D10">
            <w:pPr>
              <w:pStyle w:val="CDIFigure-Table-BodyTextLeft"/>
              <w:keepNext/>
            </w:pPr>
            <w:r>
              <w:lastRenderedPageBreak/>
              <w:t>2016</w:t>
            </w:r>
          </w:p>
        </w:tc>
        <w:tc>
          <w:tcPr>
            <w:tcW w:w="1474" w:type="dxa"/>
            <w:tcBorders>
              <w:top w:val="single" w:sz="6" w:space="0" w:color="033636" w:themeColor="text2"/>
            </w:tcBorders>
            <w:tcMar>
              <w:top w:w="113" w:type="dxa"/>
              <w:left w:w="113" w:type="dxa"/>
              <w:bottom w:w="113" w:type="dxa"/>
              <w:right w:w="113" w:type="dxa"/>
            </w:tcMar>
            <w:vAlign w:val="center"/>
          </w:tcPr>
          <w:p w14:paraId="39536FAC" w14:textId="77777777" w:rsidR="00037B2F" w:rsidRDefault="00037B2F" w:rsidP="00006D10">
            <w:pPr>
              <w:pStyle w:val="CDIFigure-Table-BodyTextLeft"/>
              <w:keepNext/>
            </w:pPr>
            <w:r>
              <w:t>November</w:t>
            </w:r>
          </w:p>
        </w:tc>
        <w:tc>
          <w:tcPr>
            <w:tcW w:w="1474" w:type="dxa"/>
            <w:tcBorders>
              <w:top w:val="single" w:sz="6" w:space="0" w:color="033636" w:themeColor="text2"/>
            </w:tcBorders>
            <w:tcMar>
              <w:top w:w="113" w:type="dxa"/>
              <w:left w:w="113" w:type="dxa"/>
              <w:bottom w:w="113" w:type="dxa"/>
              <w:right w:w="113" w:type="dxa"/>
            </w:tcMar>
            <w:vAlign w:val="center"/>
          </w:tcPr>
          <w:p w14:paraId="50EFE5E9" w14:textId="77777777" w:rsidR="00037B2F" w:rsidRDefault="00037B2F" w:rsidP="00006D10">
            <w:pPr>
              <w:pStyle w:val="CDIFigure-Table-BodyTextLeft"/>
              <w:keepNext/>
            </w:pPr>
            <w:r>
              <w:t>All</w:t>
            </w:r>
          </w:p>
        </w:tc>
        <w:tc>
          <w:tcPr>
            <w:tcW w:w="10545" w:type="dxa"/>
            <w:tcBorders>
              <w:top w:val="single" w:sz="6" w:space="0" w:color="033636" w:themeColor="text2"/>
            </w:tcBorders>
            <w:tcMar>
              <w:top w:w="113" w:type="dxa"/>
              <w:left w:w="113" w:type="dxa"/>
              <w:bottom w:w="113" w:type="dxa"/>
              <w:right w:w="113" w:type="dxa"/>
            </w:tcMar>
            <w:vAlign w:val="center"/>
          </w:tcPr>
          <w:p w14:paraId="1E53FFFA" w14:textId="77777777" w:rsidR="00037B2F" w:rsidRDefault="00037B2F" w:rsidP="00006D10">
            <w:pPr>
              <w:pStyle w:val="CDIFigure-Table-BodyTextLeft"/>
              <w:keepNext/>
            </w:pPr>
            <w:r>
              <w:t>Zoster vaccine (Zostavax) provided free for people aged 70 years under the NIP, with a five-year catch-up program for people aged 71–79 years.</w:t>
            </w:r>
          </w:p>
        </w:tc>
      </w:tr>
      <w:tr w:rsidR="00037B2F" w14:paraId="0242B6DB"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0402BFEE" w14:textId="77777777" w:rsidR="00037B2F" w:rsidRDefault="00037B2F" w:rsidP="00006D10">
            <w:pPr>
              <w:pStyle w:val="CDIFigure-Table-BodyTextLeft"/>
              <w:keepNext/>
            </w:pP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89C368" w14:textId="77777777" w:rsidR="00037B2F" w:rsidRDefault="00037B2F" w:rsidP="00006D10">
            <w:pPr>
              <w:pStyle w:val="CDIFigure-Table-BodyTextLeft"/>
              <w:keepNext/>
            </w:pPr>
            <w:r>
              <w:t>March</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1A6497" w14:textId="77777777" w:rsidR="00037B2F" w:rsidRDefault="00037B2F" w:rsidP="00006D10">
            <w:pPr>
              <w:pStyle w:val="CDIFigure-Table-BodyTextLeft"/>
              <w:keepNext/>
            </w:pPr>
            <w:r>
              <w:t>All</w:t>
            </w:r>
          </w:p>
        </w:tc>
        <w:tc>
          <w:tcPr>
            <w:tcW w:w="105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91DFC8" w14:textId="77777777" w:rsidR="00037B2F" w:rsidRDefault="00037B2F" w:rsidP="00006D10">
            <w:pPr>
              <w:pStyle w:val="CDIFigure-Table-BodyTextLeft"/>
              <w:keepNext/>
            </w:pPr>
            <w:r>
              <w:t xml:space="preserve">Free booster dose of </w:t>
            </w:r>
            <w:proofErr w:type="spellStart"/>
            <w:r>
              <w:t>DTPa</w:t>
            </w:r>
            <w:proofErr w:type="spellEnd"/>
            <w:r>
              <w:t xml:space="preserve"> at 18 months of age.</w:t>
            </w:r>
          </w:p>
        </w:tc>
      </w:tr>
      <w:tr w:rsidR="00037B2F" w14:paraId="7866F746"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46D8FB4" w14:textId="77777777" w:rsidR="00037B2F" w:rsidRDefault="00037B2F" w:rsidP="00037B2F">
            <w:pPr>
              <w:pStyle w:val="CDIFigure-Table-BodyTextLeft"/>
            </w:pPr>
            <w:r>
              <w:t>2015</w:t>
            </w:r>
          </w:p>
        </w:tc>
        <w:tc>
          <w:tcPr>
            <w:tcW w:w="1474" w:type="dxa"/>
            <w:tcBorders>
              <w:top w:val="single" w:sz="4" w:space="0" w:color="033636" w:themeColor="text2"/>
            </w:tcBorders>
            <w:tcMar>
              <w:top w:w="113" w:type="dxa"/>
              <w:left w:w="113" w:type="dxa"/>
              <w:bottom w:w="113" w:type="dxa"/>
              <w:right w:w="113" w:type="dxa"/>
            </w:tcMar>
            <w:vAlign w:val="center"/>
          </w:tcPr>
          <w:p w14:paraId="0A2EC350" w14:textId="77777777" w:rsidR="00037B2F" w:rsidRDefault="00037B2F" w:rsidP="00037B2F">
            <w:pPr>
              <w:pStyle w:val="CDIFigure-Table-BodyTextLeft"/>
            </w:pPr>
            <w:r>
              <w:t>March to June</w:t>
            </w:r>
          </w:p>
        </w:tc>
        <w:tc>
          <w:tcPr>
            <w:tcW w:w="1474" w:type="dxa"/>
            <w:tcBorders>
              <w:top w:val="single" w:sz="4" w:space="0" w:color="033636" w:themeColor="text2"/>
            </w:tcBorders>
            <w:tcMar>
              <w:top w:w="113" w:type="dxa"/>
              <w:left w:w="113" w:type="dxa"/>
              <w:bottom w:w="113" w:type="dxa"/>
              <w:right w:w="113" w:type="dxa"/>
            </w:tcMar>
            <w:vAlign w:val="center"/>
          </w:tcPr>
          <w:p w14:paraId="3F079327" w14:textId="77777777" w:rsidR="00037B2F" w:rsidRDefault="00037B2F" w:rsidP="00037B2F">
            <w:pPr>
              <w:pStyle w:val="CDIFigure-Table-BodyTextLeft"/>
            </w:pPr>
            <w:r>
              <w:t>ACT, NSW, SA, Tas., Vic., WA</w:t>
            </w:r>
          </w:p>
        </w:tc>
        <w:tc>
          <w:tcPr>
            <w:tcW w:w="10545" w:type="dxa"/>
            <w:tcBorders>
              <w:top w:val="single" w:sz="4" w:space="0" w:color="033636" w:themeColor="text2"/>
            </w:tcBorders>
            <w:tcMar>
              <w:top w:w="113" w:type="dxa"/>
              <w:left w:w="113" w:type="dxa"/>
              <w:bottom w:w="113" w:type="dxa"/>
              <w:right w:w="113" w:type="dxa"/>
            </w:tcMar>
            <w:vAlign w:val="center"/>
          </w:tcPr>
          <w:p w14:paraId="20A516C3" w14:textId="77777777" w:rsidR="00037B2F" w:rsidRDefault="00037B2F" w:rsidP="00037B2F">
            <w:pPr>
              <w:pStyle w:val="CDIFigure-Table-BodyTextLeft"/>
            </w:pPr>
            <w:r>
              <w:t>dTpa vaccine funded for women during the third trimester of pregnancy.</w:t>
            </w:r>
          </w:p>
        </w:tc>
      </w:tr>
      <w:tr w:rsidR="00037B2F" w14:paraId="2D2BE503"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212940BA" w14:textId="77777777" w:rsidR="00037B2F" w:rsidRDefault="00037B2F"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46A4E2A2" w14:textId="77777777" w:rsidR="00037B2F" w:rsidRDefault="00037B2F" w:rsidP="00037B2F">
            <w:pPr>
              <w:pStyle w:val="CDIFigure-Table-BodyTextLeft"/>
            </w:pPr>
            <w:r>
              <w:t>April</w:t>
            </w:r>
          </w:p>
        </w:tc>
        <w:tc>
          <w:tcPr>
            <w:tcW w:w="1474" w:type="dxa"/>
            <w:shd w:val="clear" w:color="auto" w:fill="F2F2F2" w:themeFill="background1" w:themeFillShade="F2"/>
            <w:tcMar>
              <w:top w:w="113" w:type="dxa"/>
              <w:left w:w="113" w:type="dxa"/>
              <w:bottom w:w="113" w:type="dxa"/>
              <w:right w:w="113" w:type="dxa"/>
            </w:tcMar>
            <w:vAlign w:val="center"/>
          </w:tcPr>
          <w:p w14:paraId="3E972A22" w14:textId="77777777" w:rsidR="00037B2F" w:rsidRDefault="00037B2F"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4838268E" w14:textId="77777777" w:rsidR="00037B2F" w:rsidRDefault="00037B2F" w:rsidP="00037B2F">
            <w:pPr>
              <w:pStyle w:val="CDIFigure-Table-BodyTextLeft"/>
            </w:pPr>
            <w:r>
              <w:t>New immunisation requirements for family assistance payments were announced by the federal government (the ‘No Jab, No Pay’ policy), to come into effect on 1 January 2016. Only parents of children (aged less than 20 years) who are ‘fully immunised’ or on a recognised catch-up schedule remain eligible to receive the Child Care Benefit, Child Care Rebate, and/or the Family Tax Benefit Part A end-of-year supplement.</w:t>
            </w:r>
          </w:p>
        </w:tc>
      </w:tr>
      <w:tr w:rsidR="00037B2F" w14:paraId="3302A47F" w14:textId="77777777" w:rsidTr="009E1284">
        <w:trPr>
          <w:trHeight w:val="20"/>
        </w:trPr>
        <w:tc>
          <w:tcPr>
            <w:tcW w:w="850" w:type="dxa"/>
            <w:vMerge/>
            <w:tcBorders>
              <w:top w:val="single" w:sz="4" w:space="0" w:color="033636" w:themeColor="text2"/>
              <w:bottom w:val="single" w:sz="4" w:space="0" w:color="033636" w:themeColor="text2"/>
            </w:tcBorders>
            <w:shd w:val="clear" w:color="auto" w:fill="C5FFEF" w:themeFill="background2" w:themeFillTint="33"/>
          </w:tcPr>
          <w:p w14:paraId="07FD6C40" w14:textId="77777777" w:rsidR="00037B2F" w:rsidRDefault="00037B2F" w:rsidP="00037B2F">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202E83A8" w14:textId="77777777" w:rsidR="00037B2F" w:rsidRDefault="00037B2F" w:rsidP="00037B2F">
            <w:pPr>
              <w:pStyle w:val="CDIFigure-Table-BodyTextLeft"/>
            </w:pPr>
            <w:r>
              <w:t>March</w:t>
            </w:r>
          </w:p>
        </w:tc>
        <w:tc>
          <w:tcPr>
            <w:tcW w:w="1474" w:type="dxa"/>
            <w:tcBorders>
              <w:bottom w:val="single" w:sz="4" w:space="0" w:color="033636" w:themeColor="text2"/>
            </w:tcBorders>
            <w:tcMar>
              <w:top w:w="113" w:type="dxa"/>
              <w:left w:w="113" w:type="dxa"/>
              <w:bottom w:w="113" w:type="dxa"/>
              <w:right w:w="113" w:type="dxa"/>
            </w:tcMar>
            <w:vAlign w:val="center"/>
          </w:tcPr>
          <w:p w14:paraId="337D848C" w14:textId="77777777" w:rsidR="00037B2F" w:rsidRDefault="00037B2F" w:rsidP="00037B2F">
            <w:pPr>
              <w:pStyle w:val="CDIFigure-Table-BodyTextLeft"/>
            </w:pPr>
            <w:r>
              <w:t>All</w:t>
            </w:r>
          </w:p>
        </w:tc>
        <w:tc>
          <w:tcPr>
            <w:tcW w:w="10545" w:type="dxa"/>
            <w:tcBorders>
              <w:bottom w:val="single" w:sz="4" w:space="0" w:color="033636" w:themeColor="text2"/>
            </w:tcBorders>
            <w:tcMar>
              <w:top w:w="113" w:type="dxa"/>
              <w:left w:w="113" w:type="dxa"/>
              <w:bottom w:w="113" w:type="dxa"/>
              <w:right w:w="113" w:type="dxa"/>
            </w:tcMar>
            <w:vAlign w:val="center"/>
          </w:tcPr>
          <w:p w14:paraId="7152B165" w14:textId="77777777" w:rsidR="00037B2F" w:rsidRDefault="00037B2F" w:rsidP="00037B2F">
            <w:pPr>
              <w:pStyle w:val="CDIFigure-Table-BodyTextLeft"/>
            </w:pPr>
            <w:r>
              <w:t>Seasonal influenza vaccine funded for Aboriginal and Torres Strait Islander children aged 6 months to less than 5 years.</w:t>
            </w:r>
          </w:p>
          <w:p w14:paraId="0C6C54EC" w14:textId="77777777" w:rsidR="00037B2F" w:rsidRDefault="00037B2F" w:rsidP="00037B2F">
            <w:pPr>
              <w:pStyle w:val="CDIFigure-Table-BodyTextLeft"/>
            </w:pPr>
            <w:r>
              <w:t xml:space="preserve">Booster dose of </w:t>
            </w:r>
            <w:proofErr w:type="spellStart"/>
            <w:r>
              <w:t>DTPa</w:t>
            </w:r>
            <w:proofErr w:type="spellEnd"/>
            <w:r>
              <w:t xml:space="preserve"> vaccine recommended at 18 months of age (funded in March 2016).</w:t>
            </w:r>
          </w:p>
        </w:tc>
      </w:tr>
      <w:tr w:rsidR="00037B2F" w14:paraId="4E8510FC"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76D6FE9" w14:textId="77777777" w:rsidR="00037B2F" w:rsidRDefault="00037B2F" w:rsidP="00037B2F">
            <w:pPr>
              <w:pStyle w:val="CDIFigure-Table-BodyTextLeft"/>
            </w:pPr>
            <w:r>
              <w:t>2014</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C6AF3F9" w14:textId="77777777" w:rsidR="00037B2F" w:rsidRDefault="00037B2F" w:rsidP="00037B2F">
            <w:pPr>
              <w:pStyle w:val="CDIFigure-Table-BodyTextLeft"/>
            </w:pPr>
            <w:r>
              <w:t>December</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E1E3F04" w14:textId="77777777" w:rsidR="00037B2F" w:rsidRDefault="00037B2F" w:rsidP="00037B2F">
            <w:pPr>
              <w:pStyle w:val="CDIFigure-Table-BodyTextLeft"/>
            </w:pPr>
            <w:r>
              <w:t>All</w:t>
            </w:r>
          </w:p>
        </w:tc>
        <w:tc>
          <w:tcPr>
            <w:tcW w:w="105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64790F" w14:textId="77777777" w:rsidR="00037B2F" w:rsidRDefault="00037B2F" w:rsidP="00037B2F">
            <w:pPr>
              <w:pStyle w:val="CDIFigure-Table-BodyTextLeft"/>
            </w:pPr>
            <w:r>
              <w:t>4vHPV vaccine catch-up program for males aged 14–15 years ceased.</w:t>
            </w:r>
          </w:p>
        </w:tc>
      </w:tr>
      <w:tr w:rsidR="00037B2F" w14:paraId="73B5F024"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61E979E6" w14:textId="77777777" w:rsidR="00037B2F" w:rsidRDefault="00037B2F" w:rsidP="00037B2F">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54F64B0A" w14:textId="77777777" w:rsidR="00037B2F" w:rsidRDefault="00037B2F" w:rsidP="00037B2F">
            <w:pPr>
              <w:pStyle w:val="CDIFigure-Table-BodyTextLeft"/>
            </w:pPr>
            <w:r>
              <w:t>July</w:t>
            </w:r>
          </w:p>
        </w:tc>
        <w:tc>
          <w:tcPr>
            <w:tcW w:w="1474" w:type="dxa"/>
            <w:tcBorders>
              <w:bottom w:val="single" w:sz="4" w:space="0" w:color="033636" w:themeColor="text2"/>
            </w:tcBorders>
            <w:tcMar>
              <w:top w:w="113" w:type="dxa"/>
              <w:left w:w="113" w:type="dxa"/>
              <w:bottom w:w="113" w:type="dxa"/>
              <w:right w:w="113" w:type="dxa"/>
            </w:tcMar>
            <w:vAlign w:val="center"/>
          </w:tcPr>
          <w:p w14:paraId="07A99A59" w14:textId="77777777" w:rsidR="00037B2F" w:rsidRDefault="00037B2F" w:rsidP="00037B2F">
            <w:pPr>
              <w:pStyle w:val="CDIFigure-Table-BodyTextLeft"/>
            </w:pPr>
            <w:r>
              <w:t>Qld</w:t>
            </w:r>
          </w:p>
        </w:tc>
        <w:tc>
          <w:tcPr>
            <w:tcW w:w="10545" w:type="dxa"/>
            <w:tcBorders>
              <w:bottom w:val="single" w:sz="4" w:space="0" w:color="033636" w:themeColor="text2"/>
            </w:tcBorders>
            <w:tcMar>
              <w:top w:w="113" w:type="dxa"/>
              <w:left w:w="113" w:type="dxa"/>
              <w:bottom w:w="113" w:type="dxa"/>
              <w:right w:w="113" w:type="dxa"/>
            </w:tcMar>
            <w:vAlign w:val="center"/>
          </w:tcPr>
          <w:p w14:paraId="10930866" w14:textId="77777777" w:rsidR="00037B2F" w:rsidRDefault="00037B2F" w:rsidP="00037B2F">
            <w:pPr>
              <w:pStyle w:val="CDIFigure-Table-BodyTextLeft"/>
            </w:pPr>
            <w:r>
              <w:t>dTpa vaccine was funded for women during the third trimester of pregnancy.</w:t>
            </w:r>
          </w:p>
        </w:tc>
      </w:tr>
      <w:tr w:rsidR="00B21973" w14:paraId="463B39B0"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5CA9309" w14:textId="77777777" w:rsidR="00B21973" w:rsidRDefault="00B21973" w:rsidP="00037B2F">
            <w:pPr>
              <w:pStyle w:val="CDIFigure-Table-BodyTextLeft"/>
            </w:pPr>
            <w:r>
              <w:t>2013</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7780C8" w14:textId="77777777" w:rsidR="00B21973" w:rsidRDefault="00B21973" w:rsidP="00037B2F">
            <w:pPr>
              <w:pStyle w:val="CDIFigure-Table-BodyTextLeft"/>
            </w:pPr>
            <w:r>
              <w:t>December</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E94618E" w14:textId="77777777" w:rsidR="00B21973" w:rsidRDefault="00B21973" w:rsidP="00037B2F">
            <w:pPr>
              <w:pStyle w:val="CDIFigure-Table-BodyTextLeft"/>
            </w:pPr>
            <w:r>
              <w:t>All</w:t>
            </w:r>
          </w:p>
        </w:tc>
        <w:tc>
          <w:tcPr>
            <w:tcW w:w="105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D6F69D0" w14:textId="77777777" w:rsidR="00B21973" w:rsidRDefault="00B21973" w:rsidP="00037B2F">
            <w:pPr>
              <w:pStyle w:val="CDIFigure-Table-BodyTextLeft"/>
            </w:pPr>
            <w:r>
              <w:t xml:space="preserve">Secondary school Year 7 </w:t>
            </w:r>
            <w:proofErr w:type="spellStart"/>
            <w:r>
              <w:t>HepB</w:t>
            </w:r>
            <w:proofErr w:type="spellEnd"/>
            <w:r>
              <w:t xml:space="preserve"> vaccine catch-up program ceased, as all younger age cohorts were eligible for infant immunisation under the NIP (commenced 2000).</w:t>
            </w:r>
          </w:p>
        </w:tc>
      </w:tr>
      <w:tr w:rsidR="00B21973" w14:paraId="7FC52B45" w14:textId="77777777" w:rsidTr="00B21973">
        <w:trPr>
          <w:trHeight w:val="20"/>
        </w:trPr>
        <w:tc>
          <w:tcPr>
            <w:tcW w:w="850" w:type="dxa"/>
            <w:vMerge/>
            <w:shd w:val="clear" w:color="auto" w:fill="C5FFEF" w:themeFill="background2" w:themeFillTint="33"/>
          </w:tcPr>
          <w:p w14:paraId="6920E8B5" w14:textId="77777777" w:rsidR="00B21973" w:rsidRDefault="00B21973" w:rsidP="00037B2F">
            <w:pPr>
              <w:pStyle w:val="CDIFigure-Table-BodyTextLeft"/>
            </w:pPr>
          </w:p>
        </w:tc>
        <w:tc>
          <w:tcPr>
            <w:tcW w:w="1474" w:type="dxa"/>
            <w:tcMar>
              <w:top w:w="113" w:type="dxa"/>
              <w:left w:w="113" w:type="dxa"/>
              <w:bottom w:w="113" w:type="dxa"/>
              <w:right w:w="113" w:type="dxa"/>
            </w:tcMar>
            <w:vAlign w:val="center"/>
          </w:tcPr>
          <w:p w14:paraId="2E8C4471" w14:textId="77777777" w:rsidR="00B21973" w:rsidRDefault="00B21973" w:rsidP="00037B2F">
            <w:pPr>
              <w:pStyle w:val="CDIFigure-Table-BodyTextLeft"/>
            </w:pPr>
            <w:r>
              <w:t>September</w:t>
            </w:r>
          </w:p>
        </w:tc>
        <w:tc>
          <w:tcPr>
            <w:tcW w:w="1474" w:type="dxa"/>
            <w:tcMar>
              <w:top w:w="113" w:type="dxa"/>
              <w:left w:w="113" w:type="dxa"/>
              <w:bottom w:w="113" w:type="dxa"/>
              <w:right w:w="113" w:type="dxa"/>
            </w:tcMar>
            <w:vAlign w:val="center"/>
          </w:tcPr>
          <w:p w14:paraId="562A70FA" w14:textId="77777777" w:rsidR="00B21973" w:rsidRDefault="00B21973" w:rsidP="00037B2F">
            <w:pPr>
              <w:pStyle w:val="CDIFigure-Table-BodyTextLeft"/>
            </w:pPr>
            <w:r>
              <w:t>NT</w:t>
            </w:r>
          </w:p>
        </w:tc>
        <w:tc>
          <w:tcPr>
            <w:tcW w:w="10545" w:type="dxa"/>
            <w:tcMar>
              <w:top w:w="113" w:type="dxa"/>
              <w:left w:w="113" w:type="dxa"/>
              <w:bottom w:w="113" w:type="dxa"/>
              <w:right w:w="113" w:type="dxa"/>
            </w:tcMar>
            <w:vAlign w:val="center"/>
          </w:tcPr>
          <w:p w14:paraId="353CFD10" w14:textId="77777777" w:rsidR="00B21973" w:rsidRDefault="00B21973" w:rsidP="00037B2F">
            <w:pPr>
              <w:pStyle w:val="CDIFigure-Table-BodyTextLeft"/>
            </w:pPr>
            <w:r>
              <w:t>dTpa vaccine funded for women during the third trimester of pregnancy and for parents of infants aged &lt; 7 months under cocoon strategy.</w:t>
            </w:r>
          </w:p>
        </w:tc>
      </w:tr>
      <w:tr w:rsidR="00B21973" w14:paraId="5AF58D8F" w14:textId="77777777" w:rsidTr="00B21973">
        <w:trPr>
          <w:trHeight w:val="20"/>
        </w:trPr>
        <w:tc>
          <w:tcPr>
            <w:tcW w:w="850" w:type="dxa"/>
            <w:vMerge/>
            <w:shd w:val="clear" w:color="auto" w:fill="C5FFEF" w:themeFill="background2" w:themeFillTint="33"/>
            <w:tcMar>
              <w:top w:w="113" w:type="dxa"/>
              <w:left w:w="113" w:type="dxa"/>
              <w:bottom w:w="113" w:type="dxa"/>
              <w:right w:w="113" w:type="dxa"/>
            </w:tcMar>
            <w:vAlign w:val="center"/>
          </w:tcPr>
          <w:p w14:paraId="05690A13" w14:textId="77777777" w:rsidR="00B21973" w:rsidRDefault="00B21973" w:rsidP="00037B2F">
            <w:pPr>
              <w:pStyle w:val="CDIFigure-Table-BodyTextLeft"/>
            </w:pPr>
          </w:p>
        </w:tc>
        <w:tc>
          <w:tcPr>
            <w:tcW w:w="1474" w:type="dxa"/>
            <w:vMerge w:val="restart"/>
            <w:shd w:val="clear" w:color="auto" w:fill="F2F2F2" w:themeFill="background1" w:themeFillShade="F2"/>
            <w:tcMar>
              <w:top w:w="113" w:type="dxa"/>
              <w:left w:w="113" w:type="dxa"/>
              <w:bottom w:w="113" w:type="dxa"/>
              <w:right w:w="113" w:type="dxa"/>
            </w:tcMar>
            <w:vAlign w:val="center"/>
          </w:tcPr>
          <w:p w14:paraId="29B43AF8" w14:textId="4224DA08" w:rsidR="00B21973" w:rsidRDefault="00B21973" w:rsidP="00037B2F">
            <w:pPr>
              <w:pStyle w:val="CDIFigure-Table-BodyTextLeft"/>
            </w:pPr>
            <w:r>
              <w:t>July</w:t>
            </w:r>
          </w:p>
        </w:tc>
        <w:tc>
          <w:tcPr>
            <w:tcW w:w="1474" w:type="dxa"/>
            <w:vMerge w:val="restart"/>
            <w:shd w:val="clear" w:color="auto" w:fill="F2F2F2" w:themeFill="background1" w:themeFillShade="F2"/>
            <w:tcMar>
              <w:top w:w="113" w:type="dxa"/>
              <w:left w:w="113" w:type="dxa"/>
              <w:bottom w:w="113" w:type="dxa"/>
              <w:right w:w="113" w:type="dxa"/>
            </w:tcMar>
            <w:vAlign w:val="center"/>
          </w:tcPr>
          <w:p w14:paraId="0246FB30" w14:textId="414D8895" w:rsidR="00B21973" w:rsidRDefault="00B21973"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781F11AA" w14:textId="7AD4DFFD" w:rsidR="00B21973" w:rsidRDefault="00B21973" w:rsidP="00037B2F">
            <w:pPr>
              <w:pStyle w:val="CDIFigure-Table-BodyTextLeft"/>
            </w:pPr>
            <w:r>
              <w:t>Second dose of MMR vaccine, previously given at 4 years, was brought forward to 18 months of age and delivered as MMRV vaccine.</w:t>
            </w:r>
          </w:p>
        </w:tc>
      </w:tr>
      <w:tr w:rsidR="00B21973" w14:paraId="6455CD54" w14:textId="77777777" w:rsidTr="00B21973">
        <w:trPr>
          <w:trHeight w:val="20"/>
        </w:trPr>
        <w:tc>
          <w:tcPr>
            <w:tcW w:w="850" w:type="dxa"/>
            <w:vMerge/>
            <w:shd w:val="clear" w:color="auto" w:fill="C5FFEF" w:themeFill="background2" w:themeFillTint="33"/>
            <w:tcMar>
              <w:top w:w="113" w:type="dxa"/>
              <w:left w:w="113" w:type="dxa"/>
              <w:bottom w:w="113" w:type="dxa"/>
              <w:right w:w="113" w:type="dxa"/>
            </w:tcMar>
            <w:vAlign w:val="center"/>
          </w:tcPr>
          <w:p w14:paraId="4A19FBD0" w14:textId="77777777" w:rsidR="00B21973" w:rsidRDefault="00B21973" w:rsidP="00037B2F">
            <w:pPr>
              <w:pStyle w:val="CDIFigure-Table-BodyTextLeft"/>
            </w:pPr>
          </w:p>
        </w:tc>
        <w:tc>
          <w:tcPr>
            <w:tcW w:w="1474" w:type="dxa"/>
            <w:vMerge/>
            <w:shd w:val="clear" w:color="auto" w:fill="F2F2F2" w:themeFill="background1" w:themeFillShade="F2"/>
            <w:tcMar>
              <w:top w:w="113" w:type="dxa"/>
              <w:left w:w="113" w:type="dxa"/>
              <w:bottom w:w="113" w:type="dxa"/>
              <w:right w:w="113" w:type="dxa"/>
            </w:tcMar>
            <w:vAlign w:val="center"/>
          </w:tcPr>
          <w:p w14:paraId="61DE3D3E" w14:textId="41039982" w:rsidR="00B21973" w:rsidRDefault="00B21973" w:rsidP="00037B2F">
            <w:pPr>
              <w:pStyle w:val="CDIFigure-Table-BodyTextLeft"/>
            </w:pPr>
          </w:p>
        </w:tc>
        <w:tc>
          <w:tcPr>
            <w:tcW w:w="1474" w:type="dxa"/>
            <w:vMerge/>
            <w:shd w:val="clear" w:color="auto" w:fill="F2F2F2" w:themeFill="background1" w:themeFillShade="F2"/>
            <w:tcMar>
              <w:top w:w="113" w:type="dxa"/>
              <w:left w:w="113" w:type="dxa"/>
              <w:bottom w:w="113" w:type="dxa"/>
              <w:right w:w="113" w:type="dxa"/>
            </w:tcMar>
            <w:vAlign w:val="center"/>
          </w:tcPr>
          <w:p w14:paraId="25E055D5" w14:textId="1BDE7C26" w:rsidR="00B21973" w:rsidRDefault="00B21973" w:rsidP="00037B2F">
            <w:pPr>
              <w:pStyle w:val="CDIFigure-Table-BodyTextLeft"/>
            </w:pPr>
          </w:p>
        </w:tc>
        <w:tc>
          <w:tcPr>
            <w:tcW w:w="10545" w:type="dxa"/>
            <w:shd w:val="clear" w:color="auto" w:fill="F2F2F2" w:themeFill="background1" w:themeFillShade="F2"/>
            <w:tcMar>
              <w:top w:w="113" w:type="dxa"/>
              <w:left w:w="113" w:type="dxa"/>
              <w:bottom w:w="113" w:type="dxa"/>
              <w:right w:w="113" w:type="dxa"/>
            </w:tcMar>
            <w:vAlign w:val="center"/>
          </w:tcPr>
          <w:p w14:paraId="6286B189" w14:textId="77777777" w:rsidR="00B21973" w:rsidRDefault="00B21973" w:rsidP="00037B2F">
            <w:pPr>
              <w:pStyle w:val="CDIFigure-Table-BodyTextLeft"/>
            </w:pPr>
            <w:r>
              <w:t xml:space="preserve">Combined Hib-MenC vaccine, </w:t>
            </w:r>
            <w:proofErr w:type="spellStart"/>
            <w:r>
              <w:t>Menitorix</w:t>
            </w:r>
            <w:proofErr w:type="spellEnd"/>
            <w:r>
              <w:t>, funded for infants aged 12 months. This combination vaccine replaced the single dose of monovalent MenC conjugate vaccine (</w:t>
            </w:r>
            <w:proofErr w:type="spellStart"/>
            <w:r>
              <w:t>MenCCV</w:t>
            </w:r>
            <w:proofErr w:type="spellEnd"/>
            <w:r>
              <w:t>) and booster dose of monovalent Hib vaccine previously scheduled at 12 months of age.</w:t>
            </w:r>
          </w:p>
        </w:tc>
      </w:tr>
      <w:tr w:rsidR="00B21973" w14:paraId="6AB85311"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4AB2F352" w14:textId="77777777" w:rsidR="00B21973" w:rsidRDefault="00B21973" w:rsidP="00037B2F">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4E2D6888" w14:textId="77777777" w:rsidR="00B21973" w:rsidRDefault="00B21973" w:rsidP="00037B2F">
            <w:pPr>
              <w:pStyle w:val="CDIFigure-Table-BodyTextLeft"/>
            </w:pPr>
            <w:r>
              <w:t>February</w:t>
            </w:r>
          </w:p>
        </w:tc>
        <w:tc>
          <w:tcPr>
            <w:tcW w:w="1474" w:type="dxa"/>
            <w:tcBorders>
              <w:bottom w:val="single" w:sz="4" w:space="0" w:color="033636" w:themeColor="text2"/>
            </w:tcBorders>
            <w:tcMar>
              <w:top w:w="113" w:type="dxa"/>
              <w:left w:w="113" w:type="dxa"/>
              <w:bottom w:w="113" w:type="dxa"/>
              <w:right w:w="113" w:type="dxa"/>
            </w:tcMar>
            <w:vAlign w:val="center"/>
          </w:tcPr>
          <w:p w14:paraId="3F0FF7C8" w14:textId="77777777" w:rsidR="00B21973" w:rsidRDefault="00B21973" w:rsidP="00037B2F">
            <w:pPr>
              <w:pStyle w:val="CDIFigure-Table-BodyTextLeft"/>
            </w:pPr>
            <w:r>
              <w:t>All</w:t>
            </w:r>
          </w:p>
        </w:tc>
        <w:tc>
          <w:tcPr>
            <w:tcW w:w="10545" w:type="dxa"/>
            <w:tcBorders>
              <w:bottom w:val="single" w:sz="4" w:space="0" w:color="033636" w:themeColor="text2"/>
            </w:tcBorders>
            <w:tcMar>
              <w:top w:w="113" w:type="dxa"/>
              <w:left w:w="113" w:type="dxa"/>
              <w:bottom w:w="113" w:type="dxa"/>
              <w:right w:w="113" w:type="dxa"/>
            </w:tcMar>
            <w:vAlign w:val="center"/>
          </w:tcPr>
          <w:p w14:paraId="62A18D58" w14:textId="77777777" w:rsidR="00B21973" w:rsidRDefault="00B21973" w:rsidP="00037B2F">
            <w:pPr>
              <w:pStyle w:val="CDIFigure-Table-BodyTextLeft"/>
            </w:pPr>
            <w:r>
              <w:t>4vHPV vaccine was extended to males aged 12–13 years, delivered through a school-based program, with a catch-up program for males aged 14–15 years in 2013 and 2014.</w:t>
            </w:r>
          </w:p>
        </w:tc>
      </w:tr>
      <w:tr w:rsidR="009E1284" w14:paraId="51628957" w14:textId="77777777" w:rsidTr="009E1284">
        <w:trPr>
          <w:trHeight w:val="20"/>
        </w:trPr>
        <w:tc>
          <w:tcPr>
            <w:tcW w:w="850"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C5794CF" w14:textId="77777777" w:rsidR="00037B2F" w:rsidRDefault="00037B2F" w:rsidP="00037B2F">
            <w:pPr>
              <w:pStyle w:val="CDIFigure-Table-BodyTextLeft"/>
            </w:pPr>
            <w:r>
              <w:t>2012</w:t>
            </w:r>
          </w:p>
        </w:tc>
        <w:tc>
          <w:tcPr>
            <w:tcW w:w="1474"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6F496AE" w14:textId="77777777" w:rsidR="00037B2F" w:rsidRDefault="00037B2F" w:rsidP="00037B2F">
            <w:pPr>
              <w:pStyle w:val="CDIFigure-Table-BodyTextLeft"/>
            </w:pPr>
            <w:r>
              <w:t>October</w:t>
            </w:r>
          </w:p>
        </w:tc>
        <w:tc>
          <w:tcPr>
            <w:tcW w:w="1474"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453DA4" w14:textId="77777777" w:rsidR="00037B2F" w:rsidRDefault="00037B2F" w:rsidP="00037B2F">
            <w:pPr>
              <w:pStyle w:val="CDIFigure-Table-BodyTextLeft"/>
            </w:pPr>
            <w:r>
              <w:t>NT, Qld, SA, WA</w:t>
            </w:r>
          </w:p>
        </w:tc>
        <w:tc>
          <w:tcPr>
            <w:tcW w:w="10545"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B5AB1C4" w14:textId="77777777" w:rsidR="00037B2F" w:rsidRDefault="00037B2F" w:rsidP="00037B2F">
            <w:pPr>
              <w:pStyle w:val="CDIFigure-Table-BodyTextLeft"/>
            </w:pPr>
            <w:r>
              <w:t>A fourth dose of Prevenar 13, (13vPCV, a 13-valent pneumococcal conjugate vaccine) was listed on the NIP for Indigenous children aged 12-18 months. This replaced the booster dose of Pneumovax23, (23vPPV, a 23-valent pneumococcal polysaccharide vaccine) administered between 18 and 24 months of age for Indigenous children from these jurisdictions.</w:t>
            </w:r>
          </w:p>
        </w:tc>
      </w:tr>
      <w:tr w:rsidR="00B21973" w14:paraId="4A53E98C"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2572CF1" w14:textId="4DA963E6" w:rsidR="00B21973" w:rsidRDefault="00B21973" w:rsidP="009E1284">
            <w:pPr>
              <w:pStyle w:val="CDIFigure-Table-BodyTextLeft"/>
              <w:keepNext/>
              <w:keepLines/>
            </w:pPr>
            <w:r>
              <w:lastRenderedPageBreak/>
              <w:t>2011</w:t>
            </w:r>
          </w:p>
        </w:tc>
        <w:tc>
          <w:tcPr>
            <w:tcW w:w="1474" w:type="dxa"/>
            <w:vMerge w:val="restart"/>
            <w:tcBorders>
              <w:top w:val="single" w:sz="4" w:space="0" w:color="033636" w:themeColor="text2"/>
            </w:tcBorders>
            <w:tcMar>
              <w:top w:w="113" w:type="dxa"/>
              <w:left w:w="113" w:type="dxa"/>
              <w:bottom w:w="113" w:type="dxa"/>
              <w:right w:w="113" w:type="dxa"/>
            </w:tcMar>
          </w:tcPr>
          <w:p w14:paraId="2563FE1B" w14:textId="09BF78D1" w:rsidR="00B21973" w:rsidRDefault="00B21973" w:rsidP="009E1284">
            <w:pPr>
              <w:pStyle w:val="CDIFigure-Table-BodyTextLeft"/>
              <w:keepNext/>
              <w:keepLines/>
            </w:pPr>
            <w:r w:rsidRPr="00A233AD">
              <w:t xml:space="preserve">March to </w:t>
            </w:r>
            <w:r>
              <w:t>December</w:t>
            </w:r>
          </w:p>
        </w:tc>
        <w:tc>
          <w:tcPr>
            <w:tcW w:w="1474" w:type="dxa"/>
            <w:vMerge w:val="restart"/>
            <w:tcBorders>
              <w:top w:val="single" w:sz="4" w:space="0" w:color="033636" w:themeColor="text2"/>
            </w:tcBorders>
            <w:tcMar>
              <w:top w:w="113" w:type="dxa"/>
              <w:left w:w="113" w:type="dxa"/>
              <w:bottom w:w="113" w:type="dxa"/>
              <w:right w:w="113" w:type="dxa"/>
            </w:tcMar>
            <w:vAlign w:val="center"/>
          </w:tcPr>
          <w:p w14:paraId="08182283" w14:textId="7BA108A2" w:rsidR="00B21973" w:rsidRDefault="00B21973" w:rsidP="009E1284">
            <w:pPr>
              <w:pStyle w:val="CDIFigure-Table-BodyTextLeft"/>
              <w:keepNext/>
              <w:keepLines/>
              <w:jc w:val="center"/>
            </w:pPr>
            <w:r w:rsidRPr="00A233AD">
              <w:t>All</w:t>
            </w:r>
          </w:p>
        </w:tc>
        <w:tc>
          <w:tcPr>
            <w:tcW w:w="10545" w:type="dxa"/>
            <w:tcBorders>
              <w:top w:val="single" w:sz="4" w:space="0" w:color="033636" w:themeColor="text2"/>
            </w:tcBorders>
            <w:tcMar>
              <w:top w:w="113" w:type="dxa"/>
              <w:left w:w="113" w:type="dxa"/>
              <w:bottom w:w="113" w:type="dxa"/>
              <w:right w:w="113" w:type="dxa"/>
            </w:tcMar>
            <w:vAlign w:val="center"/>
          </w:tcPr>
          <w:p w14:paraId="20F0A0C2" w14:textId="6BE26319" w:rsidR="00B21973" w:rsidRDefault="00B21973" w:rsidP="009E1284">
            <w:pPr>
              <w:pStyle w:val="CDIFigure-Table-BodyTextLeft"/>
              <w:keepNext/>
              <w:keepLines/>
            </w:pPr>
            <w:r>
              <w:t>25 March: TGA issued a recall of Batch N3336 of the 23 valent pneumococcal polysaccharide vaccine 23vPPV, Pneumovax 23.</w:t>
            </w:r>
          </w:p>
        </w:tc>
      </w:tr>
      <w:tr w:rsidR="00B21973" w14:paraId="0214FA06" w14:textId="77777777" w:rsidTr="00B21973">
        <w:trPr>
          <w:trHeight w:val="20"/>
        </w:trPr>
        <w:tc>
          <w:tcPr>
            <w:tcW w:w="850" w:type="dxa"/>
            <w:vMerge/>
            <w:shd w:val="clear" w:color="auto" w:fill="C5FFEF" w:themeFill="background2" w:themeFillTint="33"/>
            <w:tcMar>
              <w:top w:w="113" w:type="dxa"/>
              <w:left w:w="113" w:type="dxa"/>
              <w:bottom w:w="113" w:type="dxa"/>
              <w:right w:w="113" w:type="dxa"/>
            </w:tcMar>
            <w:vAlign w:val="center"/>
          </w:tcPr>
          <w:p w14:paraId="390B0850" w14:textId="6A580449" w:rsidR="00B21973" w:rsidRDefault="00B21973" w:rsidP="00037B2F">
            <w:pPr>
              <w:pStyle w:val="CDIFigure-Table-BodyTextLeft"/>
            </w:pPr>
          </w:p>
        </w:tc>
        <w:tc>
          <w:tcPr>
            <w:tcW w:w="1474" w:type="dxa"/>
            <w:vMerge/>
            <w:tcMar>
              <w:top w:w="113" w:type="dxa"/>
              <w:left w:w="113" w:type="dxa"/>
              <w:bottom w:w="113" w:type="dxa"/>
              <w:right w:w="113" w:type="dxa"/>
            </w:tcMar>
            <w:vAlign w:val="center"/>
          </w:tcPr>
          <w:p w14:paraId="774AC365" w14:textId="77777777" w:rsidR="00B21973" w:rsidRDefault="00B21973" w:rsidP="00037B2F">
            <w:pPr>
              <w:pStyle w:val="CDIFigure-Table-BodyTextLeft"/>
            </w:pPr>
          </w:p>
        </w:tc>
        <w:tc>
          <w:tcPr>
            <w:tcW w:w="1474" w:type="dxa"/>
            <w:vMerge/>
            <w:tcMar>
              <w:top w:w="113" w:type="dxa"/>
              <w:left w:w="113" w:type="dxa"/>
              <w:bottom w:w="113" w:type="dxa"/>
              <w:right w:w="113" w:type="dxa"/>
            </w:tcMar>
            <w:vAlign w:val="center"/>
          </w:tcPr>
          <w:p w14:paraId="0A36EDD5" w14:textId="77777777" w:rsidR="00B21973" w:rsidRDefault="00B21973" w:rsidP="00037B2F">
            <w:pPr>
              <w:pStyle w:val="CDIFigure-Table-BodyTextLeft"/>
            </w:pPr>
          </w:p>
        </w:tc>
        <w:tc>
          <w:tcPr>
            <w:tcW w:w="10545" w:type="dxa"/>
            <w:tcMar>
              <w:top w:w="113" w:type="dxa"/>
              <w:left w:w="113" w:type="dxa"/>
              <w:bottom w:w="113" w:type="dxa"/>
              <w:right w:w="113" w:type="dxa"/>
            </w:tcMar>
            <w:vAlign w:val="center"/>
          </w:tcPr>
          <w:p w14:paraId="784ECCD5" w14:textId="1485A45C" w:rsidR="00B21973" w:rsidRDefault="00B21973" w:rsidP="00037B2F">
            <w:pPr>
              <w:pStyle w:val="CDIFigure-Table-BodyTextLeft"/>
            </w:pPr>
            <w:r>
              <w:t>April: Health professionals were advised not to administer a second or subsequent dose of Pneumovax 23 vaccine.</w:t>
            </w:r>
          </w:p>
        </w:tc>
      </w:tr>
      <w:tr w:rsidR="00B21973" w14:paraId="0BDAB3D2" w14:textId="77777777" w:rsidTr="00B21973">
        <w:trPr>
          <w:trHeight w:val="20"/>
        </w:trPr>
        <w:tc>
          <w:tcPr>
            <w:tcW w:w="850" w:type="dxa"/>
            <w:vMerge/>
            <w:shd w:val="clear" w:color="auto" w:fill="C5FFEF" w:themeFill="background2" w:themeFillTint="33"/>
            <w:tcMar>
              <w:top w:w="113" w:type="dxa"/>
              <w:left w:w="113" w:type="dxa"/>
              <w:bottom w:w="113" w:type="dxa"/>
              <w:right w:w="113" w:type="dxa"/>
            </w:tcMar>
            <w:vAlign w:val="center"/>
          </w:tcPr>
          <w:p w14:paraId="4C3B9FFA" w14:textId="61EE8113" w:rsidR="00B21973" w:rsidRDefault="00B21973" w:rsidP="00037B2F">
            <w:pPr>
              <w:pStyle w:val="CDIFigure-Table-BodyTextLeft"/>
            </w:pPr>
          </w:p>
        </w:tc>
        <w:tc>
          <w:tcPr>
            <w:tcW w:w="1474" w:type="dxa"/>
            <w:vMerge/>
            <w:tcMar>
              <w:top w:w="113" w:type="dxa"/>
              <w:left w:w="113" w:type="dxa"/>
              <w:bottom w:w="113" w:type="dxa"/>
              <w:right w:w="113" w:type="dxa"/>
            </w:tcMar>
            <w:vAlign w:val="center"/>
          </w:tcPr>
          <w:p w14:paraId="26751DB4" w14:textId="118AA340" w:rsidR="00B21973" w:rsidRDefault="00B21973" w:rsidP="00037B2F">
            <w:pPr>
              <w:pStyle w:val="CDIFigure-Table-BodyTextLeft"/>
            </w:pPr>
          </w:p>
        </w:tc>
        <w:tc>
          <w:tcPr>
            <w:tcW w:w="1474" w:type="dxa"/>
            <w:vMerge/>
            <w:tcMar>
              <w:top w:w="113" w:type="dxa"/>
              <w:left w:w="113" w:type="dxa"/>
              <w:bottom w:w="113" w:type="dxa"/>
              <w:right w:w="113" w:type="dxa"/>
            </w:tcMar>
            <w:vAlign w:val="center"/>
          </w:tcPr>
          <w:p w14:paraId="76013ABC" w14:textId="0EA58001" w:rsidR="00B21973" w:rsidRDefault="00B21973" w:rsidP="00037B2F">
            <w:pPr>
              <w:pStyle w:val="CDIFigure-Table-BodyTextLeft"/>
            </w:pPr>
          </w:p>
        </w:tc>
        <w:tc>
          <w:tcPr>
            <w:tcW w:w="10545" w:type="dxa"/>
            <w:tcMar>
              <w:top w:w="113" w:type="dxa"/>
              <w:left w:w="113" w:type="dxa"/>
              <w:bottom w:w="113" w:type="dxa"/>
              <w:right w:w="113" w:type="dxa"/>
            </w:tcMar>
            <w:vAlign w:val="center"/>
          </w:tcPr>
          <w:p w14:paraId="3AA5F5FD" w14:textId="77777777" w:rsidR="00B21973" w:rsidRDefault="00B21973" w:rsidP="00037B2F">
            <w:pPr>
              <w:pStyle w:val="CDIFigure-Table-BodyTextLeft"/>
            </w:pPr>
            <w:r>
              <w:t>December: Revised recommendations regarding which patients should be re-vaccinated under the NIP were provided.</w:t>
            </w:r>
          </w:p>
        </w:tc>
      </w:tr>
      <w:tr w:rsidR="00B21973" w14:paraId="0F9A09E7" w14:textId="77777777" w:rsidTr="00B21973">
        <w:trPr>
          <w:trHeight w:val="20"/>
        </w:trPr>
        <w:tc>
          <w:tcPr>
            <w:tcW w:w="850" w:type="dxa"/>
            <w:vMerge/>
            <w:shd w:val="clear" w:color="auto" w:fill="C5FFEF" w:themeFill="background2" w:themeFillTint="33"/>
          </w:tcPr>
          <w:p w14:paraId="603128A6" w14:textId="77777777" w:rsidR="00B21973" w:rsidRDefault="00B21973"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58F14C55" w14:textId="77777777" w:rsidR="00B21973" w:rsidRDefault="00B21973" w:rsidP="00037B2F">
            <w:pPr>
              <w:pStyle w:val="CDIFigure-Table-BodyTextLeft"/>
            </w:pPr>
            <w:r>
              <w:t>October</w:t>
            </w:r>
          </w:p>
        </w:tc>
        <w:tc>
          <w:tcPr>
            <w:tcW w:w="1474" w:type="dxa"/>
            <w:shd w:val="clear" w:color="auto" w:fill="F2F2F2" w:themeFill="background1" w:themeFillShade="F2"/>
            <w:tcMar>
              <w:top w:w="113" w:type="dxa"/>
              <w:left w:w="113" w:type="dxa"/>
              <w:bottom w:w="113" w:type="dxa"/>
              <w:right w:w="113" w:type="dxa"/>
            </w:tcMar>
            <w:vAlign w:val="center"/>
          </w:tcPr>
          <w:p w14:paraId="3C0A4587" w14:textId="77777777" w:rsidR="00B21973" w:rsidRDefault="00B21973"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711A0E0D" w14:textId="77777777" w:rsidR="00B21973" w:rsidRDefault="00B21973" w:rsidP="00037B2F">
            <w:pPr>
              <w:pStyle w:val="CDIFigure-Table-BodyTextLeft"/>
            </w:pPr>
            <w:r>
              <w:t>(to end of September 2012) All children aged 12–35 months who had completed a primary pneumococcal vaccination course with 7vPCV were eligible to receive a free supplementary dose of Prevenar 13.</w:t>
            </w:r>
          </w:p>
        </w:tc>
      </w:tr>
      <w:tr w:rsidR="00B21973" w14:paraId="58CBAA33" w14:textId="77777777" w:rsidTr="00B21973">
        <w:trPr>
          <w:trHeight w:val="20"/>
        </w:trPr>
        <w:tc>
          <w:tcPr>
            <w:tcW w:w="850" w:type="dxa"/>
            <w:vMerge/>
            <w:shd w:val="clear" w:color="auto" w:fill="C5FFEF" w:themeFill="background2" w:themeFillTint="33"/>
          </w:tcPr>
          <w:p w14:paraId="237A9C17" w14:textId="77777777" w:rsidR="00B21973" w:rsidRDefault="00B21973" w:rsidP="00037B2F">
            <w:pPr>
              <w:pStyle w:val="CDIFigure-Table-BodyTextLeft"/>
            </w:pPr>
          </w:p>
        </w:tc>
        <w:tc>
          <w:tcPr>
            <w:tcW w:w="1474" w:type="dxa"/>
            <w:tcMar>
              <w:top w:w="113" w:type="dxa"/>
              <w:left w:w="113" w:type="dxa"/>
              <w:bottom w:w="113" w:type="dxa"/>
              <w:right w:w="113" w:type="dxa"/>
            </w:tcMar>
            <w:vAlign w:val="center"/>
          </w:tcPr>
          <w:p w14:paraId="31C2E889" w14:textId="77777777" w:rsidR="00B21973" w:rsidRDefault="00B21973" w:rsidP="00037B2F">
            <w:pPr>
              <w:pStyle w:val="CDIFigure-Table-BodyTextLeft"/>
            </w:pPr>
            <w:r>
              <w:t>October</w:t>
            </w:r>
          </w:p>
        </w:tc>
        <w:tc>
          <w:tcPr>
            <w:tcW w:w="1474" w:type="dxa"/>
            <w:tcMar>
              <w:top w:w="113" w:type="dxa"/>
              <w:left w:w="113" w:type="dxa"/>
              <w:bottom w:w="113" w:type="dxa"/>
              <w:right w:w="113" w:type="dxa"/>
            </w:tcMar>
            <w:vAlign w:val="center"/>
          </w:tcPr>
          <w:p w14:paraId="1D5FA2DE" w14:textId="77777777" w:rsidR="00B21973" w:rsidRDefault="00B21973" w:rsidP="00037B2F">
            <w:pPr>
              <w:pStyle w:val="CDIFigure-Table-BodyTextLeft"/>
            </w:pPr>
            <w:r>
              <w:t>NT</w:t>
            </w:r>
          </w:p>
        </w:tc>
        <w:tc>
          <w:tcPr>
            <w:tcW w:w="10545" w:type="dxa"/>
            <w:tcMar>
              <w:top w:w="113" w:type="dxa"/>
              <w:left w:w="113" w:type="dxa"/>
              <w:bottom w:w="113" w:type="dxa"/>
              <w:right w:w="113" w:type="dxa"/>
            </w:tcMar>
            <w:vAlign w:val="center"/>
          </w:tcPr>
          <w:p w14:paraId="78F7E2FB" w14:textId="77777777" w:rsidR="00B21973" w:rsidRDefault="00B21973" w:rsidP="00037B2F">
            <w:pPr>
              <w:pStyle w:val="CDIFigure-Table-BodyTextLeft"/>
            </w:pPr>
            <w:r>
              <w:t>Prevenar 13 (13vPCV) replaced Prevenar on the NIP for children at 2, 4 and 6 months of age.</w:t>
            </w:r>
          </w:p>
        </w:tc>
      </w:tr>
      <w:tr w:rsidR="00B21973" w14:paraId="353E477E"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184D397A" w14:textId="77777777" w:rsidR="00B21973" w:rsidRDefault="00B21973" w:rsidP="00037B2F">
            <w:pPr>
              <w:pStyle w:val="CDIFigure-Table-BodyTextLeft"/>
            </w:pP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A2B3B7" w14:textId="77777777" w:rsidR="00B21973" w:rsidRDefault="00B21973" w:rsidP="00037B2F">
            <w:pPr>
              <w:pStyle w:val="CDIFigure-Table-BodyTextLeft"/>
            </w:pPr>
            <w:r>
              <w:t>July</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D56EBD" w14:textId="77777777" w:rsidR="00B21973" w:rsidRDefault="00B21973" w:rsidP="00037B2F">
            <w:pPr>
              <w:pStyle w:val="CDIFigure-Table-BodyTextLeft"/>
            </w:pPr>
            <w:r>
              <w:t>ACT, NSW, Qld, SA, Tas., Vic., WA</w:t>
            </w:r>
          </w:p>
        </w:tc>
        <w:tc>
          <w:tcPr>
            <w:tcW w:w="105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061AC7" w14:textId="77777777" w:rsidR="00B21973" w:rsidRDefault="00B21973" w:rsidP="00037B2F">
            <w:pPr>
              <w:pStyle w:val="CDIFigure-Table-BodyTextLeft"/>
            </w:pPr>
            <w:r>
              <w:t>Prevenar 13 (13vPCV) replaced Prevenar on the NIP for children at 2, 4 and 6 months of age.</w:t>
            </w:r>
          </w:p>
        </w:tc>
      </w:tr>
      <w:tr w:rsidR="00037B2F" w14:paraId="063ECE14"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14988B6" w14:textId="77777777" w:rsidR="00037B2F" w:rsidRDefault="00037B2F" w:rsidP="00037B2F">
            <w:pPr>
              <w:pStyle w:val="CDIFigure-Table-BodyTextLeft"/>
            </w:pPr>
            <w:r>
              <w:t>2010</w:t>
            </w:r>
          </w:p>
        </w:tc>
        <w:tc>
          <w:tcPr>
            <w:tcW w:w="1474" w:type="dxa"/>
            <w:tcBorders>
              <w:top w:val="single" w:sz="4" w:space="0" w:color="033636" w:themeColor="text2"/>
            </w:tcBorders>
            <w:tcMar>
              <w:top w:w="113" w:type="dxa"/>
              <w:left w:w="113" w:type="dxa"/>
              <w:bottom w:w="113" w:type="dxa"/>
              <w:right w:w="113" w:type="dxa"/>
            </w:tcMar>
            <w:vAlign w:val="center"/>
          </w:tcPr>
          <w:p w14:paraId="6D0E8315" w14:textId="77777777" w:rsidR="00037B2F" w:rsidRDefault="00037B2F" w:rsidP="00037B2F">
            <w:pPr>
              <w:pStyle w:val="CDIFigure-Table-BodyTextLeft"/>
            </w:pPr>
          </w:p>
        </w:tc>
        <w:tc>
          <w:tcPr>
            <w:tcW w:w="1474" w:type="dxa"/>
            <w:tcBorders>
              <w:top w:val="single" w:sz="4" w:space="0" w:color="033636" w:themeColor="text2"/>
            </w:tcBorders>
            <w:tcMar>
              <w:top w:w="113" w:type="dxa"/>
              <w:left w:w="113" w:type="dxa"/>
              <w:bottom w:w="113" w:type="dxa"/>
              <w:right w:w="113" w:type="dxa"/>
            </w:tcMar>
            <w:vAlign w:val="center"/>
          </w:tcPr>
          <w:p w14:paraId="60C7BC15" w14:textId="77777777" w:rsidR="00037B2F" w:rsidRDefault="00037B2F" w:rsidP="00037B2F">
            <w:pPr>
              <w:pStyle w:val="CDIFigure-Table-BodyTextLeft"/>
            </w:pPr>
            <w:r>
              <w:t>All</w:t>
            </w:r>
          </w:p>
        </w:tc>
        <w:tc>
          <w:tcPr>
            <w:tcW w:w="10545" w:type="dxa"/>
            <w:tcBorders>
              <w:top w:val="single" w:sz="4" w:space="0" w:color="033636" w:themeColor="text2"/>
            </w:tcBorders>
            <w:tcMar>
              <w:top w:w="113" w:type="dxa"/>
              <w:left w:w="113" w:type="dxa"/>
              <w:bottom w:w="113" w:type="dxa"/>
              <w:right w:w="113" w:type="dxa"/>
            </w:tcMar>
            <w:vAlign w:val="center"/>
          </w:tcPr>
          <w:p w14:paraId="69874A6B" w14:textId="77777777" w:rsidR="00037B2F" w:rsidRDefault="00037B2F" w:rsidP="00037B2F">
            <w:pPr>
              <w:pStyle w:val="CDIFigure-Table-BodyTextLeft"/>
            </w:pPr>
            <w:r>
              <w:t>Annual vaccination with seasonal trivalent influenza vaccine (TIV, containing 3 influenza strains: A/H1N1, A/H3N2 and B) was funded under the NIP for people aged 6+ months with medical risk factors (previously subsidised through the Pharmaceutical Benefits Scheme) and all Indigenous people aged 15+ years (previously all Indigenous adults aged 50+ years and those aged 15–49 years with medical risk factors).</w:t>
            </w:r>
          </w:p>
        </w:tc>
      </w:tr>
      <w:tr w:rsidR="006E1954" w14:paraId="39F09645" w14:textId="77777777" w:rsidTr="00B21973">
        <w:trPr>
          <w:trHeight w:val="20"/>
        </w:trPr>
        <w:tc>
          <w:tcPr>
            <w:tcW w:w="850" w:type="dxa"/>
            <w:vMerge/>
            <w:shd w:val="clear" w:color="auto" w:fill="C5FFEF" w:themeFill="background2" w:themeFillTint="33"/>
          </w:tcPr>
          <w:p w14:paraId="3994EB00" w14:textId="77777777" w:rsidR="006E1954" w:rsidRDefault="006E1954" w:rsidP="00037B2F">
            <w:pPr>
              <w:pStyle w:val="CDIFigure-Table-BodyTextLeft"/>
            </w:pPr>
          </w:p>
        </w:tc>
        <w:tc>
          <w:tcPr>
            <w:tcW w:w="1474" w:type="dxa"/>
            <w:vMerge w:val="restart"/>
            <w:shd w:val="clear" w:color="auto" w:fill="F2F2F2" w:themeFill="background1" w:themeFillShade="F2"/>
            <w:tcMar>
              <w:top w:w="113" w:type="dxa"/>
              <w:left w:w="113" w:type="dxa"/>
              <w:bottom w:w="113" w:type="dxa"/>
              <w:right w:w="113" w:type="dxa"/>
            </w:tcMar>
            <w:vAlign w:val="center"/>
          </w:tcPr>
          <w:p w14:paraId="21083552" w14:textId="3C909CAA" w:rsidR="006E1954" w:rsidRDefault="006E1954" w:rsidP="00037B2F">
            <w:pPr>
              <w:pStyle w:val="CDIFigure-Table-BodyTextLeft"/>
            </w:pPr>
            <w:r>
              <w:t>April to August</w:t>
            </w:r>
          </w:p>
        </w:tc>
        <w:tc>
          <w:tcPr>
            <w:tcW w:w="1474" w:type="dxa"/>
            <w:vMerge w:val="restart"/>
            <w:shd w:val="clear" w:color="auto" w:fill="F2F2F2" w:themeFill="background1" w:themeFillShade="F2"/>
            <w:tcMar>
              <w:top w:w="113" w:type="dxa"/>
              <w:left w:w="113" w:type="dxa"/>
              <w:bottom w:w="113" w:type="dxa"/>
              <w:right w:w="113" w:type="dxa"/>
            </w:tcMar>
            <w:vAlign w:val="center"/>
          </w:tcPr>
          <w:p w14:paraId="52F247DB" w14:textId="0AA5FB12" w:rsidR="006E1954" w:rsidRDefault="006E1954"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33BB77D3" w14:textId="56B2FDFB" w:rsidR="006E1954" w:rsidRDefault="006E1954" w:rsidP="00037B2F">
            <w:pPr>
              <w:pStyle w:val="CDIFigure-Table-BodyTextLeft"/>
            </w:pPr>
            <w:r>
              <w:t xml:space="preserve">23 April: Use of the 2010 seasonal TIV in children 5+ years of age was suspended by Australia’s Chief Medical Officer due to an increased number of reports of fever and febrile convulsions post vaccination. A subsequent investigation identified that </w:t>
            </w:r>
            <w:proofErr w:type="spellStart"/>
            <w:r>
              <w:t>Fluvax</w:t>
            </w:r>
            <w:proofErr w:type="spellEnd"/>
            <w:r>
              <w:t xml:space="preserve"> and </w:t>
            </w:r>
            <w:proofErr w:type="spellStart"/>
            <w:r>
              <w:t>Fluvax</w:t>
            </w:r>
            <w:proofErr w:type="spellEnd"/>
            <w:r>
              <w:t xml:space="preserve"> junior (CSL Biotherapies), but neither of the other two available brands registered for use in young children, were associated with an unacceptably high risk of febrile convulsions.</w:t>
            </w:r>
          </w:p>
        </w:tc>
      </w:tr>
      <w:tr w:rsidR="006E1954" w14:paraId="1B77F154"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32749BA0" w14:textId="77777777" w:rsidR="006E1954" w:rsidRDefault="006E1954" w:rsidP="00037B2F">
            <w:pPr>
              <w:pStyle w:val="CDIFigure-Table-BodyTextLeft"/>
            </w:pPr>
          </w:p>
        </w:tc>
        <w:tc>
          <w:tcPr>
            <w:tcW w:w="1474" w:type="dxa"/>
            <w:vMerge/>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83121B" w14:textId="01DAA8F6" w:rsidR="006E1954" w:rsidRDefault="006E1954" w:rsidP="00037B2F">
            <w:pPr>
              <w:pStyle w:val="CDIFigure-Table-BodyTextLeft"/>
            </w:pPr>
          </w:p>
        </w:tc>
        <w:tc>
          <w:tcPr>
            <w:tcW w:w="1474" w:type="dxa"/>
            <w:vMerge/>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5A6C80" w14:textId="138FB1D5" w:rsidR="006E1954" w:rsidRDefault="006E1954" w:rsidP="00037B2F">
            <w:pPr>
              <w:pStyle w:val="CDIFigure-Table-BodyTextLeft"/>
            </w:pPr>
          </w:p>
        </w:tc>
        <w:tc>
          <w:tcPr>
            <w:tcW w:w="105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9064CE" w14:textId="77777777" w:rsidR="006E1954" w:rsidRDefault="006E1954" w:rsidP="00037B2F">
            <w:pPr>
              <w:pStyle w:val="CDIFigure-Table-BodyTextLeft"/>
            </w:pPr>
            <w:r>
              <w:t xml:space="preserve">August: Recommendation to resume the use of seasonal influenza vaccine in children aged 6 months to 5 years, using brands other than </w:t>
            </w:r>
            <w:proofErr w:type="spellStart"/>
            <w:r>
              <w:t>Fluvax</w:t>
            </w:r>
            <w:proofErr w:type="spellEnd"/>
            <w:r>
              <w:t xml:space="preserve"> and </w:t>
            </w:r>
            <w:proofErr w:type="spellStart"/>
            <w:r>
              <w:t>Fluvax</w:t>
            </w:r>
            <w:proofErr w:type="spellEnd"/>
            <w:r>
              <w:t xml:space="preserve"> junior.</w:t>
            </w:r>
          </w:p>
        </w:tc>
      </w:tr>
      <w:tr w:rsidR="00037B2F" w14:paraId="48B63A7E"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371E9B9" w14:textId="77777777" w:rsidR="00037B2F" w:rsidRDefault="00037B2F" w:rsidP="00037B2F">
            <w:pPr>
              <w:pStyle w:val="CDIFigure-Table-BodyTextLeft"/>
            </w:pPr>
            <w:r>
              <w:t>2009</w:t>
            </w:r>
          </w:p>
        </w:tc>
        <w:tc>
          <w:tcPr>
            <w:tcW w:w="1474" w:type="dxa"/>
            <w:tcBorders>
              <w:top w:val="single" w:sz="4" w:space="0" w:color="033636" w:themeColor="text2"/>
            </w:tcBorders>
            <w:tcMar>
              <w:top w:w="113" w:type="dxa"/>
              <w:left w:w="113" w:type="dxa"/>
              <w:bottom w:w="113" w:type="dxa"/>
              <w:right w:w="113" w:type="dxa"/>
            </w:tcMar>
            <w:vAlign w:val="center"/>
          </w:tcPr>
          <w:p w14:paraId="24204B1E" w14:textId="77777777" w:rsidR="00037B2F" w:rsidRDefault="00037B2F" w:rsidP="00037B2F">
            <w:pPr>
              <w:pStyle w:val="CDIFigure-Table-BodyTextLeft"/>
            </w:pPr>
            <w:r>
              <w:t>(Late 2009)</w:t>
            </w:r>
          </w:p>
        </w:tc>
        <w:tc>
          <w:tcPr>
            <w:tcW w:w="1474" w:type="dxa"/>
            <w:tcBorders>
              <w:top w:val="single" w:sz="4" w:space="0" w:color="033636" w:themeColor="text2"/>
            </w:tcBorders>
            <w:tcMar>
              <w:top w:w="113" w:type="dxa"/>
              <w:left w:w="113" w:type="dxa"/>
              <w:bottom w:w="113" w:type="dxa"/>
              <w:right w:w="113" w:type="dxa"/>
            </w:tcMar>
            <w:vAlign w:val="center"/>
          </w:tcPr>
          <w:p w14:paraId="05EE8516" w14:textId="77777777" w:rsidR="00037B2F" w:rsidRDefault="00037B2F" w:rsidP="00037B2F">
            <w:pPr>
              <w:pStyle w:val="CDIFigure-Table-BodyTextLeft"/>
            </w:pPr>
            <w:r>
              <w:t>All</w:t>
            </w:r>
          </w:p>
        </w:tc>
        <w:tc>
          <w:tcPr>
            <w:tcW w:w="10545" w:type="dxa"/>
            <w:tcBorders>
              <w:top w:val="single" w:sz="4" w:space="0" w:color="033636" w:themeColor="text2"/>
            </w:tcBorders>
            <w:tcMar>
              <w:top w:w="113" w:type="dxa"/>
              <w:left w:w="113" w:type="dxa"/>
              <w:bottom w:w="113" w:type="dxa"/>
              <w:right w:w="113" w:type="dxa"/>
            </w:tcMar>
            <w:vAlign w:val="center"/>
          </w:tcPr>
          <w:p w14:paraId="2A743F89" w14:textId="77777777" w:rsidR="00037B2F" w:rsidRDefault="00037B2F" w:rsidP="00037B2F">
            <w:pPr>
              <w:pStyle w:val="CDIFigure-Table-BodyTextLeft"/>
            </w:pPr>
            <w:r>
              <w:t xml:space="preserve">Single hexavalent </w:t>
            </w:r>
            <w:proofErr w:type="spellStart"/>
            <w:r>
              <w:t>DTPa</w:t>
            </w:r>
            <w:proofErr w:type="spellEnd"/>
            <w:r>
              <w:t>-IPV-Hib-</w:t>
            </w:r>
            <w:proofErr w:type="spellStart"/>
            <w:r>
              <w:t>HepB</w:t>
            </w:r>
            <w:proofErr w:type="spellEnd"/>
            <w:r>
              <w:t xml:space="preserve"> (Infanrix </w:t>
            </w:r>
            <w:proofErr w:type="spellStart"/>
            <w:r>
              <w:t>hexa</w:t>
            </w:r>
            <w:proofErr w:type="spellEnd"/>
            <w:r>
              <w:t xml:space="preserve">) vaccine in use for all children at 2, 4 and 6 months of age, due to an international shortage of </w:t>
            </w:r>
            <w:r w:rsidRPr="00497089">
              <w:rPr>
                <w:i/>
                <w:iCs/>
              </w:rPr>
              <w:t>Haemophilus influenzae</w:t>
            </w:r>
            <w:r>
              <w:t xml:space="preserve"> type b (Hib) (</w:t>
            </w:r>
            <w:proofErr w:type="spellStart"/>
            <w:r>
              <w:t>PedvaxHib</w:t>
            </w:r>
            <w:proofErr w:type="spellEnd"/>
            <w:r>
              <w:t xml:space="preserve"> [monovalent] and </w:t>
            </w:r>
            <w:proofErr w:type="spellStart"/>
            <w:r>
              <w:t>Comvax</w:t>
            </w:r>
            <w:proofErr w:type="spellEnd"/>
            <w:r>
              <w:t xml:space="preserve"> [Hib-</w:t>
            </w:r>
            <w:proofErr w:type="spellStart"/>
            <w:r>
              <w:t>HepB</w:t>
            </w:r>
            <w:proofErr w:type="spellEnd"/>
            <w:r>
              <w:t>]) vaccines.</w:t>
            </w:r>
          </w:p>
        </w:tc>
      </w:tr>
      <w:tr w:rsidR="00037B2F" w14:paraId="1896C10F" w14:textId="77777777" w:rsidTr="00B21973">
        <w:trPr>
          <w:trHeight w:val="20"/>
        </w:trPr>
        <w:tc>
          <w:tcPr>
            <w:tcW w:w="850" w:type="dxa"/>
            <w:vMerge/>
            <w:shd w:val="clear" w:color="auto" w:fill="C5FFEF" w:themeFill="background2" w:themeFillTint="33"/>
          </w:tcPr>
          <w:p w14:paraId="11EED7CE" w14:textId="77777777" w:rsidR="00037B2F" w:rsidRDefault="00037B2F" w:rsidP="00037B2F">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12D9C01F" w14:textId="77777777" w:rsidR="00037B2F" w:rsidRDefault="00037B2F" w:rsidP="00037B2F">
            <w:pPr>
              <w:pStyle w:val="CDIFigure-Table-BodyTextLeft"/>
            </w:pPr>
            <w:r>
              <w:t>December</w:t>
            </w:r>
          </w:p>
        </w:tc>
        <w:tc>
          <w:tcPr>
            <w:tcW w:w="1474" w:type="dxa"/>
            <w:shd w:val="clear" w:color="auto" w:fill="F2F2F2" w:themeFill="background1" w:themeFillShade="F2"/>
            <w:tcMar>
              <w:top w:w="113" w:type="dxa"/>
              <w:left w:w="113" w:type="dxa"/>
              <w:bottom w:w="113" w:type="dxa"/>
              <w:right w:w="113" w:type="dxa"/>
            </w:tcMar>
            <w:vAlign w:val="center"/>
          </w:tcPr>
          <w:p w14:paraId="46AC2746" w14:textId="77777777" w:rsidR="00037B2F" w:rsidRDefault="00037B2F"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556B833E" w14:textId="77777777" w:rsidR="00037B2F" w:rsidRDefault="00037B2F" w:rsidP="00037B2F">
            <w:pPr>
              <w:pStyle w:val="CDIFigure-Table-BodyTextLeft"/>
            </w:pPr>
            <w:r>
              <w:t>Pandemic H1N1 2009 influenza vaccine (</w:t>
            </w:r>
            <w:proofErr w:type="spellStart"/>
            <w:r>
              <w:t>Panvax</w:t>
            </w:r>
            <w:proofErr w:type="spellEnd"/>
            <w:r>
              <w:t>) made available to children aged 6 months to 10 years.</w:t>
            </w:r>
          </w:p>
        </w:tc>
      </w:tr>
      <w:tr w:rsidR="00037B2F" w14:paraId="471192FE"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6A7926A0" w14:textId="77777777" w:rsidR="00037B2F" w:rsidRDefault="00037B2F" w:rsidP="00037B2F">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44CBC195" w14:textId="77777777" w:rsidR="00037B2F" w:rsidRDefault="00037B2F" w:rsidP="00037B2F">
            <w:pPr>
              <w:pStyle w:val="CDIFigure-Table-BodyTextLeft"/>
            </w:pPr>
            <w:r>
              <w:t>September</w:t>
            </w:r>
          </w:p>
        </w:tc>
        <w:tc>
          <w:tcPr>
            <w:tcW w:w="1474" w:type="dxa"/>
            <w:tcBorders>
              <w:bottom w:val="single" w:sz="4" w:space="0" w:color="033636" w:themeColor="text2"/>
            </w:tcBorders>
            <w:tcMar>
              <w:top w:w="113" w:type="dxa"/>
              <w:left w:w="113" w:type="dxa"/>
              <w:bottom w:w="113" w:type="dxa"/>
              <w:right w:w="113" w:type="dxa"/>
            </w:tcMar>
            <w:vAlign w:val="center"/>
          </w:tcPr>
          <w:p w14:paraId="57CE5BD3" w14:textId="77777777" w:rsidR="00037B2F" w:rsidRDefault="00037B2F" w:rsidP="00037B2F">
            <w:pPr>
              <w:pStyle w:val="CDIFigure-Table-BodyTextLeft"/>
            </w:pPr>
            <w:r>
              <w:t>All</w:t>
            </w:r>
          </w:p>
        </w:tc>
        <w:tc>
          <w:tcPr>
            <w:tcW w:w="10545" w:type="dxa"/>
            <w:tcBorders>
              <w:bottom w:val="single" w:sz="4" w:space="0" w:color="033636" w:themeColor="text2"/>
            </w:tcBorders>
            <w:tcMar>
              <w:top w:w="113" w:type="dxa"/>
              <w:left w:w="113" w:type="dxa"/>
              <w:bottom w:w="113" w:type="dxa"/>
              <w:right w:w="113" w:type="dxa"/>
            </w:tcMar>
            <w:vAlign w:val="center"/>
          </w:tcPr>
          <w:p w14:paraId="22A5A0AB" w14:textId="77777777" w:rsidR="00037B2F" w:rsidRDefault="00037B2F" w:rsidP="00037B2F">
            <w:pPr>
              <w:pStyle w:val="CDIFigure-Table-BodyTextLeft"/>
            </w:pPr>
            <w:r>
              <w:t xml:space="preserve">30 September: </w:t>
            </w:r>
            <w:proofErr w:type="spellStart"/>
            <w:r>
              <w:t>Panvax</w:t>
            </w:r>
            <w:proofErr w:type="spellEnd"/>
            <w:r>
              <w:t xml:space="preserve"> rolled out across Australia for people aged 10+ years.</w:t>
            </w:r>
          </w:p>
        </w:tc>
      </w:tr>
      <w:tr w:rsidR="00037B2F" w14:paraId="63C5D772" w14:textId="77777777" w:rsidTr="009E1284">
        <w:trPr>
          <w:trHeight w:val="20"/>
        </w:trPr>
        <w:tc>
          <w:tcPr>
            <w:tcW w:w="850" w:type="dxa"/>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840F012" w14:textId="77777777" w:rsidR="00037B2F" w:rsidRDefault="00037B2F" w:rsidP="00037B2F">
            <w:pPr>
              <w:pStyle w:val="CDIFigure-Table-BodyTextLeft"/>
            </w:pPr>
            <w:r>
              <w:t>2008</w:t>
            </w:r>
          </w:p>
        </w:tc>
        <w:tc>
          <w:tcPr>
            <w:tcW w:w="1474"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E469531" w14:textId="77777777" w:rsidR="00037B2F" w:rsidRDefault="00037B2F" w:rsidP="00037B2F">
            <w:pPr>
              <w:pStyle w:val="CDIFigure-Table-BodyTextLeft"/>
            </w:pPr>
            <w:r>
              <w:t>April</w:t>
            </w:r>
          </w:p>
        </w:tc>
        <w:tc>
          <w:tcPr>
            <w:tcW w:w="1474"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D64A8C" w14:textId="77777777" w:rsidR="00037B2F" w:rsidRDefault="00037B2F" w:rsidP="00037B2F">
            <w:pPr>
              <w:pStyle w:val="CDIFigure-Table-BodyTextLeft"/>
            </w:pPr>
            <w:r>
              <w:t>WA</w:t>
            </w:r>
          </w:p>
        </w:tc>
        <w:tc>
          <w:tcPr>
            <w:tcW w:w="10545" w:type="dxa"/>
            <w:tcBorders>
              <w:top w:val="single" w:sz="4" w:space="0" w:color="033636" w:themeColor="text2"/>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F6BD38" w14:textId="77777777" w:rsidR="00037B2F" w:rsidRDefault="00037B2F" w:rsidP="00037B2F">
            <w:pPr>
              <w:pStyle w:val="CDIFigure-Table-BodyTextLeft"/>
            </w:pPr>
            <w:r>
              <w:t>Seasonal influenza vaccination program commenced for all children aged 6–59 months (&lt; 5 years; born after 1 April 2003).</w:t>
            </w:r>
          </w:p>
        </w:tc>
      </w:tr>
      <w:tr w:rsidR="009E1284" w14:paraId="3E689D3D" w14:textId="77777777" w:rsidTr="009E1284">
        <w:trPr>
          <w:trHeight w:val="20"/>
        </w:trPr>
        <w:tc>
          <w:tcPr>
            <w:tcW w:w="850" w:type="dxa"/>
            <w:vMerge w:val="restart"/>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7E722E8" w14:textId="555F1546" w:rsidR="009E1284" w:rsidRDefault="009E1284" w:rsidP="009E1284">
            <w:pPr>
              <w:pStyle w:val="CDIFigure-Table-BodyTextLeft"/>
              <w:keepNext/>
              <w:keepLines/>
            </w:pPr>
            <w:r w:rsidRPr="009E1284">
              <w:lastRenderedPageBreak/>
              <w:t>2007</w:t>
            </w:r>
          </w:p>
        </w:tc>
        <w:tc>
          <w:tcPr>
            <w:tcW w:w="1474" w:type="dxa"/>
            <w:tcBorders>
              <w:top w:val="single" w:sz="4" w:space="0" w:color="033636" w:themeColor="text2"/>
            </w:tcBorders>
            <w:tcMar>
              <w:top w:w="113" w:type="dxa"/>
              <w:left w:w="113" w:type="dxa"/>
              <w:bottom w:w="113" w:type="dxa"/>
              <w:right w:w="113" w:type="dxa"/>
            </w:tcMar>
            <w:vAlign w:val="center"/>
          </w:tcPr>
          <w:p w14:paraId="3932E6BD" w14:textId="77777777" w:rsidR="009E1284" w:rsidRDefault="009E1284" w:rsidP="009E1284">
            <w:pPr>
              <w:pStyle w:val="CDIFigure-Table-BodyTextLeft"/>
              <w:keepNext/>
              <w:keepLines/>
            </w:pPr>
            <w:r>
              <w:t>March</w:t>
            </w:r>
          </w:p>
        </w:tc>
        <w:tc>
          <w:tcPr>
            <w:tcW w:w="1474" w:type="dxa"/>
            <w:tcBorders>
              <w:top w:val="single" w:sz="4" w:space="0" w:color="033636" w:themeColor="text2"/>
            </w:tcBorders>
            <w:tcMar>
              <w:top w:w="113" w:type="dxa"/>
              <w:left w:w="113" w:type="dxa"/>
              <w:bottom w:w="113" w:type="dxa"/>
              <w:right w:w="113" w:type="dxa"/>
            </w:tcMar>
            <w:vAlign w:val="center"/>
          </w:tcPr>
          <w:p w14:paraId="70CAACEF" w14:textId="77777777" w:rsidR="009E1284" w:rsidRDefault="009E1284" w:rsidP="009E1284">
            <w:pPr>
              <w:pStyle w:val="CDIFigure-Table-BodyTextLeft"/>
              <w:keepNext/>
              <w:keepLines/>
            </w:pPr>
            <w:r>
              <w:t>Qld, SA, Vic.</w:t>
            </w:r>
          </w:p>
        </w:tc>
        <w:tc>
          <w:tcPr>
            <w:tcW w:w="10545" w:type="dxa"/>
            <w:tcBorders>
              <w:top w:val="single" w:sz="4" w:space="0" w:color="033636" w:themeColor="text2"/>
            </w:tcBorders>
            <w:tcMar>
              <w:top w:w="113" w:type="dxa"/>
              <w:left w:w="113" w:type="dxa"/>
              <w:bottom w:w="113" w:type="dxa"/>
              <w:right w:w="113" w:type="dxa"/>
            </w:tcMar>
            <w:vAlign w:val="center"/>
          </w:tcPr>
          <w:p w14:paraId="2A594995" w14:textId="77777777" w:rsidR="009E1284" w:rsidRDefault="009E1284" w:rsidP="009E1284">
            <w:pPr>
              <w:pStyle w:val="CDIFigure-Table-BodyTextLeft"/>
              <w:keepNext/>
              <w:keepLines/>
            </w:pPr>
            <w:r>
              <w:t xml:space="preserve">These jurisdictions changed from using two combination vaccines (quadrivalent </w:t>
            </w:r>
            <w:proofErr w:type="spellStart"/>
            <w:r>
              <w:t>DTPa</w:t>
            </w:r>
            <w:proofErr w:type="spellEnd"/>
            <w:r>
              <w:t>-IPV and Hib-</w:t>
            </w:r>
            <w:proofErr w:type="spellStart"/>
            <w:r>
              <w:t>HepB</w:t>
            </w:r>
            <w:proofErr w:type="spellEnd"/>
            <w:r>
              <w:t xml:space="preserve">) to the single hexavalent </w:t>
            </w:r>
            <w:proofErr w:type="spellStart"/>
            <w:r>
              <w:t>DTPa</w:t>
            </w:r>
            <w:proofErr w:type="spellEnd"/>
            <w:r>
              <w:t>-IPV-</w:t>
            </w:r>
            <w:proofErr w:type="spellStart"/>
            <w:r>
              <w:t>HepB</w:t>
            </w:r>
            <w:proofErr w:type="spellEnd"/>
            <w:r>
              <w:t>-Hib vaccine.</w:t>
            </w:r>
          </w:p>
        </w:tc>
      </w:tr>
      <w:tr w:rsidR="009E1284" w14:paraId="206FF9BC" w14:textId="77777777" w:rsidTr="009E1284">
        <w:trPr>
          <w:trHeight w:val="20"/>
        </w:trPr>
        <w:tc>
          <w:tcPr>
            <w:tcW w:w="850" w:type="dxa"/>
            <w:vMerge/>
            <w:shd w:val="clear" w:color="auto" w:fill="C5FFEF" w:themeFill="background2" w:themeFillTint="33"/>
            <w:tcMar>
              <w:top w:w="113" w:type="dxa"/>
              <w:left w:w="113" w:type="dxa"/>
              <w:bottom w:w="113" w:type="dxa"/>
              <w:right w:w="113" w:type="dxa"/>
            </w:tcMar>
            <w:vAlign w:val="center"/>
          </w:tcPr>
          <w:p w14:paraId="4E650B45" w14:textId="43DB7688" w:rsidR="009E1284" w:rsidRPr="009E1284" w:rsidRDefault="009E1284" w:rsidP="009E1284">
            <w:pPr>
              <w:pStyle w:val="CDIFigure-Table-BodyTextLeft"/>
            </w:pPr>
          </w:p>
        </w:tc>
        <w:tc>
          <w:tcPr>
            <w:tcW w:w="1474" w:type="dxa"/>
            <w:shd w:val="clear" w:color="auto" w:fill="F2F2F2" w:themeFill="background1" w:themeFillShade="F2"/>
            <w:tcMar>
              <w:top w:w="113" w:type="dxa"/>
              <w:left w:w="113" w:type="dxa"/>
              <w:bottom w:w="113" w:type="dxa"/>
              <w:right w:w="113" w:type="dxa"/>
            </w:tcMar>
            <w:vAlign w:val="center"/>
          </w:tcPr>
          <w:p w14:paraId="156E354E" w14:textId="77777777" w:rsidR="009E1284" w:rsidRDefault="009E1284" w:rsidP="00037B2F">
            <w:pPr>
              <w:pStyle w:val="CDIFigure-Table-BodyTextLeft"/>
            </w:pPr>
            <w:r>
              <w:t>July</w:t>
            </w:r>
          </w:p>
        </w:tc>
        <w:tc>
          <w:tcPr>
            <w:tcW w:w="1474" w:type="dxa"/>
            <w:shd w:val="clear" w:color="auto" w:fill="F2F2F2" w:themeFill="background1" w:themeFillShade="F2"/>
            <w:tcMar>
              <w:top w:w="113" w:type="dxa"/>
              <w:left w:w="113" w:type="dxa"/>
              <w:bottom w:w="113" w:type="dxa"/>
              <w:right w:w="113" w:type="dxa"/>
            </w:tcMar>
            <w:vAlign w:val="center"/>
          </w:tcPr>
          <w:p w14:paraId="3FFF9FA4" w14:textId="77777777" w:rsidR="009E1284" w:rsidRDefault="009E1284" w:rsidP="00037B2F">
            <w:pPr>
              <w:pStyle w:val="CDIFigure-Table-BodyTextLeft"/>
            </w:pPr>
            <w:r>
              <w:t>All</w:t>
            </w:r>
          </w:p>
        </w:tc>
        <w:tc>
          <w:tcPr>
            <w:tcW w:w="10545" w:type="dxa"/>
            <w:shd w:val="clear" w:color="auto" w:fill="F2F2F2" w:themeFill="background1" w:themeFillShade="F2"/>
            <w:tcMar>
              <w:top w:w="113" w:type="dxa"/>
              <w:left w:w="113" w:type="dxa"/>
              <w:bottom w:w="113" w:type="dxa"/>
              <w:right w:w="113" w:type="dxa"/>
            </w:tcMar>
            <w:vAlign w:val="center"/>
          </w:tcPr>
          <w:p w14:paraId="4C9C3A28" w14:textId="77777777" w:rsidR="009E1284" w:rsidRDefault="009E1284" w:rsidP="00037B2F">
            <w:pPr>
              <w:pStyle w:val="CDIFigure-Table-BodyTextLeft"/>
            </w:pPr>
            <w:r>
              <w:t>Universal funded immunisation against rotavirus at 2 and 4 months of age (Rotarix) or at 2, 4 and 6 months of age (</w:t>
            </w:r>
            <w:proofErr w:type="spellStart"/>
            <w:r>
              <w:t>Rotateq</w:t>
            </w:r>
            <w:proofErr w:type="spellEnd"/>
            <w:r>
              <w:t>).</w:t>
            </w:r>
          </w:p>
        </w:tc>
      </w:tr>
      <w:tr w:rsidR="009E1284" w14:paraId="7DFDBF11" w14:textId="77777777" w:rsidTr="009E1284">
        <w:trPr>
          <w:trHeight w:val="20"/>
        </w:trPr>
        <w:tc>
          <w:tcPr>
            <w:tcW w:w="850" w:type="dxa"/>
            <w:vMerge/>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2CC55AD" w14:textId="77777777" w:rsidR="009E1284" w:rsidRDefault="009E1284" w:rsidP="00037B2F">
            <w:pPr>
              <w:pStyle w:val="CDIFigure-Table-BodyTextLeft"/>
            </w:pPr>
          </w:p>
        </w:tc>
        <w:tc>
          <w:tcPr>
            <w:tcW w:w="1474" w:type="dxa"/>
            <w:tcBorders>
              <w:bottom w:val="single" w:sz="4" w:space="0" w:color="033636" w:themeColor="text2"/>
            </w:tcBorders>
            <w:tcMar>
              <w:top w:w="113" w:type="dxa"/>
              <w:left w:w="113" w:type="dxa"/>
              <w:bottom w:w="113" w:type="dxa"/>
              <w:right w:w="113" w:type="dxa"/>
            </w:tcMar>
            <w:vAlign w:val="center"/>
          </w:tcPr>
          <w:p w14:paraId="73FF800C" w14:textId="77777777" w:rsidR="009E1284" w:rsidRDefault="009E1284" w:rsidP="00037B2F">
            <w:pPr>
              <w:pStyle w:val="CDIFigure-Table-BodyTextLeft"/>
            </w:pPr>
            <w:r>
              <w:t>April</w:t>
            </w:r>
          </w:p>
        </w:tc>
        <w:tc>
          <w:tcPr>
            <w:tcW w:w="1474" w:type="dxa"/>
            <w:tcBorders>
              <w:bottom w:val="single" w:sz="4" w:space="0" w:color="033636" w:themeColor="text2"/>
            </w:tcBorders>
            <w:tcMar>
              <w:top w:w="113" w:type="dxa"/>
              <w:left w:w="113" w:type="dxa"/>
              <w:bottom w:w="113" w:type="dxa"/>
              <w:right w:w="113" w:type="dxa"/>
            </w:tcMar>
            <w:vAlign w:val="center"/>
          </w:tcPr>
          <w:p w14:paraId="2BE04107" w14:textId="77777777" w:rsidR="009E1284" w:rsidRDefault="009E1284" w:rsidP="00037B2F">
            <w:pPr>
              <w:pStyle w:val="CDIFigure-Table-BodyTextLeft"/>
            </w:pPr>
            <w:r>
              <w:t>All</w:t>
            </w:r>
          </w:p>
        </w:tc>
        <w:tc>
          <w:tcPr>
            <w:tcW w:w="10545" w:type="dxa"/>
            <w:tcBorders>
              <w:bottom w:val="single" w:sz="4" w:space="0" w:color="033636" w:themeColor="text2"/>
            </w:tcBorders>
            <w:tcMar>
              <w:top w:w="113" w:type="dxa"/>
              <w:left w:w="113" w:type="dxa"/>
              <w:bottom w:w="113" w:type="dxa"/>
              <w:right w:w="113" w:type="dxa"/>
            </w:tcMar>
            <w:vAlign w:val="center"/>
          </w:tcPr>
          <w:p w14:paraId="552B6CE7" w14:textId="77777777" w:rsidR="009E1284" w:rsidRDefault="009E1284" w:rsidP="00037B2F">
            <w:pPr>
              <w:pStyle w:val="CDIFigure-Table-BodyTextLeft"/>
            </w:pPr>
            <w:r>
              <w:t>Funded immunisation against human papillomavirus for all Australian girls aged 12–13 years delivered through a school-based program, with a temporary catch-up program (to December 2009) through schools or primary care providers for females aged 13–26 years.</w:t>
            </w:r>
          </w:p>
        </w:tc>
      </w:tr>
      <w:tr w:rsidR="00037B2F" w14:paraId="78B7B5AE" w14:textId="77777777" w:rsidTr="009E1284">
        <w:trPr>
          <w:trHeight w:val="20"/>
        </w:trPr>
        <w:tc>
          <w:tcPr>
            <w:tcW w:w="850"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A97F7A0" w14:textId="77777777" w:rsidR="00037B2F" w:rsidRDefault="00037B2F" w:rsidP="00037B2F">
            <w:pPr>
              <w:pStyle w:val="CDIFigure-Table-BodyTextLeft"/>
            </w:pPr>
            <w:r>
              <w:t>2005</w:t>
            </w: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035FC3" w14:textId="77777777" w:rsidR="00037B2F" w:rsidRDefault="00037B2F" w:rsidP="00037B2F">
            <w:pPr>
              <w:pStyle w:val="CDIFigure-Table-BodyTextLeft"/>
            </w:pPr>
          </w:p>
        </w:tc>
        <w:tc>
          <w:tcPr>
            <w:tcW w:w="1474"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7D7CE1" w14:textId="77777777" w:rsidR="00037B2F" w:rsidRDefault="00037B2F" w:rsidP="00037B2F">
            <w:pPr>
              <w:pStyle w:val="CDIFigure-Table-BodyTextLeft"/>
            </w:pPr>
            <w:r>
              <w:t>All</w:t>
            </w:r>
          </w:p>
        </w:tc>
        <w:tc>
          <w:tcPr>
            <w:tcW w:w="1054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2C90B0" w14:textId="77777777" w:rsidR="00037B2F" w:rsidRDefault="00037B2F" w:rsidP="00037B2F">
            <w:pPr>
              <w:pStyle w:val="CDIFigure-Table-BodyTextLeft"/>
            </w:pPr>
            <w:r>
              <w:t>Universal 23-valent pneumococcal polysaccharide vaccine (23vPPV) for adults aged 65+ years replaced previous subsidy through the Pharmaceutical Benefits Scheme.</w:t>
            </w:r>
          </w:p>
        </w:tc>
      </w:tr>
      <w:tr w:rsidR="006E1954" w14:paraId="4A9E0156"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3AC1DD41" w14:textId="77777777" w:rsidR="006E1954" w:rsidRDefault="006E1954" w:rsidP="00037B2F">
            <w:pPr>
              <w:pStyle w:val="CDIFigure-Table-BodyTextLeft"/>
            </w:pPr>
          </w:p>
        </w:tc>
        <w:tc>
          <w:tcPr>
            <w:tcW w:w="1474" w:type="dxa"/>
            <w:vMerge w:val="restart"/>
            <w:tcMar>
              <w:top w:w="113" w:type="dxa"/>
              <w:left w:w="113" w:type="dxa"/>
              <w:bottom w:w="113" w:type="dxa"/>
              <w:right w:w="113" w:type="dxa"/>
            </w:tcMar>
            <w:vAlign w:val="center"/>
          </w:tcPr>
          <w:p w14:paraId="3A51E8FF" w14:textId="77777777" w:rsidR="006E1954" w:rsidRDefault="006E1954" w:rsidP="00037B2F">
            <w:pPr>
              <w:pStyle w:val="CDIFigure-Table-BodyTextLeft"/>
            </w:pPr>
            <w:r>
              <w:t>November</w:t>
            </w:r>
          </w:p>
        </w:tc>
        <w:tc>
          <w:tcPr>
            <w:tcW w:w="1474" w:type="dxa"/>
            <w:vMerge w:val="restart"/>
            <w:tcMar>
              <w:top w:w="113" w:type="dxa"/>
              <w:left w:w="113" w:type="dxa"/>
              <w:bottom w:w="113" w:type="dxa"/>
              <w:right w:w="113" w:type="dxa"/>
            </w:tcMar>
            <w:vAlign w:val="center"/>
          </w:tcPr>
          <w:p w14:paraId="73644511" w14:textId="77777777" w:rsidR="006E1954" w:rsidRDefault="006E1954" w:rsidP="00037B2F">
            <w:pPr>
              <w:pStyle w:val="CDIFigure-Table-BodyTextLeft"/>
            </w:pPr>
            <w:r>
              <w:t>All</w:t>
            </w:r>
          </w:p>
        </w:tc>
        <w:tc>
          <w:tcPr>
            <w:tcW w:w="10545" w:type="dxa"/>
            <w:tcMar>
              <w:top w:w="113" w:type="dxa"/>
              <w:left w:w="113" w:type="dxa"/>
              <w:bottom w:w="113" w:type="dxa"/>
              <w:right w:w="113" w:type="dxa"/>
            </w:tcMar>
            <w:vAlign w:val="center"/>
          </w:tcPr>
          <w:p w14:paraId="58B8F50E" w14:textId="5953E4FD" w:rsidR="006E1954" w:rsidRDefault="006E1954" w:rsidP="00037B2F">
            <w:pPr>
              <w:pStyle w:val="CDIFigure-Table-BodyTextLeft"/>
            </w:pPr>
            <w:r>
              <w:t>Universal funded immunisation against varicella at 18 months of age with a school-based catch-up program for children at 10–13 years of age not previously vaccinated and without a history of varicella infection (no funded catch-up for children 2–10 years of age).</w:t>
            </w:r>
          </w:p>
        </w:tc>
      </w:tr>
      <w:tr w:rsidR="006E1954" w14:paraId="23E952AE"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125E0380" w14:textId="77777777" w:rsidR="006E1954" w:rsidRDefault="006E1954" w:rsidP="00037B2F">
            <w:pPr>
              <w:pStyle w:val="CDIFigure-Table-BodyTextLeft"/>
            </w:pPr>
          </w:p>
        </w:tc>
        <w:tc>
          <w:tcPr>
            <w:tcW w:w="1474" w:type="dxa"/>
            <w:vMerge/>
            <w:tcMar>
              <w:top w:w="113" w:type="dxa"/>
              <w:left w:w="113" w:type="dxa"/>
              <w:bottom w:w="113" w:type="dxa"/>
              <w:right w:w="113" w:type="dxa"/>
            </w:tcMar>
            <w:vAlign w:val="center"/>
          </w:tcPr>
          <w:p w14:paraId="3BB90E7B" w14:textId="77777777" w:rsidR="006E1954" w:rsidRDefault="006E1954" w:rsidP="00037B2F">
            <w:pPr>
              <w:pStyle w:val="CDIFigure-Table-BodyTextLeft"/>
            </w:pPr>
          </w:p>
        </w:tc>
        <w:tc>
          <w:tcPr>
            <w:tcW w:w="1474" w:type="dxa"/>
            <w:vMerge/>
            <w:tcMar>
              <w:top w:w="113" w:type="dxa"/>
              <w:left w:w="113" w:type="dxa"/>
              <w:bottom w:w="113" w:type="dxa"/>
              <w:right w:w="113" w:type="dxa"/>
            </w:tcMar>
            <w:vAlign w:val="center"/>
          </w:tcPr>
          <w:p w14:paraId="456D5B60" w14:textId="77777777" w:rsidR="006E1954" w:rsidRDefault="006E1954" w:rsidP="00037B2F">
            <w:pPr>
              <w:pStyle w:val="CDIFigure-Table-BodyTextLeft"/>
            </w:pPr>
          </w:p>
        </w:tc>
        <w:tc>
          <w:tcPr>
            <w:tcW w:w="10545" w:type="dxa"/>
            <w:tcMar>
              <w:top w:w="113" w:type="dxa"/>
              <w:left w:w="113" w:type="dxa"/>
              <w:bottom w:w="113" w:type="dxa"/>
              <w:right w:w="113" w:type="dxa"/>
            </w:tcMar>
            <w:vAlign w:val="center"/>
          </w:tcPr>
          <w:p w14:paraId="0F5751C9" w14:textId="02849CD9" w:rsidR="006E1954" w:rsidRDefault="006E1954" w:rsidP="00037B2F">
            <w:pPr>
              <w:pStyle w:val="CDIFigure-Table-BodyTextLeft"/>
            </w:pPr>
            <w:r>
              <w:t>IPV was funded to replace OPV, in combination vaccines.</w:t>
            </w:r>
          </w:p>
        </w:tc>
      </w:tr>
      <w:tr w:rsidR="00037B2F" w14:paraId="084F9BAC" w14:textId="77777777" w:rsidTr="009E1284">
        <w:trPr>
          <w:trHeight w:val="20"/>
        </w:trPr>
        <w:tc>
          <w:tcPr>
            <w:tcW w:w="850" w:type="dxa"/>
            <w:vMerge/>
            <w:tcBorders>
              <w:bottom w:val="single" w:sz="4" w:space="0" w:color="033636" w:themeColor="text2"/>
            </w:tcBorders>
            <w:shd w:val="clear" w:color="auto" w:fill="C5FFEF" w:themeFill="background2" w:themeFillTint="33"/>
          </w:tcPr>
          <w:p w14:paraId="2AA6259F" w14:textId="77777777" w:rsidR="00037B2F" w:rsidRDefault="00037B2F" w:rsidP="00037B2F">
            <w:pPr>
              <w:pStyle w:val="CDIFigure-Table-BodyTextLeft"/>
            </w:pP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2FE1562" w14:textId="77777777" w:rsidR="00037B2F" w:rsidRDefault="00037B2F" w:rsidP="00037B2F">
            <w:pPr>
              <w:pStyle w:val="CDIFigure-Table-BodyTextLeft"/>
            </w:pPr>
            <w:r>
              <w:t>January</w:t>
            </w:r>
          </w:p>
        </w:tc>
        <w:tc>
          <w:tcPr>
            <w:tcW w:w="14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873B87" w14:textId="77777777" w:rsidR="00037B2F" w:rsidRDefault="00037B2F" w:rsidP="00037B2F">
            <w:pPr>
              <w:pStyle w:val="CDIFigure-Table-BodyTextLeft"/>
            </w:pPr>
            <w:r>
              <w:t>All</w:t>
            </w:r>
          </w:p>
        </w:tc>
        <w:tc>
          <w:tcPr>
            <w:tcW w:w="105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03653C" w14:textId="77777777" w:rsidR="00037B2F" w:rsidRDefault="00037B2F" w:rsidP="00037B2F">
            <w:pPr>
              <w:pStyle w:val="CDIFigure-Table-BodyTextLeft"/>
            </w:pPr>
            <w:r>
              <w:t>Universal funded infant 7-valent pneumococcal conjugate vaccine (7vPCV) program replaced the previous targeted childhood program, with a catch-up program for children aged &lt; 2 years.</w:t>
            </w:r>
          </w:p>
        </w:tc>
      </w:tr>
    </w:tbl>
    <w:p w14:paraId="100D203A" w14:textId="77777777" w:rsidR="006C4818" w:rsidRDefault="006C4818" w:rsidP="006C4818">
      <w:pPr>
        <w:pStyle w:val="CDIFigure-Table-FirstFootnote"/>
      </w:pPr>
      <w:proofErr w:type="spellStart"/>
      <w:r>
        <w:t>a</w:t>
      </w:r>
      <w:proofErr w:type="spellEnd"/>
      <w:r>
        <w:tab/>
      </w:r>
      <w:proofErr w:type="gramStart"/>
      <w:r>
        <w:t>For</w:t>
      </w:r>
      <w:proofErr w:type="gramEnd"/>
      <w:r>
        <w:t xml:space="preserve"> documentation, please refer to references 5–20. For abbreviations used, please refer to Table A.3.</w:t>
      </w:r>
    </w:p>
    <w:p w14:paraId="629A0F69" w14:textId="77777777" w:rsidR="006C4818" w:rsidRDefault="006C4818" w:rsidP="006C4818">
      <w:pPr>
        <w:pStyle w:val="CDIFigure-Table-Footnote"/>
      </w:pPr>
      <w:r>
        <w:t>b</w:t>
      </w:r>
      <w:r>
        <w:tab/>
        <w:t>ACT: Australian Capital Territory; NSW: New South Wales; NT: Northern Territory; Qld: Queensland; SA: South Australia; Tas.: Tasmania; Vic.: Victoria; WA: Western Australia.</w:t>
      </w:r>
    </w:p>
    <w:p w14:paraId="2644CA7A" w14:textId="578122B7" w:rsidR="00AC0F5D" w:rsidRDefault="006C4818" w:rsidP="00912A31">
      <w:pPr>
        <w:pStyle w:val="CDIFigure-Table-Footnote"/>
      </w:pPr>
      <w:r>
        <w:t>c</w:t>
      </w:r>
      <w:r>
        <w:tab/>
      </w:r>
      <w:proofErr w:type="gramStart"/>
      <w:r>
        <w:t>For</w:t>
      </w:r>
      <w:proofErr w:type="gramEnd"/>
      <w:r>
        <w:t xml:space="preserve"> more details see the meningococcal vaccination history table at </w:t>
      </w:r>
      <w:r w:rsidR="00037B2F" w:rsidRPr="00037B2F">
        <w:t>http://ncirs.org.au/sites/default/files/2019-04/Meningococcal-history-April-2019.pdf</w:t>
      </w:r>
      <w:r>
        <w:t>.</w:t>
      </w:r>
    </w:p>
    <w:p w14:paraId="381883C9" w14:textId="77777777" w:rsidR="00AC0F5D" w:rsidRDefault="00AC0F5D" w:rsidP="00B33E0B">
      <w:pPr>
        <w:sectPr w:rsidR="00AC0F5D" w:rsidSect="001A26DD">
          <w:footerReference w:type="default" r:id="rId22"/>
          <w:pgSz w:w="16840" w:h="11907" w:orient="landscape" w:code="9"/>
          <w:pgMar w:top="1134" w:right="1304" w:bottom="1134" w:left="1304" w:header="709" w:footer="527" w:gutter="0"/>
          <w:cols w:space="708"/>
          <w:docGrid w:linePitch="360"/>
        </w:sectPr>
      </w:pPr>
    </w:p>
    <w:p w14:paraId="39BBA877" w14:textId="0FC81A95" w:rsidR="00037B2F" w:rsidRDefault="00037B2F" w:rsidP="00006D10">
      <w:pPr>
        <w:pStyle w:val="TableTitle-nospacebefore"/>
      </w:pPr>
      <w:r>
        <w:lastRenderedPageBreak/>
        <w:t>Table A.2: Description of PT to SMQ mapping</w:t>
      </w:r>
    </w:p>
    <w:tbl>
      <w:tblPr>
        <w:tblW w:w="0" w:type="auto"/>
        <w:tblInd w:w="-8" w:type="dxa"/>
        <w:tblLayout w:type="fixed"/>
        <w:tblCellMar>
          <w:left w:w="0" w:type="dxa"/>
          <w:right w:w="0" w:type="dxa"/>
        </w:tblCellMar>
        <w:tblLook w:val="0000" w:firstRow="0" w:lastRow="0" w:firstColumn="0" w:lastColumn="0" w:noHBand="0" w:noVBand="0"/>
        <w:tblCaption w:val="Table A.2: Description of PT to SMQ mapping"/>
        <w:tblDescription w:val="Table A.2 describes the mapping of MedDRA Preferred Terms (PT) for AEFI reports onto Standardised MedDRA queries (SMQ)."/>
      </w:tblPr>
      <w:tblGrid>
        <w:gridCol w:w="2551"/>
        <w:gridCol w:w="7087"/>
      </w:tblGrid>
      <w:tr w:rsidR="00037B2F" w14:paraId="01D0A183" w14:textId="77777777" w:rsidTr="000C7CBC">
        <w:trPr>
          <w:trHeight w:val="20"/>
          <w:tblHeader/>
        </w:trPr>
        <w:tc>
          <w:tcPr>
            <w:tcW w:w="2551" w:type="dxa"/>
            <w:shd w:val="clear" w:color="auto" w:fill="033636" w:themeFill="text2"/>
            <w:tcMar>
              <w:top w:w="113" w:type="dxa"/>
              <w:left w:w="113" w:type="dxa"/>
              <w:bottom w:w="113" w:type="dxa"/>
              <w:right w:w="113" w:type="dxa"/>
            </w:tcMar>
            <w:vAlign w:val="center"/>
          </w:tcPr>
          <w:p w14:paraId="4D0043B3" w14:textId="77777777" w:rsidR="00037B2F" w:rsidRDefault="00037B2F" w:rsidP="00037B2F">
            <w:pPr>
              <w:pStyle w:val="CDIFigure-Table-H1Left"/>
            </w:pPr>
            <w:r>
              <w:t>Number of SMQs mapped</w:t>
            </w:r>
          </w:p>
        </w:tc>
        <w:tc>
          <w:tcPr>
            <w:tcW w:w="7087" w:type="dxa"/>
            <w:shd w:val="clear" w:color="auto" w:fill="033636" w:themeFill="text2"/>
            <w:tcMar>
              <w:top w:w="113" w:type="dxa"/>
              <w:left w:w="113" w:type="dxa"/>
              <w:bottom w:w="113" w:type="dxa"/>
              <w:right w:w="113" w:type="dxa"/>
            </w:tcMar>
            <w:vAlign w:val="center"/>
          </w:tcPr>
          <w:p w14:paraId="1E32115B" w14:textId="77777777" w:rsidR="00037B2F" w:rsidRDefault="00037B2F" w:rsidP="00037B2F">
            <w:pPr>
              <w:pStyle w:val="CDIFigure-Table-H1Left"/>
            </w:pPr>
            <w:r>
              <w:t>Term reported</w:t>
            </w:r>
          </w:p>
        </w:tc>
      </w:tr>
      <w:tr w:rsidR="00037B2F" w14:paraId="432B3D63" w14:textId="77777777" w:rsidTr="000C7CBC">
        <w:trPr>
          <w:trHeight w:val="20"/>
        </w:trPr>
        <w:tc>
          <w:tcPr>
            <w:tcW w:w="2551" w:type="dxa"/>
            <w:shd w:val="clear" w:color="auto" w:fill="F2F2F2" w:themeFill="background1" w:themeFillShade="F2"/>
            <w:tcMar>
              <w:top w:w="113" w:type="dxa"/>
              <w:left w:w="113" w:type="dxa"/>
              <w:bottom w:w="113" w:type="dxa"/>
              <w:right w:w="113" w:type="dxa"/>
            </w:tcMar>
            <w:vAlign w:val="center"/>
          </w:tcPr>
          <w:p w14:paraId="3BD0BCB6" w14:textId="77777777" w:rsidR="00037B2F" w:rsidRDefault="00037B2F" w:rsidP="000C7CBC">
            <w:pPr>
              <w:pStyle w:val="CDIFigure-Table-BodyTextLeft"/>
            </w:pPr>
            <w:r>
              <w:t>0</w:t>
            </w:r>
          </w:p>
        </w:tc>
        <w:tc>
          <w:tcPr>
            <w:tcW w:w="7087" w:type="dxa"/>
            <w:shd w:val="clear" w:color="auto" w:fill="F2F2F2" w:themeFill="background1" w:themeFillShade="F2"/>
            <w:tcMar>
              <w:top w:w="113" w:type="dxa"/>
              <w:left w:w="113" w:type="dxa"/>
              <w:bottom w:w="113" w:type="dxa"/>
              <w:right w:w="113" w:type="dxa"/>
            </w:tcMar>
            <w:vAlign w:val="center"/>
          </w:tcPr>
          <w:p w14:paraId="51E46CB5" w14:textId="77777777" w:rsidR="00037B2F" w:rsidRDefault="00037B2F" w:rsidP="000C7CBC">
            <w:pPr>
              <w:pStyle w:val="CDIFigure-Table-BodyTextLeft"/>
            </w:pPr>
            <w:r>
              <w:t>PT</w:t>
            </w:r>
          </w:p>
        </w:tc>
      </w:tr>
      <w:tr w:rsidR="00037B2F" w14:paraId="0B2C9CBC" w14:textId="77777777" w:rsidTr="000C7CBC">
        <w:trPr>
          <w:trHeight w:val="20"/>
        </w:trPr>
        <w:tc>
          <w:tcPr>
            <w:tcW w:w="2551" w:type="dxa"/>
            <w:tcMar>
              <w:top w:w="113" w:type="dxa"/>
              <w:left w:w="113" w:type="dxa"/>
              <w:bottom w:w="113" w:type="dxa"/>
              <w:right w:w="113" w:type="dxa"/>
            </w:tcMar>
            <w:vAlign w:val="center"/>
          </w:tcPr>
          <w:p w14:paraId="6CDECC70" w14:textId="77777777" w:rsidR="00037B2F" w:rsidRDefault="00037B2F" w:rsidP="000C7CBC">
            <w:pPr>
              <w:pStyle w:val="CDIFigure-Table-BodyTextLeft"/>
            </w:pPr>
            <w:r>
              <w:t>1</w:t>
            </w:r>
          </w:p>
        </w:tc>
        <w:tc>
          <w:tcPr>
            <w:tcW w:w="7087" w:type="dxa"/>
            <w:tcMar>
              <w:top w:w="113" w:type="dxa"/>
              <w:left w:w="113" w:type="dxa"/>
              <w:bottom w:w="113" w:type="dxa"/>
              <w:right w:w="113" w:type="dxa"/>
            </w:tcMar>
            <w:vAlign w:val="center"/>
          </w:tcPr>
          <w:p w14:paraId="3A55DDD9" w14:textId="77777777" w:rsidR="00037B2F" w:rsidRDefault="00037B2F" w:rsidP="000C7CBC">
            <w:pPr>
              <w:pStyle w:val="CDIFigure-Table-BodyTextLeft"/>
            </w:pPr>
            <w:r>
              <w:t>SMQ</w:t>
            </w:r>
          </w:p>
        </w:tc>
      </w:tr>
      <w:tr w:rsidR="00037B2F" w14:paraId="5249245B" w14:textId="77777777" w:rsidTr="000C7CBC">
        <w:trPr>
          <w:trHeight w:val="20"/>
        </w:trPr>
        <w:tc>
          <w:tcPr>
            <w:tcW w:w="2551" w:type="dxa"/>
            <w:shd w:val="clear" w:color="auto" w:fill="F2F2F2" w:themeFill="background1" w:themeFillShade="F2"/>
            <w:tcMar>
              <w:top w:w="113" w:type="dxa"/>
              <w:left w:w="113" w:type="dxa"/>
              <w:bottom w:w="113" w:type="dxa"/>
              <w:right w:w="113" w:type="dxa"/>
            </w:tcMar>
            <w:vAlign w:val="center"/>
          </w:tcPr>
          <w:p w14:paraId="4985960A" w14:textId="77777777" w:rsidR="00037B2F" w:rsidRDefault="00037B2F" w:rsidP="000C7CBC">
            <w:pPr>
              <w:pStyle w:val="CDIFigure-Table-BodyTextLeft"/>
            </w:pPr>
            <w:r>
              <w:t>&gt; 1 (different levels)</w:t>
            </w:r>
          </w:p>
        </w:tc>
        <w:tc>
          <w:tcPr>
            <w:tcW w:w="7087" w:type="dxa"/>
            <w:shd w:val="clear" w:color="auto" w:fill="F2F2F2" w:themeFill="background1" w:themeFillShade="F2"/>
            <w:tcMar>
              <w:top w:w="113" w:type="dxa"/>
              <w:left w:w="113" w:type="dxa"/>
              <w:bottom w:w="113" w:type="dxa"/>
              <w:right w:w="113" w:type="dxa"/>
            </w:tcMar>
            <w:vAlign w:val="center"/>
          </w:tcPr>
          <w:p w14:paraId="24D9CAE3" w14:textId="77777777" w:rsidR="00037B2F" w:rsidRDefault="00037B2F" w:rsidP="000C7CBC">
            <w:pPr>
              <w:pStyle w:val="CDIFigure-Table-BodyTextLeft"/>
            </w:pPr>
            <w:r>
              <w:t>SMQ of highest level (most descriptive)</w:t>
            </w:r>
          </w:p>
        </w:tc>
      </w:tr>
      <w:tr w:rsidR="00037B2F" w14:paraId="05F1917F" w14:textId="77777777" w:rsidTr="000C7CBC">
        <w:trPr>
          <w:trHeight w:val="20"/>
        </w:trPr>
        <w:tc>
          <w:tcPr>
            <w:tcW w:w="2551" w:type="dxa"/>
            <w:tcBorders>
              <w:bottom w:val="single" w:sz="4" w:space="0" w:color="033636" w:themeColor="text2"/>
            </w:tcBorders>
            <w:tcMar>
              <w:top w:w="113" w:type="dxa"/>
              <w:left w:w="113" w:type="dxa"/>
              <w:bottom w:w="113" w:type="dxa"/>
              <w:right w:w="113" w:type="dxa"/>
            </w:tcMar>
            <w:vAlign w:val="center"/>
          </w:tcPr>
          <w:p w14:paraId="5B04923F" w14:textId="77777777" w:rsidR="00037B2F" w:rsidRDefault="00037B2F" w:rsidP="000C7CBC">
            <w:pPr>
              <w:pStyle w:val="CDIFigure-Table-BodyTextLeft"/>
            </w:pPr>
            <w:r>
              <w:t>&gt; 1 (same level)</w:t>
            </w:r>
          </w:p>
        </w:tc>
        <w:tc>
          <w:tcPr>
            <w:tcW w:w="7087" w:type="dxa"/>
            <w:tcBorders>
              <w:bottom w:val="single" w:sz="4" w:space="0" w:color="033636" w:themeColor="text2"/>
            </w:tcBorders>
            <w:tcMar>
              <w:top w:w="113" w:type="dxa"/>
              <w:left w:w="113" w:type="dxa"/>
              <w:bottom w:w="113" w:type="dxa"/>
              <w:right w:w="113" w:type="dxa"/>
            </w:tcMar>
            <w:vAlign w:val="center"/>
          </w:tcPr>
          <w:p w14:paraId="596B56E6" w14:textId="77777777" w:rsidR="00037B2F" w:rsidRDefault="00037B2F" w:rsidP="000C7CBC">
            <w:pPr>
              <w:pStyle w:val="CDIFigure-Table-BodyTextLeft"/>
            </w:pPr>
            <w:r>
              <w:t>SMQ preferred following clinician review and adjudication, or PT if preferred SMQ could not be chosen</w:t>
            </w:r>
          </w:p>
        </w:tc>
      </w:tr>
    </w:tbl>
    <w:p w14:paraId="09BC9DC0" w14:textId="3CEAE5B0" w:rsidR="00037B2F" w:rsidRDefault="00037B2F" w:rsidP="00037B2F">
      <w:pPr>
        <w:pStyle w:val="CDIFigure-Table-Titlemorespacebefore"/>
      </w:pPr>
      <w:r>
        <w:t>Table A.3: Abbreviations of vaccine types and other terms</w:t>
      </w:r>
    </w:p>
    <w:tbl>
      <w:tblPr>
        <w:tblW w:w="0" w:type="auto"/>
        <w:tblInd w:w="-8" w:type="dxa"/>
        <w:tblLayout w:type="fixed"/>
        <w:tblCellMar>
          <w:left w:w="0" w:type="dxa"/>
          <w:right w:w="0" w:type="dxa"/>
        </w:tblCellMar>
        <w:tblLook w:val="0000" w:firstRow="0" w:lastRow="0" w:firstColumn="0" w:lastColumn="0" w:noHBand="0" w:noVBand="0"/>
        <w:tblCaption w:val="Table A.3: Abbreviations of vaccine types and other terms"/>
        <w:tblDescription w:val="A table showing the abbreviations used for vaccine types described within the AEFI report, and for related terms. "/>
      </w:tblPr>
      <w:tblGrid>
        <w:gridCol w:w="2551"/>
        <w:gridCol w:w="7087"/>
      </w:tblGrid>
      <w:tr w:rsidR="00037B2F" w14:paraId="015EDA52" w14:textId="77777777" w:rsidTr="00B16C0A">
        <w:trPr>
          <w:trHeight w:val="20"/>
          <w:tblHeader/>
        </w:trPr>
        <w:tc>
          <w:tcPr>
            <w:tcW w:w="2551" w:type="dxa"/>
            <w:shd w:val="clear" w:color="auto" w:fill="033636" w:themeFill="text2"/>
            <w:tcMar>
              <w:top w:w="113" w:type="dxa"/>
              <w:left w:w="113" w:type="dxa"/>
              <w:bottom w:w="113" w:type="dxa"/>
              <w:right w:w="113" w:type="dxa"/>
            </w:tcMar>
            <w:vAlign w:val="center"/>
          </w:tcPr>
          <w:p w14:paraId="5ABCB1E1" w14:textId="77777777" w:rsidR="00037B2F" w:rsidRDefault="00037B2F" w:rsidP="00B16C0A">
            <w:pPr>
              <w:pStyle w:val="CDIFigure-Table-H1Left"/>
            </w:pPr>
            <w:r>
              <w:t>Abbreviation</w:t>
            </w:r>
          </w:p>
        </w:tc>
        <w:tc>
          <w:tcPr>
            <w:tcW w:w="7087" w:type="dxa"/>
            <w:shd w:val="clear" w:color="auto" w:fill="033636" w:themeFill="text2"/>
            <w:tcMar>
              <w:top w:w="113" w:type="dxa"/>
              <w:left w:w="113" w:type="dxa"/>
              <w:bottom w:w="113" w:type="dxa"/>
              <w:right w:w="113" w:type="dxa"/>
            </w:tcMar>
            <w:vAlign w:val="center"/>
          </w:tcPr>
          <w:p w14:paraId="1400E506" w14:textId="77777777" w:rsidR="00037B2F" w:rsidRDefault="00037B2F" w:rsidP="00B16C0A">
            <w:pPr>
              <w:pStyle w:val="CDIFigure-Table-H1Left"/>
            </w:pPr>
            <w:r>
              <w:t>In full</w:t>
            </w:r>
          </w:p>
        </w:tc>
      </w:tr>
      <w:tr w:rsidR="00037B2F" w14:paraId="051FF6C4"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2EEA25AD" w14:textId="77777777" w:rsidR="00037B2F" w:rsidRDefault="00037B2F" w:rsidP="00B16C0A">
            <w:pPr>
              <w:pStyle w:val="CDIFigure-Table-BodyTextLeft"/>
            </w:pPr>
            <w:r>
              <w:t>13vPCV</w:t>
            </w:r>
          </w:p>
        </w:tc>
        <w:tc>
          <w:tcPr>
            <w:tcW w:w="7087" w:type="dxa"/>
            <w:shd w:val="clear" w:color="auto" w:fill="F2F2F2" w:themeFill="background1" w:themeFillShade="F2"/>
            <w:tcMar>
              <w:top w:w="113" w:type="dxa"/>
              <w:left w:w="113" w:type="dxa"/>
              <w:bottom w:w="113" w:type="dxa"/>
              <w:right w:w="113" w:type="dxa"/>
            </w:tcMar>
            <w:vAlign w:val="center"/>
          </w:tcPr>
          <w:p w14:paraId="67B425EE" w14:textId="77777777" w:rsidR="00037B2F" w:rsidRDefault="00037B2F" w:rsidP="00B16C0A">
            <w:pPr>
              <w:pStyle w:val="CDIFigure-Table-BodyTextLeft"/>
            </w:pPr>
            <w:r>
              <w:t>13-valent pneumococcal conjugate vaccine</w:t>
            </w:r>
          </w:p>
        </w:tc>
      </w:tr>
      <w:tr w:rsidR="00037B2F" w14:paraId="695B7F00" w14:textId="77777777" w:rsidTr="00B16C0A">
        <w:trPr>
          <w:trHeight w:val="20"/>
        </w:trPr>
        <w:tc>
          <w:tcPr>
            <w:tcW w:w="2551" w:type="dxa"/>
            <w:tcMar>
              <w:top w:w="113" w:type="dxa"/>
              <w:left w:w="113" w:type="dxa"/>
              <w:bottom w:w="113" w:type="dxa"/>
              <w:right w:w="113" w:type="dxa"/>
            </w:tcMar>
            <w:vAlign w:val="center"/>
          </w:tcPr>
          <w:p w14:paraId="364A6A29" w14:textId="77777777" w:rsidR="00037B2F" w:rsidRDefault="00037B2F" w:rsidP="00B16C0A">
            <w:pPr>
              <w:pStyle w:val="CDIFigure-Table-BodyTextLeft"/>
            </w:pPr>
            <w:r>
              <w:t>23vPPV</w:t>
            </w:r>
          </w:p>
        </w:tc>
        <w:tc>
          <w:tcPr>
            <w:tcW w:w="7087" w:type="dxa"/>
            <w:tcMar>
              <w:top w:w="113" w:type="dxa"/>
              <w:left w:w="113" w:type="dxa"/>
              <w:bottom w:w="113" w:type="dxa"/>
              <w:right w:w="113" w:type="dxa"/>
            </w:tcMar>
            <w:vAlign w:val="center"/>
          </w:tcPr>
          <w:p w14:paraId="5FD78022" w14:textId="77777777" w:rsidR="00037B2F" w:rsidRDefault="00037B2F" w:rsidP="00B16C0A">
            <w:pPr>
              <w:pStyle w:val="CDIFigure-Table-BodyTextLeft"/>
            </w:pPr>
            <w:r>
              <w:t>23-valent pneumococcal polysaccharide vaccine</w:t>
            </w:r>
          </w:p>
        </w:tc>
      </w:tr>
      <w:tr w:rsidR="00037B2F" w14:paraId="7489513A"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76241D5B" w14:textId="77777777" w:rsidR="00037B2F" w:rsidRDefault="00037B2F" w:rsidP="00B16C0A">
            <w:pPr>
              <w:pStyle w:val="CDIFigure-Table-BodyTextLeft"/>
            </w:pPr>
            <w:r>
              <w:t>7vPCV</w:t>
            </w:r>
          </w:p>
        </w:tc>
        <w:tc>
          <w:tcPr>
            <w:tcW w:w="7087" w:type="dxa"/>
            <w:shd w:val="clear" w:color="auto" w:fill="F2F2F2" w:themeFill="background1" w:themeFillShade="F2"/>
            <w:tcMar>
              <w:top w:w="113" w:type="dxa"/>
              <w:left w:w="113" w:type="dxa"/>
              <w:bottom w:w="113" w:type="dxa"/>
              <w:right w:w="113" w:type="dxa"/>
            </w:tcMar>
            <w:vAlign w:val="center"/>
          </w:tcPr>
          <w:p w14:paraId="62871DA6" w14:textId="77777777" w:rsidR="00037B2F" w:rsidRDefault="00037B2F" w:rsidP="00B16C0A">
            <w:pPr>
              <w:pStyle w:val="CDIFigure-Table-BodyTextLeft"/>
            </w:pPr>
            <w:r>
              <w:t>7-valent pneumococcal conjugate vaccine</w:t>
            </w:r>
          </w:p>
        </w:tc>
      </w:tr>
      <w:tr w:rsidR="00037B2F" w14:paraId="58E0192F" w14:textId="77777777" w:rsidTr="00B16C0A">
        <w:trPr>
          <w:trHeight w:val="20"/>
        </w:trPr>
        <w:tc>
          <w:tcPr>
            <w:tcW w:w="2551" w:type="dxa"/>
            <w:tcMar>
              <w:top w:w="113" w:type="dxa"/>
              <w:left w:w="113" w:type="dxa"/>
              <w:bottom w:w="113" w:type="dxa"/>
              <w:right w:w="113" w:type="dxa"/>
            </w:tcMar>
            <w:vAlign w:val="center"/>
          </w:tcPr>
          <w:p w14:paraId="52FE1BCD" w14:textId="77777777" w:rsidR="00037B2F" w:rsidRDefault="00037B2F" w:rsidP="00B16C0A">
            <w:pPr>
              <w:pStyle w:val="CDIFigure-Table-BodyTextLeft"/>
            </w:pPr>
            <w:r>
              <w:t>AEFI</w:t>
            </w:r>
          </w:p>
        </w:tc>
        <w:tc>
          <w:tcPr>
            <w:tcW w:w="7087" w:type="dxa"/>
            <w:tcMar>
              <w:top w:w="113" w:type="dxa"/>
              <w:left w:w="113" w:type="dxa"/>
              <w:bottom w:w="113" w:type="dxa"/>
              <w:right w:w="113" w:type="dxa"/>
            </w:tcMar>
            <w:vAlign w:val="center"/>
          </w:tcPr>
          <w:p w14:paraId="797D5984" w14:textId="77777777" w:rsidR="00037B2F" w:rsidRDefault="00037B2F" w:rsidP="00B16C0A">
            <w:pPr>
              <w:pStyle w:val="CDIFigure-Table-BodyTextLeft"/>
            </w:pPr>
            <w:r>
              <w:t>adverse event following immunisation</w:t>
            </w:r>
          </w:p>
        </w:tc>
      </w:tr>
      <w:tr w:rsidR="00037B2F" w14:paraId="3F0D466B"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28330036" w14:textId="77777777" w:rsidR="00037B2F" w:rsidRDefault="00037B2F" w:rsidP="00B16C0A">
            <w:pPr>
              <w:pStyle w:val="CDIFigure-Table-BodyTextLeft"/>
            </w:pPr>
            <w:r>
              <w:t>AEMS</w:t>
            </w:r>
          </w:p>
        </w:tc>
        <w:tc>
          <w:tcPr>
            <w:tcW w:w="7087" w:type="dxa"/>
            <w:shd w:val="clear" w:color="auto" w:fill="F2F2F2" w:themeFill="background1" w:themeFillShade="F2"/>
            <w:tcMar>
              <w:top w:w="113" w:type="dxa"/>
              <w:left w:w="113" w:type="dxa"/>
              <w:bottom w:w="113" w:type="dxa"/>
              <w:right w:w="113" w:type="dxa"/>
            </w:tcMar>
            <w:vAlign w:val="center"/>
          </w:tcPr>
          <w:p w14:paraId="479BCCD1" w14:textId="77777777" w:rsidR="00037B2F" w:rsidRDefault="00037B2F" w:rsidP="00B16C0A">
            <w:pPr>
              <w:pStyle w:val="CDIFigure-Table-BodyTextLeft"/>
            </w:pPr>
            <w:r>
              <w:t>Adverse Event Management System</w:t>
            </w:r>
          </w:p>
        </w:tc>
      </w:tr>
      <w:tr w:rsidR="00037B2F" w14:paraId="0CAF1EDB" w14:textId="77777777" w:rsidTr="00B16C0A">
        <w:trPr>
          <w:trHeight w:val="20"/>
        </w:trPr>
        <w:tc>
          <w:tcPr>
            <w:tcW w:w="2551" w:type="dxa"/>
            <w:tcMar>
              <w:top w:w="113" w:type="dxa"/>
              <w:left w:w="113" w:type="dxa"/>
              <w:bottom w:w="113" w:type="dxa"/>
              <w:right w:w="113" w:type="dxa"/>
            </w:tcMar>
            <w:vAlign w:val="center"/>
          </w:tcPr>
          <w:p w14:paraId="7B533E33" w14:textId="77777777" w:rsidR="00037B2F" w:rsidRDefault="00037B2F" w:rsidP="00B16C0A">
            <w:pPr>
              <w:pStyle w:val="CDIFigure-Table-BodyTextLeft"/>
            </w:pPr>
            <w:r>
              <w:t>CI</w:t>
            </w:r>
          </w:p>
        </w:tc>
        <w:tc>
          <w:tcPr>
            <w:tcW w:w="7087" w:type="dxa"/>
            <w:tcMar>
              <w:top w:w="113" w:type="dxa"/>
              <w:left w:w="113" w:type="dxa"/>
              <w:bottom w:w="113" w:type="dxa"/>
              <w:right w:w="113" w:type="dxa"/>
            </w:tcMar>
            <w:vAlign w:val="center"/>
          </w:tcPr>
          <w:p w14:paraId="438627BC" w14:textId="77777777" w:rsidR="00037B2F" w:rsidRDefault="00037B2F" w:rsidP="00B16C0A">
            <w:pPr>
              <w:pStyle w:val="CDIFigure-Table-BodyTextLeft"/>
            </w:pPr>
            <w:r>
              <w:t>confidence interval</w:t>
            </w:r>
          </w:p>
        </w:tc>
      </w:tr>
      <w:tr w:rsidR="00037B2F" w14:paraId="731917CE"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353F7CF1" w14:textId="77777777" w:rsidR="00037B2F" w:rsidRDefault="00037B2F" w:rsidP="00B16C0A">
            <w:pPr>
              <w:pStyle w:val="CDIFigure-Table-BodyTextLeft"/>
            </w:pPr>
            <w:r>
              <w:t>DAEN</w:t>
            </w:r>
          </w:p>
        </w:tc>
        <w:tc>
          <w:tcPr>
            <w:tcW w:w="7087" w:type="dxa"/>
            <w:shd w:val="clear" w:color="auto" w:fill="F2F2F2" w:themeFill="background1" w:themeFillShade="F2"/>
            <w:tcMar>
              <w:top w:w="113" w:type="dxa"/>
              <w:left w:w="113" w:type="dxa"/>
              <w:bottom w:w="113" w:type="dxa"/>
              <w:right w:w="113" w:type="dxa"/>
            </w:tcMar>
            <w:vAlign w:val="center"/>
          </w:tcPr>
          <w:p w14:paraId="5FA90B08" w14:textId="77777777" w:rsidR="00037B2F" w:rsidRDefault="00037B2F" w:rsidP="00B16C0A">
            <w:pPr>
              <w:pStyle w:val="CDIFigure-Table-BodyTextLeft"/>
            </w:pPr>
            <w:r>
              <w:t>Database of Adverse Event Notifications</w:t>
            </w:r>
          </w:p>
        </w:tc>
      </w:tr>
      <w:tr w:rsidR="00037B2F" w14:paraId="5C45FED8" w14:textId="77777777" w:rsidTr="00B16C0A">
        <w:trPr>
          <w:trHeight w:val="20"/>
        </w:trPr>
        <w:tc>
          <w:tcPr>
            <w:tcW w:w="2551" w:type="dxa"/>
            <w:tcMar>
              <w:top w:w="113" w:type="dxa"/>
              <w:left w:w="113" w:type="dxa"/>
              <w:bottom w:w="113" w:type="dxa"/>
              <w:right w:w="113" w:type="dxa"/>
            </w:tcMar>
            <w:vAlign w:val="center"/>
          </w:tcPr>
          <w:p w14:paraId="24B33B3D" w14:textId="77777777" w:rsidR="00037B2F" w:rsidRDefault="00037B2F" w:rsidP="00B16C0A">
            <w:pPr>
              <w:pStyle w:val="CDIFigure-Table-BodyTextLeft"/>
            </w:pPr>
            <w:proofErr w:type="spellStart"/>
            <w:r>
              <w:t>DTPa</w:t>
            </w:r>
            <w:proofErr w:type="spellEnd"/>
          </w:p>
        </w:tc>
        <w:tc>
          <w:tcPr>
            <w:tcW w:w="7087" w:type="dxa"/>
            <w:tcMar>
              <w:top w:w="113" w:type="dxa"/>
              <w:left w:w="113" w:type="dxa"/>
              <w:bottom w:w="113" w:type="dxa"/>
              <w:right w:w="113" w:type="dxa"/>
            </w:tcMar>
            <w:vAlign w:val="center"/>
          </w:tcPr>
          <w:p w14:paraId="0AF46150" w14:textId="77777777" w:rsidR="00037B2F" w:rsidRDefault="00037B2F" w:rsidP="00B16C0A">
            <w:pPr>
              <w:pStyle w:val="CDIFigure-Table-BodyTextLeft"/>
            </w:pPr>
            <w:r>
              <w:t>diphtheria-tetanus-pertussis (acellular) – paediatric formulation</w:t>
            </w:r>
          </w:p>
        </w:tc>
      </w:tr>
      <w:tr w:rsidR="00037B2F" w14:paraId="7FB90E22"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044E9AEF" w14:textId="77777777" w:rsidR="00037B2F" w:rsidRDefault="00037B2F" w:rsidP="00B16C0A">
            <w:pPr>
              <w:pStyle w:val="CDIFigure-Table-BodyTextLeft"/>
            </w:pPr>
            <w:r>
              <w:t>dTpa</w:t>
            </w:r>
          </w:p>
        </w:tc>
        <w:tc>
          <w:tcPr>
            <w:tcW w:w="7087" w:type="dxa"/>
            <w:shd w:val="clear" w:color="auto" w:fill="F2F2F2" w:themeFill="background1" w:themeFillShade="F2"/>
            <w:tcMar>
              <w:top w:w="113" w:type="dxa"/>
              <w:left w:w="113" w:type="dxa"/>
              <w:bottom w:w="113" w:type="dxa"/>
              <w:right w:w="113" w:type="dxa"/>
            </w:tcMar>
            <w:vAlign w:val="center"/>
          </w:tcPr>
          <w:p w14:paraId="569A7CF8" w14:textId="77777777" w:rsidR="00037B2F" w:rsidRDefault="00037B2F" w:rsidP="00B16C0A">
            <w:pPr>
              <w:pStyle w:val="CDIFigure-Table-BodyTextLeft"/>
            </w:pPr>
            <w:r>
              <w:t>diphtheria-tetanus-pertussis (acellular) – adolescent and adult formulation</w:t>
            </w:r>
          </w:p>
        </w:tc>
      </w:tr>
      <w:tr w:rsidR="00037B2F" w14:paraId="70187E37" w14:textId="77777777" w:rsidTr="00B16C0A">
        <w:trPr>
          <w:trHeight w:val="20"/>
        </w:trPr>
        <w:tc>
          <w:tcPr>
            <w:tcW w:w="2551" w:type="dxa"/>
            <w:tcMar>
              <w:top w:w="113" w:type="dxa"/>
              <w:left w:w="113" w:type="dxa"/>
              <w:bottom w:w="113" w:type="dxa"/>
              <w:right w:w="113" w:type="dxa"/>
            </w:tcMar>
            <w:vAlign w:val="center"/>
          </w:tcPr>
          <w:p w14:paraId="79601899" w14:textId="77777777" w:rsidR="00037B2F" w:rsidRDefault="00037B2F" w:rsidP="00B16C0A">
            <w:pPr>
              <w:pStyle w:val="CDIFigure-Table-BodyTextLeft"/>
            </w:pPr>
            <w:proofErr w:type="spellStart"/>
            <w:r>
              <w:t>DTPa</w:t>
            </w:r>
            <w:proofErr w:type="spellEnd"/>
            <w:r>
              <w:t>-Hib</w:t>
            </w:r>
          </w:p>
        </w:tc>
        <w:tc>
          <w:tcPr>
            <w:tcW w:w="7087" w:type="dxa"/>
            <w:tcMar>
              <w:top w:w="113" w:type="dxa"/>
              <w:left w:w="113" w:type="dxa"/>
              <w:bottom w:w="113" w:type="dxa"/>
              <w:right w:w="113" w:type="dxa"/>
            </w:tcMar>
            <w:vAlign w:val="center"/>
          </w:tcPr>
          <w:p w14:paraId="769C954C" w14:textId="77777777" w:rsidR="00037B2F" w:rsidRDefault="00037B2F" w:rsidP="00B16C0A">
            <w:pPr>
              <w:pStyle w:val="CDIFigure-Table-BodyTextLeft"/>
            </w:pPr>
            <w:r>
              <w:t xml:space="preserve">combined diphtheria-tetanus-pertussis (acellular) and </w:t>
            </w:r>
            <w:r w:rsidRPr="00497089">
              <w:rPr>
                <w:i/>
                <w:iCs/>
              </w:rPr>
              <w:t>Haemophilus influenzae</w:t>
            </w:r>
            <w:r>
              <w:t xml:space="preserve"> type b vaccine</w:t>
            </w:r>
          </w:p>
        </w:tc>
      </w:tr>
      <w:tr w:rsidR="00037B2F" w14:paraId="31E80BA8"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76AEFCB0" w14:textId="77777777" w:rsidR="00037B2F" w:rsidRDefault="00037B2F" w:rsidP="00B16C0A">
            <w:pPr>
              <w:pStyle w:val="CDIFigure-Table-BodyTextLeft"/>
            </w:pPr>
            <w:proofErr w:type="spellStart"/>
            <w:r>
              <w:t>DTPa</w:t>
            </w:r>
            <w:proofErr w:type="spellEnd"/>
            <w:r>
              <w:t>-IPV</w:t>
            </w:r>
          </w:p>
        </w:tc>
        <w:tc>
          <w:tcPr>
            <w:tcW w:w="7087" w:type="dxa"/>
            <w:shd w:val="clear" w:color="auto" w:fill="F2F2F2" w:themeFill="background1" w:themeFillShade="F2"/>
            <w:tcMar>
              <w:top w:w="113" w:type="dxa"/>
              <w:left w:w="113" w:type="dxa"/>
              <w:bottom w:w="113" w:type="dxa"/>
              <w:right w:w="113" w:type="dxa"/>
            </w:tcMar>
            <w:vAlign w:val="center"/>
          </w:tcPr>
          <w:p w14:paraId="3220DDC1" w14:textId="77777777" w:rsidR="00037B2F" w:rsidRDefault="00037B2F" w:rsidP="00B16C0A">
            <w:pPr>
              <w:pStyle w:val="CDIFigure-Table-BodyTextLeft"/>
            </w:pPr>
            <w:r>
              <w:t>combined diphtheria-tetanus-pertussis (acellular) and inactivated poliovirus (quadrivalent) – paediatric formulation</w:t>
            </w:r>
          </w:p>
        </w:tc>
      </w:tr>
      <w:tr w:rsidR="00037B2F" w14:paraId="4D625D72" w14:textId="77777777" w:rsidTr="00B16C0A">
        <w:trPr>
          <w:trHeight w:val="20"/>
        </w:trPr>
        <w:tc>
          <w:tcPr>
            <w:tcW w:w="2551" w:type="dxa"/>
            <w:tcMar>
              <w:top w:w="113" w:type="dxa"/>
              <w:left w:w="113" w:type="dxa"/>
              <w:bottom w:w="113" w:type="dxa"/>
              <w:right w:w="113" w:type="dxa"/>
            </w:tcMar>
            <w:vAlign w:val="center"/>
          </w:tcPr>
          <w:p w14:paraId="2E13FE01" w14:textId="77777777" w:rsidR="00037B2F" w:rsidRDefault="00037B2F" w:rsidP="00B16C0A">
            <w:pPr>
              <w:pStyle w:val="CDIFigure-Table-BodyTextLeft"/>
            </w:pPr>
            <w:proofErr w:type="spellStart"/>
            <w:r>
              <w:t>DTPa</w:t>
            </w:r>
            <w:proofErr w:type="spellEnd"/>
            <w:r>
              <w:t>-IPV-</w:t>
            </w:r>
            <w:proofErr w:type="spellStart"/>
            <w:r>
              <w:t>HepB</w:t>
            </w:r>
            <w:proofErr w:type="spellEnd"/>
            <w:r>
              <w:t>-Hib</w:t>
            </w:r>
          </w:p>
        </w:tc>
        <w:tc>
          <w:tcPr>
            <w:tcW w:w="7087" w:type="dxa"/>
            <w:tcMar>
              <w:top w:w="113" w:type="dxa"/>
              <w:left w:w="113" w:type="dxa"/>
              <w:bottom w:w="113" w:type="dxa"/>
              <w:right w:w="113" w:type="dxa"/>
            </w:tcMar>
            <w:vAlign w:val="center"/>
          </w:tcPr>
          <w:p w14:paraId="50043B43" w14:textId="77777777" w:rsidR="00037B2F" w:rsidRDefault="00037B2F" w:rsidP="00B16C0A">
            <w:pPr>
              <w:pStyle w:val="CDIFigure-Table-BodyTextLeft"/>
            </w:pPr>
            <w:r>
              <w:t xml:space="preserve">combined diphtheria-tetanus-pertussis (acellular), inactivated poliovirus, hepatitis B and </w:t>
            </w:r>
            <w:r w:rsidRPr="00497089">
              <w:rPr>
                <w:i/>
                <w:iCs/>
              </w:rPr>
              <w:t>Haemophilus influenzae</w:t>
            </w:r>
            <w:r>
              <w:t xml:space="preserve"> type b vaccine (hexavalent)</w:t>
            </w:r>
          </w:p>
        </w:tc>
      </w:tr>
      <w:tr w:rsidR="00037B2F" w14:paraId="24D5B748"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51A7ABAA" w14:textId="77777777" w:rsidR="00037B2F" w:rsidRDefault="00037B2F" w:rsidP="00B16C0A">
            <w:pPr>
              <w:pStyle w:val="CDIFigure-Table-BodyTextLeft"/>
            </w:pPr>
            <w:r>
              <w:t>dTpa-IPV</w:t>
            </w:r>
          </w:p>
        </w:tc>
        <w:tc>
          <w:tcPr>
            <w:tcW w:w="7087" w:type="dxa"/>
            <w:shd w:val="clear" w:color="auto" w:fill="F2F2F2" w:themeFill="background1" w:themeFillShade="F2"/>
            <w:tcMar>
              <w:top w:w="113" w:type="dxa"/>
              <w:left w:w="113" w:type="dxa"/>
              <w:bottom w:w="113" w:type="dxa"/>
              <w:right w:w="113" w:type="dxa"/>
            </w:tcMar>
            <w:vAlign w:val="center"/>
          </w:tcPr>
          <w:p w14:paraId="28717D03" w14:textId="77777777" w:rsidR="00037B2F" w:rsidRDefault="00037B2F" w:rsidP="00B16C0A">
            <w:pPr>
              <w:pStyle w:val="CDIFigure-Table-BodyTextLeft"/>
            </w:pPr>
            <w:r>
              <w:t>combined diphtheria-tetanus-pertussis (acellular) and inactivated poliovirus (quadrivalent) – adolescent and adult formulation</w:t>
            </w:r>
          </w:p>
        </w:tc>
      </w:tr>
      <w:tr w:rsidR="00037B2F" w14:paraId="5B035CE6" w14:textId="77777777" w:rsidTr="00B16C0A">
        <w:trPr>
          <w:trHeight w:val="20"/>
        </w:trPr>
        <w:tc>
          <w:tcPr>
            <w:tcW w:w="2551" w:type="dxa"/>
            <w:tcMar>
              <w:top w:w="113" w:type="dxa"/>
              <w:left w:w="113" w:type="dxa"/>
              <w:bottom w:w="113" w:type="dxa"/>
              <w:right w:w="113" w:type="dxa"/>
            </w:tcMar>
            <w:vAlign w:val="center"/>
          </w:tcPr>
          <w:p w14:paraId="35E4FACE" w14:textId="77777777" w:rsidR="00037B2F" w:rsidRDefault="00037B2F" w:rsidP="00B16C0A">
            <w:pPr>
              <w:pStyle w:val="CDIFigure-Table-BodyTextLeft"/>
            </w:pPr>
            <w:r>
              <w:t>H1N1pdm09</w:t>
            </w:r>
          </w:p>
        </w:tc>
        <w:tc>
          <w:tcPr>
            <w:tcW w:w="7087" w:type="dxa"/>
            <w:tcMar>
              <w:top w:w="113" w:type="dxa"/>
              <w:left w:w="113" w:type="dxa"/>
              <w:bottom w:w="113" w:type="dxa"/>
              <w:right w:w="113" w:type="dxa"/>
            </w:tcMar>
            <w:vAlign w:val="center"/>
          </w:tcPr>
          <w:p w14:paraId="2C768CC6" w14:textId="77777777" w:rsidR="00037B2F" w:rsidRDefault="00037B2F" w:rsidP="00B16C0A">
            <w:pPr>
              <w:pStyle w:val="CDIFigure-Table-BodyTextLeft"/>
            </w:pPr>
            <w:r>
              <w:t>pandemic H1N1 influenza 2009</w:t>
            </w:r>
          </w:p>
        </w:tc>
      </w:tr>
      <w:tr w:rsidR="00037B2F" w14:paraId="3C9EAF45"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2B0FBCA5" w14:textId="77777777" w:rsidR="00037B2F" w:rsidRDefault="00037B2F" w:rsidP="00B16C0A">
            <w:pPr>
              <w:pStyle w:val="CDIFigure-Table-BodyTextLeft"/>
            </w:pPr>
            <w:proofErr w:type="spellStart"/>
            <w:r>
              <w:t>HepA</w:t>
            </w:r>
            <w:proofErr w:type="spellEnd"/>
          </w:p>
        </w:tc>
        <w:tc>
          <w:tcPr>
            <w:tcW w:w="7087" w:type="dxa"/>
            <w:shd w:val="clear" w:color="auto" w:fill="F2F2F2" w:themeFill="background1" w:themeFillShade="F2"/>
            <w:tcMar>
              <w:top w:w="113" w:type="dxa"/>
              <w:left w:w="113" w:type="dxa"/>
              <w:bottom w:w="113" w:type="dxa"/>
              <w:right w:w="113" w:type="dxa"/>
            </w:tcMar>
            <w:vAlign w:val="center"/>
          </w:tcPr>
          <w:p w14:paraId="15C4DEA9" w14:textId="77777777" w:rsidR="00037B2F" w:rsidRDefault="00037B2F" w:rsidP="00B16C0A">
            <w:pPr>
              <w:pStyle w:val="CDIFigure-Table-BodyTextLeft"/>
            </w:pPr>
            <w:r>
              <w:t>hepatitis A</w:t>
            </w:r>
          </w:p>
        </w:tc>
      </w:tr>
      <w:tr w:rsidR="00037B2F" w14:paraId="55ABDA71" w14:textId="77777777" w:rsidTr="00B16C0A">
        <w:trPr>
          <w:trHeight w:val="20"/>
        </w:trPr>
        <w:tc>
          <w:tcPr>
            <w:tcW w:w="2551" w:type="dxa"/>
            <w:tcMar>
              <w:top w:w="113" w:type="dxa"/>
              <w:left w:w="113" w:type="dxa"/>
              <w:bottom w:w="113" w:type="dxa"/>
              <w:right w:w="113" w:type="dxa"/>
            </w:tcMar>
            <w:vAlign w:val="center"/>
          </w:tcPr>
          <w:p w14:paraId="2EB6B48C" w14:textId="77777777" w:rsidR="00037B2F" w:rsidRDefault="00037B2F" w:rsidP="00B16C0A">
            <w:pPr>
              <w:pStyle w:val="CDIFigure-Table-BodyTextLeft"/>
            </w:pPr>
            <w:proofErr w:type="spellStart"/>
            <w:r>
              <w:t>HepB</w:t>
            </w:r>
            <w:proofErr w:type="spellEnd"/>
          </w:p>
        </w:tc>
        <w:tc>
          <w:tcPr>
            <w:tcW w:w="7087" w:type="dxa"/>
            <w:tcMar>
              <w:top w:w="113" w:type="dxa"/>
              <w:left w:w="113" w:type="dxa"/>
              <w:bottom w:w="113" w:type="dxa"/>
              <w:right w:w="113" w:type="dxa"/>
            </w:tcMar>
            <w:vAlign w:val="center"/>
          </w:tcPr>
          <w:p w14:paraId="32392777" w14:textId="77777777" w:rsidR="00037B2F" w:rsidRDefault="00037B2F" w:rsidP="00B16C0A">
            <w:pPr>
              <w:pStyle w:val="CDIFigure-Table-BodyTextLeft"/>
            </w:pPr>
            <w:r>
              <w:t>hepatitis B</w:t>
            </w:r>
          </w:p>
        </w:tc>
      </w:tr>
      <w:tr w:rsidR="00037B2F" w14:paraId="6A3A1EF7"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3CE81591" w14:textId="77777777" w:rsidR="00037B2F" w:rsidRDefault="00037B2F" w:rsidP="00B16C0A">
            <w:pPr>
              <w:pStyle w:val="CDIFigure-Table-BodyTextLeft"/>
            </w:pPr>
            <w:r>
              <w:t>Hib</w:t>
            </w:r>
          </w:p>
        </w:tc>
        <w:tc>
          <w:tcPr>
            <w:tcW w:w="7087" w:type="dxa"/>
            <w:shd w:val="clear" w:color="auto" w:fill="F2F2F2" w:themeFill="background1" w:themeFillShade="F2"/>
            <w:tcMar>
              <w:top w:w="113" w:type="dxa"/>
              <w:left w:w="113" w:type="dxa"/>
              <w:bottom w:w="113" w:type="dxa"/>
              <w:right w:w="113" w:type="dxa"/>
            </w:tcMar>
            <w:vAlign w:val="center"/>
          </w:tcPr>
          <w:p w14:paraId="2E902076" w14:textId="77777777" w:rsidR="00037B2F" w:rsidRDefault="00037B2F" w:rsidP="00B16C0A">
            <w:pPr>
              <w:pStyle w:val="CDIFigure-Table-BodyTextLeft"/>
            </w:pPr>
            <w:r w:rsidRPr="00497089">
              <w:rPr>
                <w:i/>
                <w:iCs/>
              </w:rPr>
              <w:t>Haemophilus influenzae</w:t>
            </w:r>
            <w:r>
              <w:t xml:space="preserve"> type b</w:t>
            </w:r>
          </w:p>
        </w:tc>
      </w:tr>
      <w:tr w:rsidR="00037B2F" w14:paraId="358BB4C7" w14:textId="77777777" w:rsidTr="00B16C0A">
        <w:trPr>
          <w:trHeight w:val="20"/>
        </w:trPr>
        <w:tc>
          <w:tcPr>
            <w:tcW w:w="2551" w:type="dxa"/>
            <w:tcMar>
              <w:top w:w="113" w:type="dxa"/>
              <w:left w:w="113" w:type="dxa"/>
              <w:bottom w:w="113" w:type="dxa"/>
              <w:right w:w="113" w:type="dxa"/>
            </w:tcMar>
            <w:vAlign w:val="center"/>
          </w:tcPr>
          <w:p w14:paraId="52C2CA3D" w14:textId="77777777" w:rsidR="00037B2F" w:rsidRDefault="00037B2F" w:rsidP="00B16C0A">
            <w:pPr>
              <w:pStyle w:val="CDIFigure-Table-BodyTextLeft"/>
            </w:pPr>
            <w:r>
              <w:t>Hib and MenC</w:t>
            </w:r>
          </w:p>
        </w:tc>
        <w:tc>
          <w:tcPr>
            <w:tcW w:w="7087" w:type="dxa"/>
            <w:tcMar>
              <w:top w:w="113" w:type="dxa"/>
              <w:left w:w="113" w:type="dxa"/>
              <w:bottom w:w="113" w:type="dxa"/>
              <w:right w:w="113" w:type="dxa"/>
            </w:tcMar>
            <w:vAlign w:val="center"/>
          </w:tcPr>
          <w:p w14:paraId="15D55E34" w14:textId="77777777" w:rsidR="00037B2F" w:rsidRDefault="00037B2F" w:rsidP="00B16C0A">
            <w:pPr>
              <w:pStyle w:val="CDIFigure-Table-BodyTextLeft"/>
            </w:pPr>
            <w:r>
              <w:t xml:space="preserve">combined </w:t>
            </w:r>
            <w:r w:rsidRPr="00497089">
              <w:rPr>
                <w:i/>
                <w:iCs/>
              </w:rPr>
              <w:t>Haemophilus influenzae</w:t>
            </w:r>
            <w:r>
              <w:t xml:space="preserve"> type b and meningococcal C conjugate vaccine</w:t>
            </w:r>
          </w:p>
        </w:tc>
      </w:tr>
      <w:tr w:rsidR="00037B2F" w14:paraId="2E137DD8"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4BA2FF7F" w14:textId="77777777" w:rsidR="00037B2F" w:rsidRDefault="00037B2F" w:rsidP="00B16C0A">
            <w:pPr>
              <w:pStyle w:val="CDIFigure-Table-BodyTextLeft"/>
            </w:pPr>
            <w:r>
              <w:t>Hib and MenCY</w:t>
            </w:r>
          </w:p>
        </w:tc>
        <w:tc>
          <w:tcPr>
            <w:tcW w:w="7087" w:type="dxa"/>
            <w:shd w:val="clear" w:color="auto" w:fill="F2F2F2" w:themeFill="background1" w:themeFillShade="F2"/>
            <w:tcMar>
              <w:top w:w="113" w:type="dxa"/>
              <w:left w:w="113" w:type="dxa"/>
              <w:bottom w:w="113" w:type="dxa"/>
              <w:right w:w="113" w:type="dxa"/>
            </w:tcMar>
            <w:vAlign w:val="center"/>
          </w:tcPr>
          <w:p w14:paraId="473096BC" w14:textId="77777777" w:rsidR="00037B2F" w:rsidRDefault="00037B2F" w:rsidP="00B16C0A">
            <w:pPr>
              <w:pStyle w:val="CDIFigure-Table-BodyTextLeft"/>
            </w:pPr>
            <w:r>
              <w:t xml:space="preserve">combined </w:t>
            </w:r>
            <w:r w:rsidRPr="00497089">
              <w:rPr>
                <w:i/>
                <w:iCs/>
              </w:rPr>
              <w:t>Haemophilus influenzae</w:t>
            </w:r>
            <w:r>
              <w:t xml:space="preserve"> type b and meningococcal C and Y conjugate vaccine</w:t>
            </w:r>
          </w:p>
        </w:tc>
      </w:tr>
      <w:tr w:rsidR="00037B2F" w14:paraId="7398D740" w14:textId="77777777" w:rsidTr="00B16C0A">
        <w:trPr>
          <w:trHeight w:val="20"/>
        </w:trPr>
        <w:tc>
          <w:tcPr>
            <w:tcW w:w="2551" w:type="dxa"/>
            <w:tcMar>
              <w:top w:w="113" w:type="dxa"/>
              <w:left w:w="113" w:type="dxa"/>
              <w:bottom w:w="113" w:type="dxa"/>
              <w:right w:w="113" w:type="dxa"/>
            </w:tcMar>
            <w:vAlign w:val="center"/>
          </w:tcPr>
          <w:p w14:paraId="3CCF8F40" w14:textId="77777777" w:rsidR="00037B2F" w:rsidRDefault="00037B2F" w:rsidP="00B16C0A">
            <w:pPr>
              <w:pStyle w:val="CDIFigure-Table-BodyTextLeft"/>
            </w:pPr>
            <w:r>
              <w:t>Hib-</w:t>
            </w:r>
            <w:proofErr w:type="spellStart"/>
            <w:r>
              <w:t>HepB</w:t>
            </w:r>
            <w:proofErr w:type="spellEnd"/>
          </w:p>
        </w:tc>
        <w:tc>
          <w:tcPr>
            <w:tcW w:w="7087" w:type="dxa"/>
            <w:tcMar>
              <w:top w:w="113" w:type="dxa"/>
              <w:left w:w="113" w:type="dxa"/>
              <w:bottom w:w="113" w:type="dxa"/>
              <w:right w:w="113" w:type="dxa"/>
            </w:tcMar>
            <w:vAlign w:val="center"/>
          </w:tcPr>
          <w:p w14:paraId="01B7648B" w14:textId="77777777" w:rsidR="00037B2F" w:rsidRDefault="00037B2F" w:rsidP="00B16C0A">
            <w:pPr>
              <w:pStyle w:val="CDIFigure-Table-BodyTextLeft"/>
            </w:pPr>
            <w:r>
              <w:t xml:space="preserve">combined </w:t>
            </w:r>
            <w:r w:rsidRPr="00497089">
              <w:rPr>
                <w:i/>
                <w:iCs/>
              </w:rPr>
              <w:t>Haemophilus influenzae</w:t>
            </w:r>
            <w:r>
              <w:t xml:space="preserve"> type b and hepatitis B</w:t>
            </w:r>
          </w:p>
        </w:tc>
      </w:tr>
      <w:tr w:rsidR="00037B2F" w14:paraId="31E9CAFD"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49869947" w14:textId="77777777" w:rsidR="00037B2F" w:rsidRDefault="00037B2F" w:rsidP="00B16C0A">
            <w:pPr>
              <w:pStyle w:val="CDIFigure-Table-BodyTextLeft"/>
            </w:pPr>
            <w:r>
              <w:lastRenderedPageBreak/>
              <w:t>HPV</w:t>
            </w:r>
          </w:p>
        </w:tc>
        <w:tc>
          <w:tcPr>
            <w:tcW w:w="7087" w:type="dxa"/>
            <w:shd w:val="clear" w:color="auto" w:fill="F2F2F2" w:themeFill="background1" w:themeFillShade="F2"/>
            <w:tcMar>
              <w:top w:w="113" w:type="dxa"/>
              <w:left w:w="113" w:type="dxa"/>
              <w:bottom w:w="113" w:type="dxa"/>
              <w:right w:w="113" w:type="dxa"/>
            </w:tcMar>
            <w:vAlign w:val="center"/>
          </w:tcPr>
          <w:p w14:paraId="4BB32045" w14:textId="77777777" w:rsidR="00037B2F" w:rsidRDefault="00037B2F" w:rsidP="00B16C0A">
            <w:pPr>
              <w:pStyle w:val="CDIFigure-Table-BodyTextLeft"/>
            </w:pPr>
            <w:r>
              <w:t>human papillomavirus</w:t>
            </w:r>
          </w:p>
        </w:tc>
      </w:tr>
      <w:tr w:rsidR="00037B2F" w14:paraId="059ED044" w14:textId="77777777" w:rsidTr="00B16C0A">
        <w:trPr>
          <w:trHeight w:val="20"/>
        </w:trPr>
        <w:tc>
          <w:tcPr>
            <w:tcW w:w="2551" w:type="dxa"/>
            <w:tcMar>
              <w:top w:w="113" w:type="dxa"/>
              <w:left w:w="113" w:type="dxa"/>
              <w:bottom w:w="113" w:type="dxa"/>
              <w:right w:w="113" w:type="dxa"/>
            </w:tcMar>
            <w:vAlign w:val="center"/>
          </w:tcPr>
          <w:p w14:paraId="711D102B" w14:textId="77777777" w:rsidR="00037B2F" w:rsidRDefault="00037B2F" w:rsidP="00B16C0A">
            <w:pPr>
              <w:pStyle w:val="CDIFigure-Table-BodyTextLeft"/>
            </w:pPr>
            <w:proofErr w:type="spellStart"/>
            <w:r>
              <w:t>Inflenza</w:t>
            </w:r>
            <w:proofErr w:type="spellEnd"/>
            <w:r>
              <w:t xml:space="preserve"> (</w:t>
            </w:r>
            <w:proofErr w:type="spellStart"/>
            <w:r>
              <w:t>hd</w:t>
            </w:r>
            <w:proofErr w:type="spellEnd"/>
            <w:r>
              <w:t>/a)</w:t>
            </w:r>
          </w:p>
        </w:tc>
        <w:tc>
          <w:tcPr>
            <w:tcW w:w="7087" w:type="dxa"/>
            <w:tcMar>
              <w:top w:w="113" w:type="dxa"/>
              <w:left w:w="113" w:type="dxa"/>
              <w:bottom w:w="113" w:type="dxa"/>
              <w:right w:w="113" w:type="dxa"/>
            </w:tcMar>
            <w:vAlign w:val="center"/>
          </w:tcPr>
          <w:p w14:paraId="03022DAC" w14:textId="77777777" w:rsidR="00037B2F" w:rsidRDefault="00037B2F" w:rsidP="00B16C0A">
            <w:pPr>
              <w:pStyle w:val="CDIFigure-Table-BodyTextLeft"/>
            </w:pPr>
            <w:r>
              <w:t>influenza (seasonal – high-dose or adjuvanted)</w:t>
            </w:r>
          </w:p>
        </w:tc>
      </w:tr>
      <w:tr w:rsidR="00037B2F" w14:paraId="7C905F63"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38A87DB3" w14:textId="77777777" w:rsidR="00037B2F" w:rsidRDefault="00037B2F" w:rsidP="00B16C0A">
            <w:pPr>
              <w:pStyle w:val="CDIFigure-Table-BodyTextLeft"/>
            </w:pPr>
            <w:r>
              <w:t>Influenza (sf)</w:t>
            </w:r>
          </w:p>
        </w:tc>
        <w:tc>
          <w:tcPr>
            <w:tcW w:w="7087" w:type="dxa"/>
            <w:shd w:val="clear" w:color="auto" w:fill="F2F2F2" w:themeFill="background1" w:themeFillShade="F2"/>
            <w:tcMar>
              <w:top w:w="113" w:type="dxa"/>
              <w:left w:w="113" w:type="dxa"/>
              <w:bottom w:w="113" w:type="dxa"/>
              <w:right w:w="113" w:type="dxa"/>
            </w:tcMar>
            <w:vAlign w:val="center"/>
          </w:tcPr>
          <w:p w14:paraId="32EB00F4" w14:textId="77777777" w:rsidR="00037B2F" w:rsidRDefault="00037B2F" w:rsidP="00B16C0A">
            <w:pPr>
              <w:pStyle w:val="CDIFigure-Table-BodyTextLeft"/>
            </w:pPr>
            <w:r>
              <w:t>influenza (seasonal - standard formulation)</w:t>
            </w:r>
          </w:p>
        </w:tc>
      </w:tr>
      <w:tr w:rsidR="00037B2F" w14:paraId="3777C9BC" w14:textId="77777777" w:rsidTr="00B16C0A">
        <w:trPr>
          <w:trHeight w:val="20"/>
        </w:trPr>
        <w:tc>
          <w:tcPr>
            <w:tcW w:w="2551" w:type="dxa"/>
            <w:tcMar>
              <w:top w:w="113" w:type="dxa"/>
              <w:left w:w="113" w:type="dxa"/>
              <w:bottom w:w="113" w:type="dxa"/>
              <w:right w:w="113" w:type="dxa"/>
            </w:tcMar>
            <w:vAlign w:val="center"/>
          </w:tcPr>
          <w:p w14:paraId="49A8557F" w14:textId="77777777" w:rsidR="00037B2F" w:rsidRDefault="00037B2F" w:rsidP="00B16C0A">
            <w:pPr>
              <w:pStyle w:val="CDIFigure-Table-BodyTextLeft"/>
            </w:pPr>
            <w:r>
              <w:t>MenACWY</w:t>
            </w:r>
          </w:p>
        </w:tc>
        <w:tc>
          <w:tcPr>
            <w:tcW w:w="7087" w:type="dxa"/>
            <w:tcMar>
              <w:top w:w="113" w:type="dxa"/>
              <w:left w:w="113" w:type="dxa"/>
              <w:bottom w:w="113" w:type="dxa"/>
              <w:right w:w="113" w:type="dxa"/>
            </w:tcMar>
            <w:vAlign w:val="center"/>
          </w:tcPr>
          <w:p w14:paraId="59E4BEC7" w14:textId="77777777" w:rsidR="00037B2F" w:rsidRDefault="00037B2F" w:rsidP="00B16C0A">
            <w:pPr>
              <w:pStyle w:val="CDIFigure-Table-BodyTextLeft"/>
            </w:pPr>
            <w:r>
              <w:t>quadrivalent meningococcal (serogroups A, C, W-135, Y) conjugate vaccine</w:t>
            </w:r>
          </w:p>
        </w:tc>
      </w:tr>
      <w:tr w:rsidR="00037B2F" w14:paraId="679AF622"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09830B4A" w14:textId="77777777" w:rsidR="00037B2F" w:rsidRDefault="00037B2F" w:rsidP="00B16C0A">
            <w:pPr>
              <w:pStyle w:val="CDIFigure-Table-BodyTextLeft"/>
            </w:pPr>
            <w:r>
              <w:t>MenB</w:t>
            </w:r>
          </w:p>
        </w:tc>
        <w:tc>
          <w:tcPr>
            <w:tcW w:w="7087" w:type="dxa"/>
            <w:shd w:val="clear" w:color="auto" w:fill="F2F2F2" w:themeFill="background1" w:themeFillShade="F2"/>
            <w:tcMar>
              <w:top w:w="113" w:type="dxa"/>
              <w:left w:w="113" w:type="dxa"/>
              <w:bottom w:w="113" w:type="dxa"/>
              <w:right w:w="113" w:type="dxa"/>
            </w:tcMar>
            <w:vAlign w:val="center"/>
          </w:tcPr>
          <w:p w14:paraId="0354CF22" w14:textId="77777777" w:rsidR="00037B2F" w:rsidRDefault="00037B2F" w:rsidP="00B16C0A">
            <w:pPr>
              <w:pStyle w:val="CDIFigure-Table-BodyTextLeft"/>
            </w:pPr>
            <w:r>
              <w:t>meningococcal B vaccine</w:t>
            </w:r>
          </w:p>
        </w:tc>
      </w:tr>
      <w:tr w:rsidR="00037B2F" w14:paraId="70E3F684" w14:textId="77777777" w:rsidTr="00B16C0A">
        <w:trPr>
          <w:trHeight w:val="20"/>
        </w:trPr>
        <w:tc>
          <w:tcPr>
            <w:tcW w:w="2551" w:type="dxa"/>
            <w:tcMar>
              <w:top w:w="113" w:type="dxa"/>
              <w:left w:w="113" w:type="dxa"/>
              <w:bottom w:w="113" w:type="dxa"/>
              <w:right w:w="113" w:type="dxa"/>
            </w:tcMar>
            <w:vAlign w:val="center"/>
          </w:tcPr>
          <w:p w14:paraId="3EE16BB1" w14:textId="77777777" w:rsidR="00037B2F" w:rsidRDefault="00037B2F" w:rsidP="00B16C0A">
            <w:pPr>
              <w:pStyle w:val="CDIFigure-Table-BodyTextLeft"/>
            </w:pPr>
            <w:r>
              <w:t>MenC</w:t>
            </w:r>
          </w:p>
        </w:tc>
        <w:tc>
          <w:tcPr>
            <w:tcW w:w="7087" w:type="dxa"/>
            <w:tcMar>
              <w:top w:w="113" w:type="dxa"/>
              <w:left w:w="113" w:type="dxa"/>
              <w:bottom w:w="113" w:type="dxa"/>
              <w:right w:w="113" w:type="dxa"/>
            </w:tcMar>
            <w:vAlign w:val="center"/>
          </w:tcPr>
          <w:p w14:paraId="68ED4103" w14:textId="77777777" w:rsidR="00037B2F" w:rsidRDefault="00037B2F" w:rsidP="00B16C0A">
            <w:pPr>
              <w:pStyle w:val="CDIFigure-Table-BodyTextLeft"/>
            </w:pPr>
            <w:r>
              <w:t>meningococcal C conjugate vaccine</w:t>
            </w:r>
          </w:p>
        </w:tc>
      </w:tr>
      <w:tr w:rsidR="00037B2F" w14:paraId="3AA71F21"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74750B67" w14:textId="77777777" w:rsidR="00037B2F" w:rsidRDefault="00037B2F" w:rsidP="00B16C0A">
            <w:pPr>
              <w:pStyle w:val="CDIFigure-Table-BodyTextLeft"/>
            </w:pPr>
            <w:r>
              <w:t>MMR</w:t>
            </w:r>
          </w:p>
        </w:tc>
        <w:tc>
          <w:tcPr>
            <w:tcW w:w="7087" w:type="dxa"/>
            <w:shd w:val="clear" w:color="auto" w:fill="F2F2F2" w:themeFill="background1" w:themeFillShade="F2"/>
            <w:tcMar>
              <w:top w:w="113" w:type="dxa"/>
              <w:left w:w="113" w:type="dxa"/>
              <w:bottom w:w="113" w:type="dxa"/>
              <w:right w:w="113" w:type="dxa"/>
            </w:tcMar>
            <w:vAlign w:val="center"/>
          </w:tcPr>
          <w:p w14:paraId="49436C86" w14:textId="77777777" w:rsidR="00037B2F" w:rsidRDefault="00037B2F" w:rsidP="00B16C0A">
            <w:pPr>
              <w:pStyle w:val="CDIFigure-Table-BodyTextLeft"/>
            </w:pPr>
            <w:r>
              <w:t>measles-mumps-rubella</w:t>
            </w:r>
          </w:p>
        </w:tc>
      </w:tr>
      <w:tr w:rsidR="00037B2F" w14:paraId="66F85960" w14:textId="77777777" w:rsidTr="00B16C0A">
        <w:trPr>
          <w:trHeight w:val="20"/>
        </w:trPr>
        <w:tc>
          <w:tcPr>
            <w:tcW w:w="2551" w:type="dxa"/>
            <w:tcMar>
              <w:top w:w="113" w:type="dxa"/>
              <w:left w:w="113" w:type="dxa"/>
              <w:bottom w:w="113" w:type="dxa"/>
              <w:right w:w="113" w:type="dxa"/>
            </w:tcMar>
            <w:vAlign w:val="center"/>
          </w:tcPr>
          <w:p w14:paraId="386215A6" w14:textId="77777777" w:rsidR="00037B2F" w:rsidRDefault="00037B2F" w:rsidP="00B16C0A">
            <w:pPr>
              <w:pStyle w:val="CDIFigure-Table-BodyTextLeft"/>
            </w:pPr>
            <w:r>
              <w:t>MMRV</w:t>
            </w:r>
          </w:p>
        </w:tc>
        <w:tc>
          <w:tcPr>
            <w:tcW w:w="7087" w:type="dxa"/>
            <w:tcMar>
              <w:top w:w="113" w:type="dxa"/>
              <w:left w:w="113" w:type="dxa"/>
              <w:bottom w:w="113" w:type="dxa"/>
              <w:right w:w="113" w:type="dxa"/>
            </w:tcMar>
            <w:vAlign w:val="center"/>
          </w:tcPr>
          <w:p w14:paraId="25E540EC" w14:textId="77777777" w:rsidR="00037B2F" w:rsidRDefault="00037B2F" w:rsidP="00B16C0A">
            <w:pPr>
              <w:pStyle w:val="CDIFigure-Table-BodyTextLeft"/>
            </w:pPr>
            <w:r>
              <w:t>measles-mumps-rubella-varicella</w:t>
            </w:r>
          </w:p>
        </w:tc>
      </w:tr>
      <w:tr w:rsidR="00037B2F" w14:paraId="377927C2"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6089A831" w14:textId="77777777" w:rsidR="00037B2F" w:rsidRDefault="00037B2F" w:rsidP="00B16C0A">
            <w:pPr>
              <w:pStyle w:val="CDIFigure-Table-BodyTextLeft"/>
            </w:pPr>
            <w:r>
              <w:t>NCIRS</w:t>
            </w:r>
          </w:p>
        </w:tc>
        <w:tc>
          <w:tcPr>
            <w:tcW w:w="7087" w:type="dxa"/>
            <w:shd w:val="clear" w:color="auto" w:fill="F2F2F2" w:themeFill="background1" w:themeFillShade="F2"/>
            <w:tcMar>
              <w:top w:w="113" w:type="dxa"/>
              <w:left w:w="113" w:type="dxa"/>
              <w:bottom w:w="113" w:type="dxa"/>
              <w:right w:w="113" w:type="dxa"/>
            </w:tcMar>
            <w:vAlign w:val="center"/>
          </w:tcPr>
          <w:p w14:paraId="1C06445B" w14:textId="77777777" w:rsidR="00037B2F" w:rsidRDefault="00037B2F" w:rsidP="00B16C0A">
            <w:pPr>
              <w:pStyle w:val="CDIFigure-Table-BodyTextLeft"/>
            </w:pPr>
            <w:r>
              <w:t>National Centre for Immunisation Research and Surveillance</w:t>
            </w:r>
          </w:p>
        </w:tc>
      </w:tr>
      <w:tr w:rsidR="00037B2F" w14:paraId="1CF2A75B" w14:textId="77777777" w:rsidTr="00B16C0A">
        <w:trPr>
          <w:trHeight w:val="20"/>
        </w:trPr>
        <w:tc>
          <w:tcPr>
            <w:tcW w:w="2551" w:type="dxa"/>
            <w:tcMar>
              <w:top w:w="113" w:type="dxa"/>
              <w:left w:w="113" w:type="dxa"/>
              <w:bottom w:w="113" w:type="dxa"/>
              <w:right w:w="113" w:type="dxa"/>
            </w:tcMar>
            <w:vAlign w:val="center"/>
          </w:tcPr>
          <w:p w14:paraId="3DF70901" w14:textId="77777777" w:rsidR="00037B2F" w:rsidRDefault="00037B2F" w:rsidP="00B16C0A">
            <w:pPr>
              <w:pStyle w:val="CDIFigure-Table-BodyTextLeft"/>
            </w:pPr>
            <w:r>
              <w:t>NIP</w:t>
            </w:r>
          </w:p>
        </w:tc>
        <w:tc>
          <w:tcPr>
            <w:tcW w:w="7087" w:type="dxa"/>
            <w:tcMar>
              <w:top w:w="113" w:type="dxa"/>
              <w:left w:w="113" w:type="dxa"/>
              <w:bottom w:w="113" w:type="dxa"/>
              <w:right w:w="113" w:type="dxa"/>
            </w:tcMar>
            <w:vAlign w:val="center"/>
          </w:tcPr>
          <w:p w14:paraId="492148CC" w14:textId="77777777" w:rsidR="00037B2F" w:rsidRDefault="00037B2F" w:rsidP="00B16C0A">
            <w:pPr>
              <w:pStyle w:val="CDIFigure-Table-BodyTextLeft"/>
            </w:pPr>
            <w:r>
              <w:t>National Immunisation Program</w:t>
            </w:r>
          </w:p>
        </w:tc>
      </w:tr>
      <w:tr w:rsidR="00037B2F" w14:paraId="15FE1BDE"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240B2175" w14:textId="77777777" w:rsidR="00037B2F" w:rsidRDefault="00037B2F" w:rsidP="00B16C0A">
            <w:pPr>
              <w:pStyle w:val="CDIFigure-Table-BodyTextLeft"/>
            </w:pPr>
            <w:r>
              <w:t>PT</w:t>
            </w:r>
          </w:p>
        </w:tc>
        <w:tc>
          <w:tcPr>
            <w:tcW w:w="7087" w:type="dxa"/>
            <w:shd w:val="clear" w:color="auto" w:fill="F2F2F2" w:themeFill="background1" w:themeFillShade="F2"/>
            <w:tcMar>
              <w:top w:w="113" w:type="dxa"/>
              <w:left w:w="113" w:type="dxa"/>
              <w:bottom w:w="113" w:type="dxa"/>
              <w:right w:w="113" w:type="dxa"/>
            </w:tcMar>
            <w:vAlign w:val="center"/>
          </w:tcPr>
          <w:p w14:paraId="5A0F3F59" w14:textId="77777777" w:rsidR="00037B2F" w:rsidRDefault="00037B2F" w:rsidP="00B16C0A">
            <w:pPr>
              <w:pStyle w:val="CDIFigure-Table-BodyTextLeft"/>
            </w:pPr>
            <w:r>
              <w:t>preferred terms</w:t>
            </w:r>
          </w:p>
        </w:tc>
      </w:tr>
      <w:tr w:rsidR="00037B2F" w14:paraId="1EF652FC" w14:textId="77777777" w:rsidTr="00B16C0A">
        <w:trPr>
          <w:trHeight w:val="20"/>
        </w:trPr>
        <w:tc>
          <w:tcPr>
            <w:tcW w:w="2551" w:type="dxa"/>
            <w:tcMar>
              <w:top w:w="113" w:type="dxa"/>
              <w:left w:w="113" w:type="dxa"/>
              <w:bottom w:w="113" w:type="dxa"/>
              <w:right w:w="113" w:type="dxa"/>
            </w:tcMar>
            <w:vAlign w:val="center"/>
          </w:tcPr>
          <w:p w14:paraId="507FC1A7" w14:textId="77777777" w:rsidR="00037B2F" w:rsidRDefault="00037B2F" w:rsidP="00B16C0A">
            <w:pPr>
              <w:pStyle w:val="CDIFigure-Table-BodyTextLeft"/>
            </w:pPr>
            <w:r>
              <w:t>SMQ</w:t>
            </w:r>
          </w:p>
        </w:tc>
        <w:tc>
          <w:tcPr>
            <w:tcW w:w="7087" w:type="dxa"/>
            <w:tcMar>
              <w:top w:w="113" w:type="dxa"/>
              <w:left w:w="113" w:type="dxa"/>
              <w:bottom w:w="113" w:type="dxa"/>
              <w:right w:w="113" w:type="dxa"/>
            </w:tcMar>
            <w:vAlign w:val="center"/>
          </w:tcPr>
          <w:p w14:paraId="503511BD" w14:textId="77777777" w:rsidR="00037B2F" w:rsidRDefault="00037B2F" w:rsidP="00B16C0A">
            <w:pPr>
              <w:pStyle w:val="CDIFigure-Table-BodyTextLeft"/>
            </w:pPr>
            <w:r>
              <w:t>standardised MedDRA query</w:t>
            </w:r>
          </w:p>
        </w:tc>
      </w:tr>
      <w:tr w:rsidR="00037B2F" w14:paraId="0C79B99D"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6ADA406C" w14:textId="77777777" w:rsidR="00037B2F" w:rsidRDefault="00037B2F" w:rsidP="00B16C0A">
            <w:pPr>
              <w:pStyle w:val="CDIFigure-Table-BodyTextLeft"/>
            </w:pPr>
            <w:r>
              <w:t>TGA</w:t>
            </w:r>
          </w:p>
        </w:tc>
        <w:tc>
          <w:tcPr>
            <w:tcW w:w="7087" w:type="dxa"/>
            <w:shd w:val="clear" w:color="auto" w:fill="F2F2F2" w:themeFill="background1" w:themeFillShade="F2"/>
            <w:tcMar>
              <w:top w:w="113" w:type="dxa"/>
              <w:left w:w="113" w:type="dxa"/>
              <w:bottom w:w="113" w:type="dxa"/>
              <w:right w:w="113" w:type="dxa"/>
            </w:tcMar>
            <w:vAlign w:val="center"/>
          </w:tcPr>
          <w:p w14:paraId="51E655E3" w14:textId="77777777" w:rsidR="00037B2F" w:rsidRDefault="00037B2F" w:rsidP="00B16C0A">
            <w:pPr>
              <w:pStyle w:val="CDIFigure-Table-BodyTextLeft"/>
            </w:pPr>
            <w:r>
              <w:t>Therapeutic Goods Administration</w:t>
            </w:r>
          </w:p>
        </w:tc>
      </w:tr>
      <w:tr w:rsidR="00037B2F" w14:paraId="0CA518B7" w14:textId="77777777" w:rsidTr="00B16C0A">
        <w:trPr>
          <w:trHeight w:val="20"/>
        </w:trPr>
        <w:tc>
          <w:tcPr>
            <w:tcW w:w="2551" w:type="dxa"/>
            <w:tcMar>
              <w:top w:w="113" w:type="dxa"/>
              <w:left w:w="113" w:type="dxa"/>
              <w:bottom w:w="113" w:type="dxa"/>
              <w:right w:w="113" w:type="dxa"/>
            </w:tcMar>
            <w:vAlign w:val="center"/>
          </w:tcPr>
          <w:p w14:paraId="34D26ED6" w14:textId="77777777" w:rsidR="00037B2F" w:rsidRDefault="00037B2F" w:rsidP="00B16C0A">
            <w:pPr>
              <w:pStyle w:val="CDIFigure-Table-BodyTextLeft"/>
            </w:pPr>
            <w:r>
              <w:t>WHO</w:t>
            </w:r>
          </w:p>
        </w:tc>
        <w:tc>
          <w:tcPr>
            <w:tcW w:w="7087" w:type="dxa"/>
            <w:tcMar>
              <w:top w:w="113" w:type="dxa"/>
              <w:left w:w="113" w:type="dxa"/>
              <w:bottom w:w="113" w:type="dxa"/>
              <w:right w:w="113" w:type="dxa"/>
            </w:tcMar>
            <w:vAlign w:val="center"/>
          </w:tcPr>
          <w:p w14:paraId="07F2E76E" w14:textId="77777777" w:rsidR="00037B2F" w:rsidRDefault="00037B2F" w:rsidP="00B16C0A">
            <w:pPr>
              <w:pStyle w:val="CDIFigure-Table-BodyTextLeft"/>
            </w:pPr>
            <w:r>
              <w:t>World Health Organization</w:t>
            </w:r>
          </w:p>
        </w:tc>
      </w:tr>
      <w:tr w:rsidR="00037B2F" w14:paraId="50830B20" w14:textId="77777777" w:rsidTr="00B16C0A">
        <w:trPr>
          <w:trHeight w:val="20"/>
        </w:trPr>
        <w:tc>
          <w:tcPr>
            <w:tcW w:w="2551" w:type="dxa"/>
            <w:shd w:val="clear" w:color="auto" w:fill="F2F2F2" w:themeFill="background1" w:themeFillShade="F2"/>
            <w:tcMar>
              <w:top w:w="113" w:type="dxa"/>
              <w:left w:w="113" w:type="dxa"/>
              <w:bottom w:w="113" w:type="dxa"/>
              <w:right w:w="113" w:type="dxa"/>
            </w:tcMar>
            <w:vAlign w:val="center"/>
          </w:tcPr>
          <w:p w14:paraId="34B1EF56" w14:textId="77777777" w:rsidR="00037B2F" w:rsidRDefault="00037B2F" w:rsidP="00B16C0A">
            <w:pPr>
              <w:pStyle w:val="CDIFigure-Table-BodyTextLeft"/>
            </w:pPr>
            <w:r>
              <w:t>Zoster (RZV)</w:t>
            </w:r>
          </w:p>
        </w:tc>
        <w:tc>
          <w:tcPr>
            <w:tcW w:w="7087" w:type="dxa"/>
            <w:shd w:val="clear" w:color="auto" w:fill="F2F2F2" w:themeFill="background1" w:themeFillShade="F2"/>
            <w:tcMar>
              <w:top w:w="113" w:type="dxa"/>
              <w:left w:w="113" w:type="dxa"/>
              <w:bottom w:w="113" w:type="dxa"/>
              <w:right w:w="113" w:type="dxa"/>
            </w:tcMar>
            <w:vAlign w:val="center"/>
          </w:tcPr>
          <w:p w14:paraId="29377B54" w14:textId="77777777" w:rsidR="00037B2F" w:rsidRDefault="00037B2F" w:rsidP="00B16C0A">
            <w:pPr>
              <w:pStyle w:val="CDIFigure-Table-BodyTextLeft"/>
            </w:pPr>
            <w:r>
              <w:t>recombinant zoster vaccine</w:t>
            </w:r>
          </w:p>
        </w:tc>
      </w:tr>
      <w:tr w:rsidR="00037B2F" w14:paraId="7AC059A1" w14:textId="77777777" w:rsidTr="00B16C0A">
        <w:trPr>
          <w:trHeight w:val="20"/>
        </w:trPr>
        <w:tc>
          <w:tcPr>
            <w:tcW w:w="2551" w:type="dxa"/>
            <w:tcBorders>
              <w:bottom w:val="single" w:sz="4" w:space="0" w:color="033636" w:themeColor="text2"/>
            </w:tcBorders>
            <w:tcMar>
              <w:top w:w="113" w:type="dxa"/>
              <w:left w:w="113" w:type="dxa"/>
              <w:bottom w:w="113" w:type="dxa"/>
              <w:right w:w="113" w:type="dxa"/>
            </w:tcMar>
            <w:vAlign w:val="center"/>
          </w:tcPr>
          <w:p w14:paraId="4E4E9AA6" w14:textId="77777777" w:rsidR="00037B2F" w:rsidRDefault="00037B2F" w:rsidP="00B16C0A">
            <w:pPr>
              <w:pStyle w:val="CDIFigure-Table-BodyTextLeft"/>
            </w:pPr>
            <w:r>
              <w:t>Zoster (ZVL)</w:t>
            </w:r>
          </w:p>
        </w:tc>
        <w:tc>
          <w:tcPr>
            <w:tcW w:w="7087" w:type="dxa"/>
            <w:tcBorders>
              <w:bottom w:val="single" w:sz="4" w:space="0" w:color="033636" w:themeColor="text2"/>
            </w:tcBorders>
            <w:tcMar>
              <w:top w:w="113" w:type="dxa"/>
              <w:left w:w="113" w:type="dxa"/>
              <w:bottom w:w="113" w:type="dxa"/>
              <w:right w:w="113" w:type="dxa"/>
            </w:tcMar>
            <w:vAlign w:val="center"/>
          </w:tcPr>
          <w:p w14:paraId="388FABD8" w14:textId="77777777" w:rsidR="00037B2F" w:rsidRDefault="00037B2F" w:rsidP="00B16C0A">
            <w:pPr>
              <w:pStyle w:val="CDIFigure-Table-BodyTextLeft"/>
            </w:pPr>
            <w:r>
              <w:t>live-attenuated zoster vaccine</w:t>
            </w:r>
          </w:p>
        </w:tc>
      </w:tr>
    </w:tbl>
    <w:p w14:paraId="02617795" w14:textId="70353A36" w:rsidR="00037B2F" w:rsidRDefault="00037B2F" w:rsidP="00037B2F">
      <w:r>
        <w:br w:type="page"/>
      </w:r>
    </w:p>
    <w:p w14:paraId="1F848B37" w14:textId="3ABBFD24" w:rsidR="000A5F42" w:rsidRPr="00A65DFA" w:rsidRDefault="00037B2F" w:rsidP="00AC0F5D">
      <w:pPr>
        <w:pStyle w:val="CDICopyrightTitle"/>
      </w:pPr>
      <w:r>
        <w:lastRenderedPageBreak/>
        <w:t>A</w:t>
      </w:r>
      <w:r w:rsidR="007E610C">
        <w:t xml:space="preserve">bout </w:t>
      </w:r>
      <w:r w:rsidR="000A5F42" w:rsidRPr="00A65DFA">
        <w:t xml:space="preserve">Communicable Diseases </w:t>
      </w:r>
      <w:r w:rsidR="000A5F42" w:rsidRPr="00194A12">
        <w:t>Intelligence</w:t>
      </w:r>
    </w:p>
    <w:p w14:paraId="3ADD849D"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5F354763" w14:textId="77777777" w:rsidR="000705FF" w:rsidRPr="0089025E" w:rsidRDefault="000705FF" w:rsidP="00194A12">
      <w:pPr>
        <w:pStyle w:val="CDICopyrightText"/>
      </w:pPr>
      <w:r w:rsidRPr="0089025E">
        <w:t xml:space="preserve">© </w:t>
      </w:r>
      <w:fldSimple w:instr=" DOCPROPERTY  Year  \* MERGEFORMAT ">
        <w:r w:rsidR="00F44EF3">
          <w:t>2024</w:t>
        </w:r>
      </w:fldSimple>
      <w:r w:rsidRPr="0089025E">
        <w:t xml:space="preserve"> Commonwealth of Australia as represented by the Department of Health and Aged Care</w:t>
      </w:r>
    </w:p>
    <w:p w14:paraId="1A007E54" w14:textId="77777777" w:rsidR="00DE4482" w:rsidRPr="0089025E" w:rsidRDefault="00DE4482" w:rsidP="00194A12">
      <w:pPr>
        <w:pStyle w:val="CDICopyrightText"/>
      </w:pPr>
      <w:r w:rsidRPr="0089025E">
        <w:t>ISSN: 2209-6051 Online</w:t>
      </w:r>
    </w:p>
    <w:p w14:paraId="1FFB1C6F" w14:textId="77777777" w:rsidR="00DE4482" w:rsidRPr="0089025E" w:rsidRDefault="00DE4482" w:rsidP="00194A12">
      <w:pPr>
        <w:pStyle w:val="CDICopyrightText"/>
      </w:pPr>
      <w:r w:rsidRPr="0089025E">
        <w:t>This journal is indexed by Index Medicus and Medline.</w:t>
      </w:r>
    </w:p>
    <w:p w14:paraId="7F7E7F79"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2ED4B28" w14:textId="77777777" w:rsidR="000705FF" w:rsidRPr="00194A12" w:rsidRDefault="000705FF" w:rsidP="00194A12">
      <w:pPr>
        <w:pStyle w:val="CDICopyrightHeading"/>
      </w:pPr>
      <w:r w:rsidRPr="00194A12">
        <w:t>Restrictions</w:t>
      </w:r>
    </w:p>
    <w:p w14:paraId="5468FD4B"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ACA1630"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15C21784" w14:textId="77777777" w:rsidR="000705FF" w:rsidRPr="0089025E" w:rsidRDefault="000705FF" w:rsidP="00AC0F5D">
      <w:pPr>
        <w:pStyle w:val="CDICopyrightBullets"/>
      </w:pPr>
      <w:r w:rsidRPr="0089025E">
        <w:t>any logos (including the Department of Health and Aged Care’s logo) and trademarks;</w:t>
      </w:r>
    </w:p>
    <w:p w14:paraId="520CE1E4" w14:textId="77777777" w:rsidR="000705FF" w:rsidRPr="0089025E" w:rsidRDefault="000705FF" w:rsidP="00AC0F5D">
      <w:pPr>
        <w:pStyle w:val="CDICopyrightBullets"/>
      </w:pPr>
      <w:r w:rsidRPr="0089025E">
        <w:t xml:space="preserve">any photographs and images; </w:t>
      </w:r>
    </w:p>
    <w:p w14:paraId="5342D7D8" w14:textId="77777777" w:rsidR="000705FF" w:rsidRPr="0089025E" w:rsidRDefault="000705FF" w:rsidP="00AC0F5D">
      <w:pPr>
        <w:pStyle w:val="CDICopyrightBullets"/>
      </w:pPr>
      <w:r w:rsidRPr="0089025E">
        <w:t>any signatures; and</w:t>
      </w:r>
    </w:p>
    <w:p w14:paraId="465F6883" w14:textId="77777777" w:rsidR="000705FF" w:rsidRPr="0089025E" w:rsidRDefault="000705FF" w:rsidP="00AC0F5D">
      <w:pPr>
        <w:pStyle w:val="CDICopyrightBullets"/>
      </w:pPr>
      <w:r w:rsidRPr="0089025E">
        <w:t xml:space="preserve">any material belonging to third parties. </w:t>
      </w:r>
    </w:p>
    <w:p w14:paraId="55394AC5" w14:textId="77777777" w:rsidR="000F223B" w:rsidRPr="0089025E" w:rsidRDefault="000705FF" w:rsidP="00194A12">
      <w:pPr>
        <w:pStyle w:val="CDICopyrightHeading"/>
      </w:pPr>
      <w:r w:rsidRPr="0089025E">
        <w:t>Disclaimer</w:t>
      </w:r>
    </w:p>
    <w:p w14:paraId="11F657F6"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2993D87" w14:textId="77777777" w:rsidR="000F223B" w:rsidRPr="0089025E" w:rsidRDefault="000705FF" w:rsidP="00194A12">
      <w:pPr>
        <w:pStyle w:val="CDICopyrightHeading"/>
      </w:pPr>
      <w:r w:rsidRPr="0089025E">
        <w:t>Enquiries</w:t>
      </w:r>
    </w:p>
    <w:p w14:paraId="3BDA309F"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3" w:history="1">
        <w:r w:rsidR="006307C1" w:rsidRPr="005A4A08">
          <w:rPr>
            <w:rStyle w:val="Hyperlink"/>
          </w:rPr>
          <w:t>cdi.editor@health.gov.au</w:t>
        </w:r>
      </w:hyperlink>
      <w:r w:rsidR="006307C1">
        <w:t xml:space="preserve"> </w:t>
      </w:r>
      <w:r w:rsidRPr="0089025E">
        <w:t xml:space="preserve"> </w:t>
      </w:r>
    </w:p>
    <w:p w14:paraId="3C880FAA" w14:textId="77777777" w:rsidR="000F223B" w:rsidRPr="0089025E" w:rsidRDefault="000705FF" w:rsidP="00194A12">
      <w:pPr>
        <w:pStyle w:val="CDICopyrightHeading"/>
      </w:pPr>
      <w:r w:rsidRPr="0089025E">
        <w:t>Communicable Diseases Network Australia</w:t>
      </w:r>
    </w:p>
    <w:p w14:paraId="4ACDC6AC"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34B8D20" w14:textId="1408B894"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F44EF3">
        <w:t>/Kasra Yousefi</w:t>
      </w:r>
    </w:p>
    <w:p w14:paraId="1471D9E5"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6EC0F4CA" w14:textId="77777777" w:rsidR="00DE4482" w:rsidRPr="0089025E" w:rsidRDefault="000A5F42" w:rsidP="00194A12">
      <w:pPr>
        <w:pStyle w:val="CDICopyrightHeading"/>
      </w:pPr>
      <w:r w:rsidRPr="0089025E">
        <w:t>Contacts</w:t>
      </w:r>
    </w:p>
    <w:p w14:paraId="7B7BD7F9" w14:textId="77777777" w:rsidR="00682E53" w:rsidRDefault="00E54BBD" w:rsidP="00194A12">
      <w:pPr>
        <w:pStyle w:val="CDICopyrightText"/>
      </w:pPr>
      <w:r w:rsidRPr="0089025E">
        <w:t>CDI is produced by</w:t>
      </w:r>
      <w:r w:rsidR="00682E53">
        <w:t>:</w:t>
      </w:r>
    </w:p>
    <w:p w14:paraId="59196F8E"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3FD97D6B" w14:textId="77777777" w:rsidR="00DA2E9E" w:rsidRPr="0089025E" w:rsidRDefault="00DA2E9E" w:rsidP="00194A12">
      <w:pPr>
        <w:pStyle w:val="CDICopyrightText"/>
      </w:pPr>
      <w:r w:rsidRPr="0089025E">
        <w:t xml:space="preserve">Website: </w:t>
      </w:r>
      <w:hyperlink r:id="rId24" w:history="1">
        <w:r w:rsidR="00AC0F5D" w:rsidRPr="000C6EB5">
          <w:rPr>
            <w:rStyle w:val="Hyperlink"/>
          </w:rPr>
          <w:t>www.health.gov.au/cdi</w:t>
        </w:r>
      </w:hyperlink>
      <w:r w:rsidR="00AC0F5D">
        <w:t xml:space="preserve"> </w:t>
      </w:r>
    </w:p>
    <w:p w14:paraId="15AD3BC1" w14:textId="77777777" w:rsidR="000A5F42" w:rsidRPr="0089025E" w:rsidRDefault="000A5F42" w:rsidP="00194A12">
      <w:pPr>
        <w:pStyle w:val="CDICopyrightText"/>
      </w:pPr>
      <w:r w:rsidRPr="0089025E">
        <w:t xml:space="preserve">Email: </w:t>
      </w:r>
      <w:hyperlink r:id="rId25" w:history="1">
        <w:r w:rsidR="00AC0F5D" w:rsidRPr="000C6EB5">
          <w:rPr>
            <w:rStyle w:val="Hyperlink"/>
          </w:rPr>
          <w:t>cdi.editor@health.gov.au</w:t>
        </w:r>
      </w:hyperlink>
      <w:r w:rsidR="00AC0F5D">
        <w:t xml:space="preserve"> </w:t>
      </w:r>
    </w:p>
    <w:p w14:paraId="31DA1256"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15FE4210"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6392AF7" w14:textId="77777777" w:rsidR="000A5F42" w:rsidRPr="0089025E" w:rsidRDefault="000A5F42" w:rsidP="00194A12">
      <w:pPr>
        <w:pStyle w:val="CDICopyrightText"/>
      </w:pPr>
      <w:r w:rsidRPr="0089025E">
        <w:t xml:space="preserve">Further enquiries should be directed to: </w:t>
      </w:r>
      <w:hyperlink r:id="rId26" w:history="1">
        <w:r w:rsidR="00AC0F5D" w:rsidRPr="000C6EB5">
          <w:rPr>
            <w:rStyle w:val="Hyperlink"/>
          </w:rPr>
          <w:t>cdi.editor@health.gov.au</w:t>
        </w:r>
      </w:hyperlink>
      <w:r w:rsidR="00AC0F5D">
        <w:t xml:space="preserve"> </w:t>
      </w:r>
    </w:p>
    <w:sectPr w:rsidR="000A5F42" w:rsidRPr="0089025E" w:rsidSect="001A26DD">
      <w:footerReference w:type="default" r:id="rId27"/>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C0C2E" w14:textId="77777777" w:rsidR="00F44EF3" w:rsidRDefault="00F44EF3" w:rsidP="00E54DBA">
      <w:r>
        <w:separator/>
      </w:r>
    </w:p>
    <w:p w14:paraId="0D9BFE15" w14:textId="77777777" w:rsidR="00F44EF3" w:rsidRDefault="00F44EF3"/>
    <w:p w14:paraId="346F160A" w14:textId="77777777" w:rsidR="00F44EF3" w:rsidRDefault="00F44EF3" w:rsidP="008714B0"/>
  </w:endnote>
  <w:endnote w:type="continuationSeparator" w:id="0">
    <w:p w14:paraId="27E7DB4E" w14:textId="77777777" w:rsidR="00F44EF3" w:rsidRDefault="00F44EF3" w:rsidP="00E54DBA">
      <w:r>
        <w:continuationSeparator/>
      </w:r>
    </w:p>
    <w:p w14:paraId="04D50699" w14:textId="77777777" w:rsidR="00F44EF3" w:rsidRDefault="00F44EF3"/>
    <w:p w14:paraId="7B6AC517" w14:textId="77777777" w:rsidR="00F44EF3" w:rsidRDefault="00F44EF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738A"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40D67" w14:textId="652753E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44EF3">
        <w:t>2024</w:t>
      </w:r>
    </w:fldSimple>
    <w:r w:rsidRPr="001D0612">
      <w:t xml:space="preserve"> </w:t>
    </w:r>
    <w:fldSimple w:instr=" DOCPROPERTY  Vol  \* MERGEFORMAT ">
      <w:r w:rsidR="00F44EF3">
        <w:t>48</w:t>
      </w:r>
    </w:fldSimple>
    <w:r w:rsidRPr="001D0612">
      <w:t xml:space="preserve">  (</w:t>
    </w:r>
    <w:fldSimple w:instr=" DOCPROPERTY  DOI  \* MERGEFORMAT ">
      <w:r w:rsidR="008412A2">
        <w:t>https://doi.org/10.33321/cdi.2024.48.1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106676">
        <w:t>24/06/2024</w:t>
      </w:r>
    </w:fldSimple>
    <w:r w:rsidR="00006D10">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B70F0"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A927C" w14:textId="32D84DB2"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106676">
        <w:t>2024</w:t>
      </w:r>
    </w:fldSimple>
    <w:r w:rsidRPr="001D0612">
      <w:t xml:space="preserve"> </w:t>
    </w:r>
    <w:fldSimple w:instr=" DOCPROPERTY  Vol  \* MERGEFORMAT ">
      <w:r w:rsidR="00106676">
        <w:t>48</w:t>
      </w:r>
    </w:fldSimple>
    <w:r w:rsidRPr="001D0612">
      <w:t xml:space="preserve">  (</w:t>
    </w:r>
    <w:fldSimple w:instr=" DOCPROPERTY  DOI  \* MERGEFORMAT ">
      <w:r w:rsidR="00106676">
        <w:t>https://doi.org/10.33321/cdi.2024.48.1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06676">
        <w:t>24/06/2024</w:t>
      </w:r>
    </w:fldSimple>
    <w:r w:rsidR="00006D10">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11C7" w14:textId="343F11F9"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F44EF3">
        <w:t>2024</w:t>
      </w:r>
    </w:fldSimple>
    <w:r w:rsidRPr="001D0612">
      <w:t xml:space="preserve"> </w:t>
    </w:r>
    <w:fldSimple w:instr=" DOCPROPERTY  Vol  \* MERGEFORMAT ">
      <w:r w:rsidR="00F44EF3">
        <w:t>48</w:t>
      </w:r>
    </w:fldSimple>
    <w:r w:rsidRPr="001D0612">
      <w:t xml:space="preserve">  (</w:t>
    </w:r>
    <w:fldSimple w:instr=" DOCPROPERTY  DOI  \* MERGEFORMAT ">
      <w:r w:rsidR="008412A2">
        <w:t>https://doi.org/10.33321/cdi.2024.48.1</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106676">
        <w:t>24/06/2024</w:t>
      </w:r>
    </w:fldSimple>
    <w:r w:rsidR="00006D10">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226AF" w14:textId="77777777" w:rsidR="00F44EF3" w:rsidRPr="00B91FB5" w:rsidRDefault="00F44EF3" w:rsidP="00B91FB5">
      <w:pPr>
        <w:spacing w:line="240" w:lineRule="auto"/>
        <w:rPr>
          <w:sz w:val="18"/>
          <w:szCs w:val="18"/>
        </w:rPr>
      </w:pPr>
      <w:r w:rsidRPr="00B91FB5">
        <w:rPr>
          <w:sz w:val="18"/>
          <w:szCs w:val="18"/>
        </w:rPr>
        <w:separator/>
      </w:r>
    </w:p>
  </w:footnote>
  <w:footnote w:type="continuationSeparator" w:id="0">
    <w:p w14:paraId="0C8D6C20" w14:textId="77777777" w:rsidR="00F44EF3" w:rsidRDefault="00F44EF3" w:rsidP="00E54DBA">
      <w:r>
        <w:continuationSeparator/>
      </w:r>
    </w:p>
  </w:footnote>
  <w:footnote w:type="continuationNotice" w:id="1">
    <w:p w14:paraId="5EE3BEF2" w14:textId="77777777" w:rsidR="00F44EF3" w:rsidRPr="00224EFF" w:rsidRDefault="00F44EF3"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B2F4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E8C3"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D9B2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D04571E" wp14:editId="7A8EC2F5">
          <wp:simplePos x="0" y="0"/>
          <wp:positionH relativeFrom="page">
            <wp:align>left</wp:align>
          </wp:positionH>
          <wp:positionV relativeFrom="page">
            <wp:align>top</wp:align>
          </wp:positionV>
          <wp:extent cx="7567200" cy="2268000"/>
          <wp:effectExtent l="0" t="0" r="0" b="0"/>
          <wp:wrapNone/>
          <wp:docPr id="1145423931" name="Picture 114542393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11CC4" w14:textId="77777777" w:rsidR="001A26DD" w:rsidRPr="00830070" w:rsidRDefault="001A26DD" w:rsidP="001A2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3"/>
    <w:rsid w:val="00000B5B"/>
    <w:rsid w:val="00001611"/>
    <w:rsid w:val="00002B8D"/>
    <w:rsid w:val="00006D10"/>
    <w:rsid w:val="000072D4"/>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37B2F"/>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C7CBC"/>
    <w:rsid w:val="000D4B4D"/>
    <w:rsid w:val="000E6C4C"/>
    <w:rsid w:val="000F223B"/>
    <w:rsid w:val="000F73D7"/>
    <w:rsid w:val="00106676"/>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BCD"/>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ACD"/>
    <w:rsid w:val="002E2FB3"/>
    <w:rsid w:val="002F1A19"/>
    <w:rsid w:val="002F327B"/>
    <w:rsid w:val="00301626"/>
    <w:rsid w:val="003059EC"/>
    <w:rsid w:val="00316727"/>
    <w:rsid w:val="00316CCD"/>
    <w:rsid w:val="00324F7E"/>
    <w:rsid w:val="0032526F"/>
    <w:rsid w:val="003316F4"/>
    <w:rsid w:val="003323BC"/>
    <w:rsid w:val="00341720"/>
    <w:rsid w:val="00343991"/>
    <w:rsid w:val="00346D42"/>
    <w:rsid w:val="00346E11"/>
    <w:rsid w:val="00351347"/>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246FD"/>
    <w:rsid w:val="004315F5"/>
    <w:rsid w:val="00433456"/>
    <w:rsid w:val="00433DFA"/>
    <w:rsid w:val="00435D67"/>
    <w:rsid w:val="0043642C"/>
    <w:rsid w:val="0043704E"/>
    <w:rsid w:val="00444A56"/>
    <w:rsid w:val="00461653"/>
    <w:rsid w:val="00464A58"/>
    <w:rsid w:val="00464E0D"/>
    <w:rsid w:val="00470721"/>
    <w:rsid w:val="00473D2D"/>
    <w:rsid w:val="00491C26"/>
    <w:rsid w:val="00497089"/>
    <w:rsid w:val="004A19B8"/>
    <w:rsid w:val="004A2125"/>
    <w:rsid w:val="004A38F6"/>
    <w:rsid w:val="004B1266"/>
    <w:rsid w:val="004B4EB6"/>
    <w:rsid w:val="004B4F34"/>
    <w:rsid w:val="004C04D3"/>
    <w:rsid w:val="004C083C"/>
    <w:rsid w:val="004C3BDE"/>
    <w:rsid w:val="004C67C6"/>
    <w:rsid w:val="004D29DE"/>
    <w:rsid w:val="004E1094"/>
    <w:rsid w:val="004E2E81"/>
    <w:rsid w:val="0050473E"/>
    <w:rsid w:val="0050514F"/>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5F7C"/>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4818"/>
    <w:rsid w:val="006C74A3"/>
    <w:rsid w:val="006D1381"/>
    <w:rsid w:val="006D31BC"/>
    <w:rsid w:val="006D4979"/>
    <w:rsid w:val="006D508B"/>
    <w:rsid w:val="006D6625"/>
    <w:rsid w:val="006E1954"/>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438D"/>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C7AB0"/>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12A2"/>
    <w:rsid w:val="00850D54"/>
    <w:rsid w:val="00852E2B"/>
    <w:rsid w:val="008714B0"/>
    <w:rsid w:val="00872A7F"/>
    <w:rsid w:val="00876331"/>
    <w:rsid w:val="00877B90"/>
    <w:rsid w:val="00880726"/>
    <w:rsid w:val="0089025E"/>
    <w:rsid w:val="0089624E"/>
    <w:rsid w:val="008A2A70"/>
    <w:rsid w:val="008A3532"/>
    <w:rsid w:val="008A3544"/>
    <w:rsid w:val="008B48B8"/>
    <w:rsid w:val="008B5348"/>
    <w:rsid w:val="008B58F8"/>
    <w:rsid w:val="008B62FF"/>
    <w:rsid w:val="008C0712"/>
    <w:rsid w:val="008C4520"/>
    <w:rsid w:val="008C5F09"/>
    <w:rsid w:val="008D470F"/>
    <w:rsid w:val="008D47FC"/>
    <w:rsid w:val="008D4B44"/>
    <w:rsid w:val="008D6F06"/>
    <w:rsid w:val="008E1F8F"/>
    <w:rsid w:val="008E3020"/>
    <w:rsid w:val="008E3F81"/>
    <w:rsid w:val="008E4768"/>
    <w:rsid w:val="008E761E"/>
    <w:rsid w:val="008E7DFC"/>
    <w:rsid w:val="008E7F61"/>
    <w:rsid w:val="008F105F"/>
    <w:rsid w:val="008F77B3"/>
    <w:rsid w:val="009008F5"/>
    <w:rsid w:val="00900B78"/>
    <w:rsid w:val="00904CC1"/>
    <w:rsid w:val="009066AF"/>
    <w:rsid w:val="00910578"/>
    <w:rsid w:val="00912050"/>
    <w:rsid w:val="00912A31"/>
    <w:rsid w:val="00912E48"/>
    <w:rsid w:val="00912E68"/>
    <w:rsid w:val="00917425"/>
    <w:rsid w:val="00917557"/>
    <w:rsid w:val="00923159"/>
    <w:rsid w:val="009245A5"/>
    <w:rsid w:val="0092746F"/>
    <w:rsid w:val="009334F9"/>
    <w:rsid w:val="00935DC9"/>
    <w:rsid w:val="00937F3C"/>
    <w:rsid w:val="009446C0"/>
    <w:rsid w:val="00947BAF"/>
    <w:rsid w:val="00951883"/>
    <w:rsid w:val="0095231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3932"/>
    <w:rsid w:val="009A5166"/>
    <w:rsid w:val="009A76F8"/>
    <w:rsid w:val="009B2B83"/>
    <w:rsid w:val="009C49F8"/>
    <w:rsid w:val="009D56E7"/>
    <w:rsid w:val="009D77CC"/>
    <w:rsid w:val="009D797A"/>
    <w:rsid w:val="009E1284"/>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131D"/>
    <w:rsid w:val="00A23CAF"/>
    <w:rsid w:val="00A25601"/>
    <w:rsid w:val="00A2678D"/>
    <w:rsid w:val="00A273C3"/>
    <w:rsid w:val="00A30C37"/>
    <w:rsid w:val="00A34275"/>
    <w:rsid w:val="00A3671B"/>
    <w:rsid w:val="00A36C65"/>
    <w:rsid w:val="00A37AE9"/>
    <w:rsid w:val="00A41BBE"/>
    <w:rsid w:val="00A443E3"/>
    <w:rsid w:val="00A45BDD"/>
    <w:rsid w:val="00A46060"/>
    <w:rsid w:val="00A46A0A"/>
    <w:rsid w:val="00A55205"/>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16C0A"/>
    <w:rsid w:val="00B20A91"/>
    <w:rsid w:val="00B21973"/>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286"/>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3159"/>
    <w:rsid w:val="00C47780"/>
    <w:rsid w:val="00C507D8"/>
    <w:rsid w:val="00C51F5A"/>
    <w:rsid w:val="00C57018"/>
    <w:rsid w:val="00C62EAC"/>
    <w:rsid w:val="00C63F9F"/>
    <w:rsid w:val="00C6558E"/>
    <w:rsid w:val="00C66F97"/>
    <w:rsid w:val="00C7723C"/>
    <w:rsid w:val="00C838F5"/>
    <w:rsid w:val="00C841C0"/>
    <w:rsid w:val="00C90E96"/>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07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3F9B"/>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4EF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146"/>
    <w:rsid w:val="00FB48CF"/>
    <w:rsid w:val="00FC002E"/>
    <w:rsid w:val="00FC4C23"/>
    <w:rsid w:val="00FC6204"/>
    <w:rsid w:val="00FC642E"/>
    <w:rsid w:val="00FD6229"/>
    <w:rsid w:val="00FE2AE4"/>
    <w:rsid w:val="00FE3F9E"/>
    <w:rsid w:val="00FE689F"/>
    <w:rsid w:val="00FE6B2F"/>
    <w:rsid w:val="00FE7809"/>
    <w:rsid w:val="00FF1223"/>
    <w:rsid w:val="00FF408B"/>
    <w:rsid w:val="00FF57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82E86"/>
  <w15:docId w15:val="{56FA1B32-C61D-4379-9460-F6FFED01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89"/>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FF5708"/>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8D6F06"/>
    <w:pPr>
      <w:spacing w:after="120"/>
    </w:pPr>
  </w:style>
  <w:style w:type="character" w:customStyle="1" w:styleId="BodyTextChar">
    <w:name w:val="Body Text Char"/>
    <w:basedOn w:val="DefaultParagraphFont"/>
    <w:link w:val="BodyText"/>
    <w:uiPriority w:val="99"/>
    <w:semiHidden/>
    <w:rsid w:val="008D6F06"/>
    <w:rPr>
      <w:rFonts w:ascii="Calibri" w:hAnsi="Calibri"/>
      <w14:ligatures w14:val="standardContextual"/>
    </w:rPr>
  </w:style>
  <w:style w:type="paragraph" w:customStyle="1" w:styleId="Heading1-nospacebefore">
    <w:name w:val="Heading 1 - no space before"/>
    <w:basedOn w:val="Heading1"/>
    <w:qFormat/>
    <w:rsid w:val="00351347"/>
    <w:pPr>
      <w:spacing w:before="0"/>
    </w:pPr>
  </w:style>
  <w:style w:type="paragraph" w:customStyle="1" w:styleId="TableTitle-nospacebefore">
    <w:name w:val="Table Title - no space before"/>
    <w:basedOn w:val="CDIFigure-Table-Title"/>
    <w:qFormat/>
    <w:rsid w:val="00006D10"/>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ealth.gov.au/cdi"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cdi.editor@health.gov.au"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2</TotalTime>
  <Pages>31</Pages>
  <Words>9897</Words>
  <Characters>54708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Communicable Diseases Intelligence - Surveillance of adverse events following immunisation in Australia annual report, 2021</vt:lpstr>
    </vt:vector>
  </TitlesOfParts>
  <Company>Interim Australian Centre for Disease Control</Company>
  <LinksUpToDate>false</LinksUpToDate>
  <CharactersWithSpaces>64477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Surveillance of adverse events following immunisation in Australia annual report, 2021</dc:title>
  <dc:subject>This report summarises Australian passive surveillance data for adverse events following immunisation (AEFI) reported to the Therapeutic Goods Administration (TGA) for 2021. It also describes reporting trends over the 22-year period 1 January 2000 to 31 December 2021.</dc:subject>
  <dc:creator>Catherine Glover; Lucy Deng; Claire Larter; Catherine Brogan; Olivia Richardson; Yuanfei Anny Huang; Elspeth Kay; Kristine Macartney; Nicholas Wood</dc:creator>
  <cp:keywords>AEFI; adverse events; vaccines; surveillance; immunisation; vaccine</cp:keywords>
  <dc:description>© Commonwealth of Australia CC BY-NC-ND</dc:description>
  <cp:revision>2</cp:revision>
  <cp:lastPrinted>2024-03-07T01:06:00Z</cp:lastPrinted>
  <dcterms:created xsi:type="dcterms:W3CDTF">2025-01-13T00:55:00Z</dcterms:created>
  <dcterms:modified xsi:type="dcterms:W3CDTF">2025-01-13T00:55:00Z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24/06/2024</vt:lpwstr>
  </property>
  <property fmtid="{D5CDD505-2E9C-101B-9397-08002B2CF9AE}" pid="5" name="DOI">
    <vt:lpwstr>https://doi.org/10.33321/cdi.2024.48.1</vt:lpwstr>
  </property>
</Properties>
</file>