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3F8FD" w14:textId="77777777" w:rsidR="00B50D8D" w:rsidRPr="00B50D8D" w:rsidRDefault="00B50D8D" w:rsidP="00B50D8D">
      <w:pPr>
        <w:pStyle w:val="CDIfootnotes"/>
      </w:pPr>
      <w:r w:rsidRPr="00B50D8D">
        <w:rPr>
          <w:i/>
          <w:iCs/>
        </w:rPr>
        <w:t>Communicable Diseases Intelligence</w:t>
      </w:r>
      <w:r w:rsidRPr="00B50D8D">
        <w:t xml:space="preserve">, Year </w:t>
      </w:r>
      <w:fldSimple w:instr=" DOCPROPERTY  Year  \* MERGEFORMAT ">
        <w:r w:rsidR="00170AD8">
          <w:t>2023</w:t>
        </w:r>
      </w:fldSimple>
      <w:r w:rsidRPr="00B50D8D">
        <w:t xml:space="preserve">, Volume </w:t>
      </w:r>
      <w:r w:rsidR="00C054F1">
        <w:fldChar w:fldCharType="begin"/>
      </w:r>
      <w:r w:rsidR="00C054F1">
        <w:instrText xml:space="preserve"> DOCPROPERTY  Vol  \* MERGEFORMAT </w:instrText>
      </w:r>
      <w:r w:rsidR="00C054F1">
        <w:fldChar w:fldCharType="separate"/>
      </w:r>
      <w:proofErr w:type="gramStart"/>
      <w:r w:rsidR="00170AD8">
        <w:t>47</w:t>
      </w:r>
      <w:proofErr w:type="gramEnd"/>
      <w:r w:rsidR="00C054F1">
        <w:fldChar w:fldCharType="end"/>
      </w:r>
    </w:p>
    <w:p w14:paraId="5423CA4A" w14:textId="1C3B42DD" w:rsidR="00B50D8D" w:rsidRPr="00B50D8D" w:rsidRDefault="006845C1" w:rsidP="00B50D8D">
      <w:pPr>
        <w:pStyle w:val="CDIfootnotes"/>
      </w:pPr>
      <w:fldSimple w:instr=" DOCPROPERTY  DOI  \* MERGEFORMAT ">
        <w:r w:rsidR="00CD2A28">
          <w:t>https://doi.org/10.33321/cdi.2023.47.36</w:t>
        </w:r>
      </w:fldSimple>
    </w:p>
    <w:p w14:paraId="7C14648D" w14:textId="0003D9E4" w:rsidR="00B50D8D" w:rsidRPr="00B50D8D" w:rsidRDefault="00B50D8D" w:rsidP="00B50D8D">
      <w:pPr>
        <w:pStyle w:val="CDIfootnotes"/>
      </w:pPr>
      <w:r w:rsidRPr="00B50D8D">
        <w:t xml:space="preserve">Publication date: </w:t>
      </w:r>
      <w:fldSimple w:instr=" DOCPROPERTY  ePubDate  \* MERGEFORMAT ">
        <w:r w:rsidR="00816695">
          <w:t>26/06/2023</w:t>
        </w:r>
      </w:fldSimple>
    </w:p>
    <w:p w14:paraId="3562761A" w14:textId="57C98D3A" w:rsidR="00B50D8D" w:rsidRPr="00B50D8D" w:rsidRDefault="00816695" w:rsidP="00B50D8D">
      <w:pPr>
        <w:pStyle w:val="CDIfootnotes"/>
      </w:pPr>
      <w:hyperlink r:id="rId9" w:history="1">
        <w:r w:rsidR="00B50D8D" w:rsidRPr="00B50D8D">
          <w:rPr>
            <w:rStyle w:val="Hyperlink"/>
          </w:rPr>
          <w:t>http://health.gov.au/cdi</w:t>
        </w:r>
      </w:hyperlink>
      <w:r w:rsidR="00B50D8D" w:rsidRPr="00B50D8D">
        <w:t xml:space="preserve"> </w:t>
      </w:r>
    </w:p>
    <w:p w14:paraId="08AAA917" w14:textId="77777777" w:rsidR="00317E33" w:rsidRDefault="00317E33" w:rsidP="00317E33">
      <w:pPr>
        <w:pStyle w:val="Title"/>
        <w:divId w:val="1323462985"/>
        <w:rPr>
          <w:rFonts w:eastAsia="Times New Roman"/>
          <w:sz w:val="48"/>
          <w:szCs w:val="48"/>
        </w:rPr>
      </w:pPr>
      <w:r>
        <w:rPr>
          <w:rFonts w:eastAsia="Times New Roman"/>
        </w:rPr>
        <w:t xml:space="preserve">Evolving epidemiology of Q fever in Wide Bay </w:t>
      </w:r>
    </w:p>
    <w:p w14:paraId="16259E2A" w14:textId="77777777" w:rsidR="00317E33" w:rsidRDefault="00317E33" w:rsidP="00317E33">
      <w:pPr>
        <w:divId w:val="1323462985"/>
      </w:pPr>
      <w:r>
        <w:t xml:space="preserve">Matthew Roughan, Emma Hodge, Arifuzzaman Khan, Josette Chor </w:t>
      </w:r>
    </w:p>
    <w:p w14:paraId="3C317DAF" w14:textId="77777777" w:rsidR="00317E33" w:rsidRPr="00317E33" w:rsidRDefault="00317E33" w:rsidP="00317E33">
      <w:pPr>
        <w:pStyle w:val="Heading1"/>
        <w:divId w:val="1323462985"/>
      </w:pPr>
      <w:r w:rsidRPr="00317E33">
        <w:t xml:space="preserve">Abstract </w:t>
      </w:r>
    </w:p>
    <w:p w14:paraId="51AF86E7" w14:textId="77777777" w:rsidR="00317E33" w:rsidRDefault="00317E33" w:rsidP="00317E33">
      <w:pPr>
        <w:divId w:val="1323462985"/>
      </w:pPr>
      <w:r>
        <w:t>Q fever is a notifiable disease in Australia due to its public health significance. Recent data in the Wide Bay region (Queensland, Australia) suggests a rising number and changing geographical distribution of Q fever cases. This study aims to evaluate these changes through analysis of data from Queensland Health’s Notifiable Conditions System (</w:t>
      </w:r>
      <w:proofErr w:type="spellStart"/>
      <w:r>
        <w:t>NoCS</w:t>
      </w:r>
      <w:proofErr w:type="spellEnd"/>
      <w:r>
        <w:t xml:space="preserve">) over a ten-year period. A comparison was made between the recent five-year period (2018–2022) and the preceding five-year period (2013–2017) with reference to incidence rates, location of cases and </w:t>
      </w:r>
      <w:proofErr w:type="gramStart"/>
      <w:r>
        <w:t>likely exposures</w:t>
      </w:r>
      <w:proofErr w:type="gramEnd"/>
      <w:r>
        <w:t xml:space="preserve">. Incidence rates of Q fever showed an upward trend over time, particularly in urban areas. This highlights the need for increased clinical suspicion, improved awareness among the community and healthcare providers, and potentially broadening of vaccination recommendations in the future. </w:t>
      </w:r>
    </w:p>
    <w:p w14:paraId="55D72E13" w14:textId="77777777" w:rsidR="00317E33" w:rsidRDefault="00317E33" w:rsidP="00317E33">
      <w:pPr>
        <w:divId w:val="1323462985"/>
      </w:pPr>
      <w:r>
        <w:t xml:space="preserve">Keywords: Q fever; zoonoses; rural health; vaccination; urbanisation </w:t>
      </w:r>
    </w:p>
    <w:p w14:paraId="3B0F66CB" w14:textId="77777777" w:rsidR="00317E33" w:rsidRPr="00317E33" w:rsidRDefault="00317E33" w:rsidP="00317E33">
      <w:pPr>
        <w:pStyle w:val="Heading1"/>
        <w:divId w:val="1323462985"/>
      </w:pPr>
      <w:r w:rsidRPr="00317E33">
        <w:t xml:space="preserve">Introduction </w:t>
      </w:r>
    </w:p>
    <w:p w14:paraId="58E7560E" w14:textId="77777777" w:rsidR="00317E33" w:rsidRDefault="00317E33" w:rsidP="00317E33">
      <w:pPr>
        <w:divId w:val="1323462985"/>
      </w:pPr>
      <w:r>
        <w:t xml:space="preserve">Q fever, caused by the bacterium </w:t>
      </w:r>
      <w:r w:rsidRPr="009F54A9">
        <w:rPr>
          <w:rStyle w:val="Emphasis"/>
          <w:b w:val="0"/>
          <w:bCs w:val="0"/>
        </w:rPr>
        <w:t>Coxiella burnetii</w:t>
      </w:r>
      <w:r>
        <w:t>,</w:t>
      </w:r>
      <w:proofErr w:type="gramStart"/>
      <w:r>
        <w:rPr>
          <w:vertAlign w:val="superscript"/>
        </w:rPr>
        <w:t>1</w:t>
      </w:r>
      <w:proofErr w:type="gramEnd"/>
      <w:r w:rsidRPr="009F54A9">
        <w:rPr>
          <w:rStyle w:val="Emphasis"/>
          <w:b w:val="0"/>
          <w:bCs w:val="0"/>
        </w:rPr>
        <w:t xml:space="preserve"> </w:t>
      </w:r>
      <w:r>
        <w:t>is a zoonotic disease which is notifiable in Australia due to its public health significance. It is a vaccine preventable disease, with Australia the only country currently vaccinating at-risk populations.</w:t>
      </w:r>
      <w:r>
        <w:rPr>
          <w:vertAlign w:val="superscript"/>
        </w:rPr>
        <w:t>2</w:t>
      </w:r>
      <w:r>
        <w:t xml:space="preserve"> Previous outbreaks have often been associated with workplaces involved in the processing of animals, such as abattoirs and farms,</w:t>
      </w:r>
      <w:r>
        <w:rPr>
          <w:vertAlign w:val="superscript"/>
        </w:rPr>
        <w:t>3,</w:t>
      </w:r>
      <w:proofErr w:type="gramStart"/>
      <w:r>
        <w:rPr>
          <w:vertAlign w:val="superscript"/>
        </w:rPr>
        <w:t>4</w:t>
      </w:r>
      <w:proofErr w:type="gramEnd"/>
      <w:r>
        <w:t xml:space="preserve"> and it is within these industries where vaccination efforts have been focused. </w:t>
      </w:r>
      <w:proofErr w:type="gramStart"/>
      <w:r>
        <w:t>Previous</w:t>
      </w:r>
      <w:proofErr w:type="gramEnd"/>
      <w:r>
        <w:t xml:space="preserve"> Queensland </w:t>
      </w:r>
      <w:proofErr w:type="spellStart"/>
      <w:r>
        <w:t>serosurveillance</w:t>
      </w:r>
      <w:proofErr w:type="spellEnd"/>
      <w:r>
        <w:t xml:space="preserve"> data has suggested direct contact with animals and living in a rural area are both independent risk factors for Q fever infection,</w:t>
      </w:r>
      <w:r>
        <w:rPr>
          <w:vertAlign w:val="superscript"/>
        </w:rPr>
        <w:t>5</w:t>
      </w:r>
      <w:r>
        <w:t xml:space="preserve"> which is in keeping with its known main reservoirs including sheep, cattle and goats. Recent Q fever case data within the Wide Bay region showed an even division between those living in rural areas and the more urban centres of the Wide Bay region, which may suggest an evolving trend, and may </w:t>
      </w:r>
      <w:proofErr w:type="gramStart"/>
      <w:r>
        <w:t>impact</w:t>
      </w:r>
      <w:proofErr w:type="gramEnd"/>
      <w:r>
        <w:t xml:space="preserve"> future public health measures including vaccination guidelines. </w:t>
      </w:r>
    </w:p>
    <w:p w14:paraId="3DDD4EE6" w14:textId="77777777" w:rsidR="00317E33" w:rsidRDefault="00317E33" w:rsidP="00317E33">
      <w:pPr>
        <w:divId w:val="1323462985"/>
      </w:pPr>
      <w:r>
        <w:t>Q fever can manifest as an acute or chronic infection. Most commonly, acute Q fever presents as a self-limiting systemic illness characterised by fever and associated with a broad range of symptoms including headache, myalgia, malaise, and gastrointestinal symptoms.</w:t>
      </w:r>
      <w:r>
        <w:rPr>
          <w:vertAlign w:val="superscript"/>
        </w:rPr>
        <w:t>6</w:t>
      </w:r>
      <w:r>
        <w:t xml:space="preserve"> More severe cases can result in pneumonia, hepatitis, haematological and neurological complications. An estimated 1–5% of Q fever cases result in chronic infection, including endocarditis, osteoarticular infections, and vascular infections.</w:t>
      </w:r>
      <w:r>
        <w:rPr>
          <w:vertAlign w:val="superscript"/>
        </w:rPr>
        <w:t>7</w:t>
      </w:r>
      <w:r>
        <w:t xml:space="preserve"> Transmission of </w:t>
      </w:r>
      <w:r w:rsidRPr="009F54A9">
        <w:rPr>
          <w:rStyle w:val="Emphasis"/>
          <w:b w:val="0"/>
          <w:bCs w:val="0"/>
        </w:rPr>
        <w:t xml:space="preserve">C. </w:t>
      </w:r>
      <w:proofErr w:type="spellStart"/>
      <w:r w:rsidRPr="009F54A9">
        <w:rPr>
          <w:rStyle w:val="Emphasis"/>
          <w:b w:val="0"/>
          <w:bCs w:val="0"/>
        </w:rPr>
        <w:t>burnetii</w:t>
      </w:r>
      <w:proofErr w:type="spellEnd"/>
      <w:r>
        <w:t xml:space="preserve"> is primarily through the airborne route, with </w:t>
      </w:r>
      <w:proofErr w:type="spellStart"/>
      <w:r>
        <w:t>aerosolisation</w:t>
      </w:r>
      <w:proofErr w:type="spellEnd"/>
      <w:r>
        <w:t xml:space="preserve"> occurring via the birthing of livestock or through dust generation during herding, heavy transport or mowing.</w:t>
      </w:r>
      <w:r>
        <w:rPr>
          <w:vertAlign w:val="superscript"/>
        </w:rPr>
        <w:t>3</w:t>
      </w:r>
      <w:r>
        <w:t xml:space="preserve"> Notification of confirmed Q fever cases requires either laboratory definitive evidence, or laboratory suggestive evidence along with a clinically compatible disease.</w:t>
      </w:r>
      <w:r>
        <w:rPr>
          <w:vertAlign w:val="superscript"/>
        </w:rPr>
        <w:t>8</w:t>
      </w:r>
      <w:r>
        <w:t xml:space="preserve"> </w:t>
      </w:r>
    </w:p>
    <w:p w14:paraId="6E289209" w14:textId="77777777" w:rsidR="00317E33" w:rsidRDefault="00317E33" w:rsidP="00317E33">
      <w:pPr>
        <w:divId w:val="1323462985"/>
      </w:pPr>
      <w:r>
        <w:t>Q fever has been an ongoing public health concern within the Wide Bay region.</w:t>
      </w:r>
      <w:r>
        <w:rPr>
          <w:vertAlign w:val="superscript"/>
        </w:rPr>
        <w:t>9</w:t>
      </w:r>
      <w:r>
        <w:t xml:space="preserve"> Routine observation work within the Wide Bay Public Health Unit (PHU) in 2022 noted a 40% increase in incidence rate of Q fever compared to the previous year, with </w:t>
      </w:r>
      <w:proofErr w:type="gramStart"/>
      <w:r>
        <w:t>13</w:t>
      </w:r>
      <w:proofErr w:type="gramEnd"/>
      <w:r>
        <w:t xml:space="preserve"> cases reported. This is in the context of overall stability in Queensland’s state-wide case numbers, with 238 cases recorded in 2022 compared to the five-year average (2018–2022) of 235 cases per annum.</w:t>
      </w:r>
      <w:r>
        <w:rPr>
          <w:vertAlign w:val="superscript"/>
        </w:rPr>
        <w:t>10</w:t>
      </w:r>
      <w:r>
        <w:t xml:space="preserve"> Initial assessment of the pattern of distribution of these cases suggested a need to consider diagnosis and </w:t>
      </w:r>
      <w:r>
        <w:lastRenderedPageBreak/>
        <w:t xml:space="preserve">prevention of Q fever beyond the traditional risk factors of direct animal contact and workplace exposure. As such, a thorough review of Q fever notifications within the Wide Bay region over the past decade </w:t>
      </w:r>
      <w:proofErr w:type="gramStart"/>
      <w:r>
        <w:t>was conducted</w:t>
      </w:r>
      <w:proofErr w:type="gramEnd"/>
      <w:r>
        <w:t xml:space="preserve">, with the aim of evaluating recent changes in incidence rates and assessing the need for expansion of traditional risk factors for this vaccine preventable disease. </w:t>
      </w:r>
    </w:p>
    <w:p w14:paraId="25776439" w14:textId="77777777" w:rsidR="00317E33" w:rsidRPr="00317E33" w:rsidRDefault="00317E33" w:rsidP="00317E33">
      <w:pPr>
        <w:pStyle w:val="Heading1"/>
        <w:divId w:val="1323462985"/>
      </w:pPr>
      <w:r w:rsidRPr="00317E33">
        <w:t xml:space="preserve">Methods </w:t>
      </w:r>
    </w:p>
    <w:p w14:paraId="704CA968" w14:textId="77777777" w:rsidR="00317E33" w:rsidRDefault="00317E33" w:rsidP="00317E33">
      <w:pPr>
        <w:divId w:val="1323462985"/>
      </w:pPr>
      <w:r>
        <w:t xml:space="preserve">Q fever data from 2013 to 2022 </w:t>
      </w:r>
      <w:proofErr w:type="gramStart"/>
      <w:r>
        <w:t>was extracted</w:t>
      </w:r>
      <w:proofErr w:type="gramEnd"/>
      <w:r>
        <w:t xml:space="preserve"> from the Queensland Health Notifiable Conditions System (</w:t>
      </w:r>
      <w:proofErr w:type="spellStart"/>
      <w:r>
        <w:t>NoCS</w:t>
      </w:r>
      <w:proofErr w:type="spellEnd"/>
      <w:r>
        <w:t>). The case definition was in keeping with that defined by the Communicable Diseases Network Australia (CDNA) guidelines.</w:t>
      </w:r>
      <w:r>
        <w:rPr>
          <w:vertAlign w:val="superscript"/>
        </w:rPr>
        <w:t>8</w:t>
      </w:r>
      <w:r>
        <w:t xml:space="preserve"> Data from the recent five-year period (2018–2022) was compared with the preceding five-year period (2013–2017) with reference to demographics and </w:t>
      </w:r>
      <w:proofErr w:type="gramStart"/>
      <w:r>
        <w:t>likely exposure</w:t>
      </w:r>
      <w:proofErr w:type="gramEnd"/>
      <w:r>
        <w:t xml:space="preserve"> source. The Modified Monash Model was </w:t>
      </w:r>
      <w:proofErr w:type="gramStart"/>
      <w:r>
        <w:t>utilised</w:t>
      </w:r>
      <w:proofErr w:type="gramEnd"/>
      <w:r>
        <w:t xml:space="preserve"> to classify the location of residence as either a regional town (MM2 or 3) or rural (MM &gt; 3).</w:t>
      </w:r>
      <w:r>
        <w:rPr>
          <w:vertAlign w:val="superscript"/>
        </w:rPr>
        <w:t>11</w:t>
      </w:r>
      <w:r>
        <w:t xml:space="preserve"> To assess the significance of the differences observed, statistical tests including the Wilcoxon rank sum test, Fisher’s exact test, and Pearson’s chi-squared test were employed as appropriate. Additionally, yearly incidence rates (per 100,000 population at risk) and incidence risk ratios between 2013 and 2022 </w:t>
      </w:r>
      <w:proofErr w:type="gramStart"/>
      <w:r>
        <w:t>were calculated</w:t>
      </w:r>
      <w:proofErr w:type="gramEnd"/>
      <w:r>
        <w:t xml:space="preserve"> based on population data from the Queensland Statistician’s Office.</w:t>
      </w:r>
      <w:r>
        <w:rPr>
          <w:vertAlign w:val="superscript"/>
        </w:rPr>
        <w:t xml:space="preserve">12 </w:t>
      </w:r>
    </w:p>
    <w:p w14:paraId="480BFEA8" w14:textId="77777777" w:rsidR="00317E33" w:rsidRDefault="00317E33" w:rsidP="00317E33">
      <w:pPr>
        <w:divId w:val="1323462985"/>
      </w:pPr>
      <w:r>
        <w:t xml:space="preserve">Ethical exemption for review and publication of this data </w:t>
      </w:r>
      <w:proofErr w:type="gramStart"/>
      <w:r>
        <w:t>was provided</w:t>
      </w:r>
      <w:proofErr w:type="gramEnd"/>
      <w:r>
        <w:t xml:space="preserve"> by the Central Queensland HHS Human Research Ethics Committee. </w:t>
      </w:r>
    </w:p>
    <w:p w14:paraId="0F3540E3" w14:textId="77777777" w:rsidR="00317E33" w:rsidRPr="00317E33" w:rsidRDefault="00317E33" w:rsidP="00317E33">
      <w:pPr>
        <w:pStyle w:val="Heading1"/>
        <w:divId w:val="1323462985"/>
      </w:pPr>
      <w:r w:rsidRPr="00317E33">
        <w:t xml:space="preserve">Results </w:t>
      </w:r>
    </w:p>
    <w:p w14:paraId="0906ED61" w14:textId="77777777" w:rsidR="00317E33" w:rsidRDefault="00317E33" w:rsidP="00317E33">
      <w:pPr>
        <w:divId w:val="1323462985"/>
      </w:pPr>
      <w:r>
        <w:t xml:space="preserve">There </w:t>
      </w:r>
      <w:proofErr w:type="gramStart"/>
      <w:r>
        <w:t>were</w:t>
      </w:r>
      <w:proofErr w:type="gramEnd"/>
      <w:r>
        <w:t xml:space="preserve"> a total of 87 cases of Q fever detected in the Wide Bay region in 2013–2022. Tables 1 and 2 show the baseline characteristics of these </w:t>
      </w:r>
      <w:proofErr w:type="gramStart"/>
      <w:r>
        <w:t>cases, and</w:t>
      </w:r>
      <w:proofErr w:type="gramEnd"/>
      <w:r>
        <w:t xml:space="preserve"> compares the risk factors associated with the cases in the recent five-year period (2018–2022) with the preceding five-year period (2013–2017). </w:t>
      </w:r>
    </w:p>
    <w:p w14:paraId="69CD5C75" w14:textId="77777777" w:rsidR="00317E33" w:rsidRDefault="00317E33" w:rsidP="00317E33">
      <w:pPr>
        <w:divId w:val="1323462985"/>
      </w:pPr>
      <w:r>
        <w:t xml:space="preserve">A number of interesting trends </w:t>
      </w:r>
      <w:proofErr w:type="gramStart"/>
      <w:r>
        <w:t>emerged</w:t>
      </w:r>
      <w:proofErr w:type="gramEnd"/>
      <w:r>
        <w:t xml:space="preserve"> from analysis of the data. Although not statistically significant, an increase in case numbers in urban (MM 2 or 3) compared to rural areas (MM &gt; 3) was </w:t>
      </w:r>
      <w:proofErr w:type="gramStart"/>
      <w:r>
        <w:t>observed</w:t>
      </w:r>
      <w:proofErr w:type="gramEnd"/>
      <w:r>
        <w:t xml:space="preserve">. The urban case numbers in the recent five-year period </w:t>
      </w:r>
      <w:proofErr w:type="gramStart"/>
      <w:r>
        <w:t>demonstrated</w:t>
      </w:r>
      <w:proofErr w:type="gramEnd"/>
      <w:r>
        <w:t xml:space="preserve"> an increase of 40% compared to the previous five years, while only a 16.6% increase was noted in rural areas. Figure 1 illustrates the annual Q fever cases in urban and rural areas from 2013 to 2022. The graph reveals a notable difference in the rate of increase between urban and rural cases, with urban cases </w:t>
      </w:r>
      <w:proofErr w:type="gramStart"/>
      <w:r>
        <w:t>exhibiting</w:t>
      </w:r>
      <w:proofErr w:type="gramEnd"/>
      <w:r>
        <w:t xml:space="preserve"> a steeper incline compared to rural cases on the pictured regression model. </w:t>
      </w:r>
    </w:p>
    <w:p w14:paraId="0660D384" w14:textId="77777777" w:rsidR="00317E33" w:rsidRDefault="00317E33" w:rsidP="00317E33">
      <w:pPr>
        <w:divId w:val="1323462985"/>
      </w:pPr>
      <w:r>
        <w:t xml:space="preserve">Significant difference is </w:t>
      </w:r>
      <w:proofErr w:type="gramStart"/>
      <w:r>
        <w:t>observed</w:t>
      </w:r>
      <w:proofErr w:type="gramEnd"/>
      <w:r>
        <w:t xml:space="preserve"> in exposure history between the two five-year periods. Of note, exposures related to land clearing, mowing, or earthmoving </w:t>
      </w:r>
      <w:proofErr w:type="gramStart"/>
      <w:r>
        <w:t>demonstrated</w:t>
      </w:r>
      <w:proofErr w:type="gramEnd"/>
      <w:r>
        <w:t xml:space="preserve"> a notable increase in the recent five years (8/79, 10%) compared to the preceding five years (0%). Other exposure categories did not exhibit substantial variations; however, the occurrence of the commonest exposure (</w:t>
      </w:r>
      <w:proofErr w:type="gramStart"/>
      <w:r>
        <w:t>i.e.</w:t>
      </w:r>
      <w:proofErr w:type="gramEnd"/>
      <w:r>
        <w:t xml:space="preserve"> lives on a farm) was seen to decrease in the recent period. </w:t>
      </w:r>
    </w:p>
    <w:p w14:paraId="4B9F2EB7" w14:textId="77777777" w:rsidR="00317E33" w:rsidRDefault="00317E33" w:rsidP="00317E33">
      <w:pPr>
        <w:divId w:val="1323462985"/>
      </w:pPr>
      <w:r>
        <w:t xml:space="preserve">Increased overall case numbers in the Wide Bay region </w:t>
      </w:r>
      <w:proofErr w:type="gramStart"/>
      <w:r>
        <w:t>were also noted</w:t>
      </w:r>
      <w:proofErr w:type="gramEnd"/>
      <w:r>
        <w:t xml:space="preserve">. Comparison of incident rates between the recent five years and the preceding five years revealed a significant increase of 25% (incidence rate ratio 1.25 [95% confidence interval (95% CI): 1.24–1.25]). Table 3 </w:t>
      </w:r>
      <w:proofErr w:type="gramStart"/>
      <w:r>
        <w:t>provides</w:t>
      </w:r>
      <w:proofErr w:type="gramEnd"/>
      <w:r>
        <w:t xml:space="preserve"> a detailed overview of the incidence rates and incidence rate ratios (IRR) for each year from 2013 to 2022, as well as a comparison between the two five-year periods. </w:t>
      </w:r>
    </w:p>
    <w:p w14:paraId="69EBC222" w14:textId="77777777" w:rsidR="00BE2CCA" w:rsidRDefault="00BE2CCA">
      <w:pPr>
        <w:rPr>
          <w:rFonts w:asciiTheme="majorHAnsi" w:eastAsiaTheme="majorEastAsia" w:hAnsiTheme="majorHAnsi" w:cstheme="majorBidi"/>
          <w:b/>
          <w:bCs/>
          <w:sz w:val="32"/>
          <w:szCs w:val="28"/>
        </w:rPr>
      </w:pPr>
      <w:r>
        <w:br w:type="page"/>
      </w:r>
    </w:p>
    <w:p w14:paraId="1483818D" w14:textId="77777777" w:rsidR="00BE2CCA" w:rsidRPr="0009439F" w:rsidRDefault="00BE2CCA" w:rsidP="00BE2CCA">
      <w:pPr>
        <w:pStyle w:val="CDIFigures"/>
        <w:divId w:val="1323462985"/>
      </w:pPr>
      <w:r w:rsidRPr="0009439F">
        <w:rPr>
          <w:rStyle w:val="Strong"/>
          <w:b/>
          <w:bCs w:val="0"/>
        </w:rPr>
        <w:lastRenderedPageBreak/>
        <w:t>Figure 1: Historic Q fever infections in Wide Bay region by residential location with trend over time</w:t>
      </w:r>
    </w:p>
    <w:p w14:paraId="140DB79F" w14:textId="77777777" w:rsidR="00BE2CCA" w:rsidRDefault="00BE2CCA" w:rsidP="00BE2CCA">
      <w:pPr>
        <w:jc w:val="center"/>
        <w:divId w:val="1323462985"/>
        <w:rPr>
          <w:rFonts w:eastAsia="Times New Roman"/>
          <w:lang w:val="en-GB"/>
        </w:rPr>
      </w:pPr>
      <w:r>
        <w:rPr>
          <w:rFonts w:eastAsia="Times New Roman"/>
          <w:noProof/>
          <w:lang w:val="en-GB"/>
        </w:rPr>
        <w:drawing>
          <wp:inline distT="0" distB="0" distL="0" distR="0" wp14:anchorId="4C0DE6C7" wp14:editId="74869E7E">
            <wp:extent cx="5035306" cy="4461429"/>
            <wp:effectExtent l="0" t="0" r="0" b="0"/>
            <wp:docPr id="2" name="Picture 2" descr="Rurality of place of residence of Wide Bay Q fever cases in the past 10 years based on the Modified Monash Model. The figure demonstrates a substantial proportion of cases occurring in less rural locations (MM2-3), particularly over more recent years. Towns within the Wide Bay region include Hervey Bay (MM2), Bundaberg (MM2) and Maryborough (MM3), with other areas in the region classed as MM &gt;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urality of place of residence of Wide Bay Q fever cases in the past 10 years based on the Modified Monash Model. The figure demonstrates a substantial proportion of cases occurring in less rural locations (MM2-3), particularly over more recent years. Towns within the Wide Bay region include Hervey Bay (MM2), Bundaberg (MM2) and Maryborough (MM3), with other areas in the region classed as MM &gt; 3.&#10;"/>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035306" cy="4461429"/>
                    </a:xfrm>
                    <a:prstGeom prst="rect">
                      <a:avLst/>
                    </a:prstGeom>
                  </pic:spPr>
                </pic:pic>
              </a:graphicData>
            </a:graphic>
          </wp:inline>
        </w:drawing>
      </w:r>
    </w:p>
    <w:p w14:paraId="34D0126D" w14:textId="0354DE96" w:rsidR="00317E33" w:rsidRPr="00317E33" w:rsidRDefault="00317E33" w:rsidP="00317E33">
      <w:pPr>
        <w:pStyle w:val="Heading1"/>
        <w:divId w:val="1323462985"/>
      </w:pPr>
      <w:r w:rsidRPr="00317E33">
        <w:t xml:space="preserve">Public health response </w:t>
      </w:r>
    </w:p>
    <w:p w14:paraId="2D5FA150" w14:textId="77777777" w:rsidR="00317E33" w:rsidRDefault="00317E33" w:rsidP="00317E33">
      <w:pPr>
        <w:divId w:val="1323462985"/>
      </w:pPr>
      <w:r>
        <w:t xml:space="preserve">The PHU responded to the rise in notifications in 2022 by closely reviewing all Q fever cases and investigating for a possible common source of exposure. </w:t>
      </w:r>
      <w:proofErr w:type="gramStart"/>
      <w:r>
        <w:t>Subsequent</w:t>
      </w:r>
      <w:proofErr w:type="gramEnd"/>
      <w:r>
        <w:t xml:space="preserve"> case interviews focused on potential sites of exposure, including place of residence, workplace, and high-risk activities. It </w:t>
      </w:r>
      <w:proofErr w:type="gramStart"/>
      <w:r>
        <w:t>was noted</w:t>
      </w:r>
      <w:proofErr w:type="gramEnd"/>
      <w:r>
        <w:t xml:space="preserve"> that many cases were centred around the townships in the Wide Bay region, rather than in the expected rural areas. This may reflect the rapid population growth experienced in the Wide Bay region,</w:t>
      </w:r>
      <w:r>
        <w:rPr>
          <w:vertAlign w:val="superscript"/>
        </w:rPr>
        <w:t>13</w:t>
      </w:r>
      <w:r>
        <w:t xml:space="preserve"> with previous </w:t>
      </w:r>
      <w:proofErr w:type="gramStart"/>
      <w:r>
        <w:t>farm land</w:t>
      </w:r>
      <w:proofErr w:type="gramEnd"/>
      <w:r>
        <w:t xml:space="preserve"> being converted to residential estates. There were no cases associated with typical high-risk industries such as animal processing in 2022; however, there were a number associated with mowing, </w:t>
      </w:r>
      <w:proofErr w:type="gramStart"/>
      <w:r>
        <w:t>gardening</w:t>
      </w:r>
      <w:proofErr w:type="gramEnd"/>
      <w:r>
        <w:t xml:space="preserve"> and land clearing. Given the widespread nature of the cases, case finding </w:t>
      </w:r>
      <w:proofErr w:type="gramStart"/>
      <w:r>
        <w:t>was limited</w:t>
      </w:r>
      <w:proofErr w:type="gramEnd"/>
      <w:r>
        <w:t xml:space="preserve"> to raising awareness with local medical practitioners. Education </w:t>
      </w:r>
      <w:proofErr w:type="gramStart"/>
      <w:r>
        <w:t>was provided</w:t>
      </w:r>
      <w:proofErr w:type="gramEnd"/>
      <w:r>
        <w:t xml:space="preserve"> on the recommended antibiotic course for cases, as well as vaccination advice for contacts with similar exposures. </w:t>
      </w:r>
    </w:p>
    <w:p w14:paraId="48BC3901" w14:textId="77777777" w:rsidR="00317E33" w:rsidRDefault="00317E33" w:rsidP="00317E33">
      <w:pPr>
        <w:divId w:val="1323462985"/>
      </w:pPr>
      <w:r>
        <w:t xml:space="preserve">The second </w:t>
      </w:r>
      <w:proofErr w:type="gramStart"/>
      <w:r>
        <w:t>component</w:t>
      </w:r>
      <w:proofErr w:type="gramEnd"/>
      <w:r>
        <w:t xml:space="preserve"> of the public health response involved communication via Queensland Health and mainstream media. This included raising awareness for the role of Q fever vaccination, which </w:t>
      </w:r>
      <w:proofErr w:type="gramStart"/>
      <w:r>
        <w:t>is currently recommended</w:t>
      </w:r>
      <w:proofErr w:type="gramEnd"/>
      <w:r>
        <w:t xml:space="preserve"> for all people who are working in, or intend to work in, a high-risk occupation such as those whose work exposes them to animals, animal products, and animal waste. High-risk workplaces should have a vaccination program to protect their workforce; however, people who partake in relevant activities recreationally may not be aware of this recommendation. </w:t>
      </w:r>
      <w:proofErr w:type="gramStart"/>
      <w:r>
        <w:t>Additional</w:t>
      </w:r>
      <w:proofErr w:type="gramEnd"/>
      <w:r>
        <w:t xml:space="preserve"> preventative strategies were also communicated, including washing hands when encountering animals or their faeces, as well as use of P2 masks when undertaking outdoor activities </w:t>
      </w:r>
      <w:r>
        <w:lastRenderedPageBreak/>
        <w:t xml:space="preserve">with obvious animal droppings. This </w:t>
      </w:r>
      <w:proofErr w:type="gramStart"/>
      <w:r>
        <w:t>was extended</w:t>
      </w:r>
      <w:proofErr w:type="gramEnd"/>
      <w:r>
        <w:t xml:space="preserve"> to mowing or land clearing activities in any areas that may have contact with wildlife including kangaroos, which includes more urban locations around Hervey Bay and Bundaberg. </w:t>
      </w:r>
    </w:p>
    <w:p w14:paraId="40B5F762" w14:textId="77777777" w:rsidR="00E75692" w:rsidRPr="005077E0" w:rsidRDefault="00E75692" w:rsidP="00E75692">
      <w:pPr>
        <w:pStyle w:val="CDIFigures"/>
      </w:pPr>
      <w:r w:rsidRPr="005077E0">
        <w:rPr>
          <w:rStyle w:val="Strong"/>
          <w:b/>
          <w:bCs w:val="0"/>
        </w:rPr>
        <w:t xml:space="preserve">Table 1: Overall and comparative demographic characteristics of Q fever cases (N = 87) notified in 2013–2022 </w:t>
      </w:r>
    </w:p>
    <w:tbl>
      <w:tblPr>
        <w:tblStyle w:val="CDI-StandardTable"/>
        <w:tblW w:w="0" w:type="auto"/>
        <w:tblLook w:val="04A0" w:firstRow="1" w:lastRow="0" w:firstColumn="1" w:lastColumn="0" w:noHBand="0" w:noVBand="1"/>
        <w:tblDescription w:val="Demographic characteristics of Q fever cases within the Wide Bay region over the past decade. Demographics were obtained from NoCS, based on information collected as part of routine case interviews. The place of residence was assigned a value based on the Modified Monash Model. The data was split into two five-year periods in order to assess for temporal trends. Statistical analysis included Wilcoxon rank sum test, Fisher’s exact test, and Pearson’s chi-squared test as appropriate.&#10;"/>
      </w:tblPr>
      <w:tblGrid>
        <w:gridCol w:w="1740"/>
        <w:gridCol w:w="2088"/>
        <w:gridCol w:w="1392"/>
        <w:gridCol w:w="1740"/>
        <w:gridCol w:w="1740"/>
        <w:gridCol w:w="1740"/>
      </w:tblGrid>
      <w:tr w:rsidR="00E75692" w:rsidRPr="005077E0" w14:paraId="5942519D" w14:textId="77777777" w:rsidTr="00606564">
        <w:trPr>
          <w:cnfStyle w:val="100000000000" w:firstRow="1" w:lastRow="0" w:firstColumn="0" w:lastColumn="0" w:oddVBand="0" w:evenVBand="0" w:oddHBand="0" w:evenHBand="0" w:firstRowFirstColumn="0" w:firstRowLastColumn="0" w:lastRowFirstColumn="0" w:lastRowLastColumn="0"/>
        </w:trPr>
        <w:tc>
          <w:tcPr>
            <w:tcW w:w="1740" w:type="dxa"/>
            <w:tcBorders>
              <w:right w:val="single" w:sz="2" w:space="0" w:color="F7ECDD"/>
            </w:tcBorders>
            <w:hideMark/>
          </w:tcPr>
          <w:p w14:paraId="1FE04198" w14:textId="77777777" w:rsidR="00E75692" w:rsidRPr="005077E0" w:rsidRDefault="00E75692" w:rsidP="00EB0B3E">
            <w:pPr>
              <w:pStyle w:val="NormalWeb"/>
              <w:rPr>
                <w:sz w:val="18"/>
                <w:szCs w:val="18"/>
                <w:lang w:val="en-GB"/>
              </w:rPr>
            </w:pPr>
            <w:r w:rsidRPr="005077E0">
              <w:rPr>
                <w:sz w:val="18"/>
                <w:szCs w:val="18"/>
                <w:lang w:val="en-GB"/>
              </w:rPr>
              <w:t>Characteristic</w:t>
            </w:r>
          </w:p>
        </w:tc>
        <w:tc>
          <w:tcPr>
            <w:tcW w:w="2088" w:type="dxa"/>
            <w:tcBorders>
              <w:left w:val="single" w:sz="2" w:space="0" w:color="F7ECDD"/>
              <w:right w:val="single" w:sz="2" w:space="0" w:color="F7ECDD"/>
            </w:tcBorders>
            <w:hideMark/>
          </w:tcPr>
          <w:p w14:paraId="794139A2" w14:textId="77777777" w:rsidR="00E75692" w:rsidRPr="005077E0" w:rsidRDefault="00E75692" w:rsidP="00EB0B3E">
            <w:pPr>
              <w:pStyle w:val="NormalWeb"/>
              <w:rPr>
                <w:sz w:val="18"/>
                <w:szCs w:val="18"/>
                <w:lang w:val="en-GB"/>
              </w:rPr>
            </w:pPr>
            <w:r w:rsidRPr="005077E0">
              <w:rPr>
                <w:sz w:val="18"/>
                <w:szCs w:val="18"/>
                <w:lang w:val="en-GB"/>
              </w:rPr>
              <w:t>Value</w:t>
            </w:r>
          </w:p>
        </w:tc>
        <w:tc>
          <w:tcPr>
            <w:tcW w:w="1392" w:type="dxa"/>
            <w:tcBorders>
              <w:left w:val="single" w:sz="2" w:space="0" w:color="F7ECDD"/>
              <w:right w:val="single" w:sz="2" w:space="0" w:color="F7ECDD"/>
            </w:tcBorders>
            <w:hideMark/>
          </w:tcPr>
          <w:p w14:paraId="564CFEC0" w14:textId="77777777" w:rsidR="00E75692" w:rsidRPr="005077E0" w:rsidRDefault="00E75692" w:rsidP="00EB0B3E">
            <w:pPr>
              <w:pStyle w:val="NormalWeb"/>
              <w:rPr>
                <w:sz w:val="18"/>
                <w:szCs w:val="18"/>
                <w:lang w:val="en-GB"/>
              </w:rPr>
            </w:pPr>
            <w:r w:rsidRPr="005077E0">
              <w:rPr>
                <w:sz w:val="18"/>
                <w:szCs w:val="18"/>
                <w:lang w:val="en-GB"/>
              </w:rPr>
              <w:t>Overall</w:t>
            </w:r>
            <w:r w:rsidRPr="005077E0">
              <w:rPr>
                <w:sz w:val="18"/>
                <w:szCs w:val="18"/>
                <w:lang w:val="en-GB"/>
              </w:rPr>
              <w:br/>
              <w:t>N = 87</w:t>
            </w:r>
          </w:p>
        </w:tc>
        <w:tc>
          <w:tcPr>
            <w:tcW w:w="1740" w:type="dxa"/>
            <w:tcBorders>
              <w:left w:val="single" w:sz="2" w:space="0" w:color="F7ECDD"/>
              <w:right w:val="single" w:sz="2" w:space="0" w:color="F7ECDD"/>
            </w:tcBorders>
            <w:hideMark/>
          </w:tcPr>
          <w:p w14:paraId="62D5F22D" w14:textId="77777777" w:rsidR="00E75692" w:rsidRPr="005077E0" w:rsidRDefault="00E75692" w:rsidP="00EB0B3E">
            <w:pPr>
              <w:pStyle w:val="NormalWeb"/>
              <w:rPr>
                <w:sz w:val="18"/>
                <w:szCs w:val="18"/>
                <w:lang w:val="en-GB"/>
              </w:rPr>
            </w:pPr>
            <w:r w:rsidRPr="005077E0">
              <w:rPr>
                <w:sz w:val="18"/>
                <w:szCs w:val="18"/>
                <w:lang w:val="en-GB"/>
              </w:rPr>
              <w:t>Previous five years</w:t>
            </w:r>
            <w:r w:rsidRPr="005077E0">
              <w:rPr>
                <w:sz w:val="18"/>
                <w:szCs w:val="18"/>
                <w:lang w:val="en-GB"/>
              </w:rPr>
              <w:br/>
              <w:t>(2013–2017)</w:t>
            </w:r>
            <w:r w:rsidRPr="005077E0">
              <w:rPr>
                <w:sz w:val="18"/>
                <w:szCs w:val="18"/>
                <w:lang w:val="en-GB"/>
              </w:rPr>
              <w:br/>
              <w:t>n = 38</w:t>
            </w:r>
          </w:p>
        </w:tc>
        <w:tc>
          <w:tcPr>
            <w:tcW w:w="1740" w:type="dxa"/>
            <w:tcBorders>
              <w:left w:val="single" w:sz="2" w:space="0" w:color="F7ECDD"/>
              <w:right w:val="single" w:sz="2" w:space="0" w:color="F7ECDD"/>
            </w:tcBorders>
            <w:hideMark/>
          </w:tcPr>
          <w:p w14:paraId="44B88DCD" w14:textId="77777777" w:rsidR="00E75692" w:rsidRPr="005077E0" w:rsidRDefault="00E75692" w:rsidP="00EB0B3E">
            <w:pPr>
              <w:pStyle w:val="NormalWeb"/>
              <w:rPr>
                <w:sz w:val="18"/>
                <w:szCs w:val="18"/>
                <w:lang w:val="en-GB"/>
              </w:rPr>
            </w:pPr>
            <w:r w:rsidRPr="005077E0">
              <w:rPr>
                <w:sz w:val="18"/>
                <w:szCs w:val="18"/>
                <w:lang w:val="en-GB"/>
              </w:rPr>
              <w:t>Recent five years</w:t>
            </w:r>
            <w:r w:rsidRPr="005077E0">
              <w:rPr>
                <w:sz w:val="18"/>
                <w:szCs w:val="18"/>
                <w:lang w:val="en-GB"/>
              </w:rPr>
              <w:br/>
              <w:t>(2018–2022)</w:t>
            </w:r>
            <w:r w:rsidRPr="005077E0">
              <w:rPr>
                <w:sz w:val="18"/>
                <w:szCs w:val="18"/>
                <w:lang w:val="en-GB"/>
              </w:rPr>
              <w:br/>
              <w:t>n = 49</w:t>
            </w:r>
          </w:p>
        </w:tc>
        <w:tc>
          <w:tcPr>
            <w:tcW w:w="1740" w:type="dxa"/>
            <w:tcBorders>
              <w:left w:val="single" w:sz="2" w:space="0" w:color="F7ECDD"/>
            </w:tcBorders>
            <w:hideMark/>
          </w:tcPr>
          <w:p w14:paraId="7724C910" w14:textId="77777777" w:rsidR="00E75692" w:rsidRPr="005077E0" w:rsidRDefault="00E75692" w:rsidP="00EB0B3E">
            <w:pPr>
              <w:pStyle w:val="NormalWeb"/>
              <w:rPr>
                <w:sz w:val="18"/>
                <w:szCs w:val="18"/>
                <w:lang w:val="en-GB"/>
              </w:rPr>
            </w:pPr>
            <w:r w:rsidRPr="00B70398">
              <w:rPr>
                <w:i/>
                <w:iCs/>
                <w:sz w:val="18"/>
                <w:szCs w:val="18"/>
                <w:lang w:val="en-GB"/>
              </w:rPr>
              <w:t>p</w:t>
            </w:r>
            <w:r w:rsidRPr="005077E0">
              <w:rPr>
                <w:sz w:val="18"/>
                <w:szCs w:val="18"/>
                <w:lang w:val="en-GB"/>
              </w:rPr>
              <w:t xml:space="preserve"> </w:t>
            </w:r>
            <w:proofErr w:type="spellStart"/>
            <w:r w:rsidRPr="005077E0">
              <w:rPr>
                <w:sz w:val="18"/>
                <w:szCs w:val="18"/>
                <w:lang w:val="en-GB"/>
              </w:rPr>
              <w:t>value</w:t>
            </w:r>
            <w:r w:rsidRPr="00554695">
              <w:rPr>
                <w:sz w:val="18"/>
                <w:szCs w:val="18"/>
                <w:vertAlign w:val="superscript"/>
                <w:lang w:val="en-GB"/>
              </w:rPr>
              <w:t>a</w:t>
            </w:r>
            <w:proofErr w:type="spellEnd"/>
          </w:p>
        </w:tc>
      </w:tr>
      <w:tr w:rsidR="00E75692" w:rsidRPr="005077E0" w14:paraId="6BA733CD" w14:textId="77777777" w:rsidTr="00A01070">
        <w:tc>
          <w:tcPr>
            <w:tcW w:w="1740" w:type="dxa"/>
            <w:vMerge w:val="restart"/>
            <w:tcBorders>
              <w:bottom w:val="single" w:sz="2" w:space="0" w:color="808080" w:themeColor="background1" w:themeShade="80"/>
            </w:tcBorders>
            <w:shd w:val="clear" w:color="auto" w:fill="FFFFFF" w:themeFill="background1"/>
            <w:hideMark/>
          </w:tcPr>
          <w:p w14:paraId="6041D5F7" w14:textId="77777777" w:rsidR="00E75692" w:rsidRPr="005077E0" w:rsidRDefault="00E75692" w:rsidP="00EB0B3E">
            <w:pPr>
              <w:pStyle w:val="NormalWeb"/>
              <w:jc w:val="left"/>
              <w:rPr>
                <w:sz w:val="18"/>
                <w:szCs w:val="18"/>
                <w:lang w:val="en-GB"/>
              </w:rPr>
            </w:pPr>
            <w:r w:rsidRPr="005077E0">
              <w:rPr>
                <w:sz w:val="18"/>
                <w:szCs w:val="18"/>
                <w:lang w:val="en-GB"/>
              </w:rPr>
              <w:t>Age group</w:t>
            </w:r>
          </w:p>
        </w:tc>
        <w:tc>
          <w:tcPr>
            <w:tcW w:w="2088" w:type="dxa"/>
            <w:shd w:val="clear" w:color="auto" w:fill="FFFFFF" w:themeFill="background1"/>
            <w:hideMark/>
          </w:tcPr>
          <w:p w14:paraId="58BA4E14" w14:textId="77777777" w:rsidR="00E75692" w:rsidRPr="005077E0" w:rsidRDefault="00E75692" w:rsidP="00EB0B3E">
            <w:pPr>
              <w:pStyle w:val="NormalWeb"/>
              <w:rPr>
                <w:sz w:val="18"/>
                <w:szCs w:val="18"/>
                <w:lang w:val="en-GB"/>
              </w:rPr>
            </w:pPr>
            <w:r w:rsidRPr="005077E0">
              <w:rPr>
                <w:sz w:val="18"/>
                <w:szCs w:val="18"/>
                <w:lang w:val="en-GB"/>
              </w:rPr>
              <w:t>0–25 years</w:t>
            </w:r>
          </w:p>
        </w:tc>
        <w:tc>
          <w:tcPr>
            <w:tcW w:w="1392" w:type="dxa"/>
            <w:shd w:val="clear" w:color="auto" w:fill="FFFFFF" w:themeFill="background1"/>
            <w:hideMark/>
          </w:tcPr>
          <w:p w14:paraId="7E523DF0" w14:textId="77777777" w:rsidR="00E75692" w:rsidRPr="005077E0" w:rsidRDefault="00E75692" w:rsidP="00EB0B3E">
            <w:pPr>
              <w:pStyle w:val="NormalWeb"/>
              <w:rPr>
                <w:sz w:val="18"/>
                <w:szCs w:val="18"/>
                <w:lang w:val="en-GB"/>
              </w:rPr>
            </w:pPr>
            <w:r w:rsidRPr="005077E0">
              <w:rPr>
                <w:sz w:val="18"/>
                <w:szCs w:val="18"/>
                <w:lang w:val="en-GB"/>
              </w:rPr>
              <w:t>9/83 (11%)</w:t>
            </w:r>
          </w:p>
        </w:tc>
        <w:tc>
          <w:tcPr>
            <w:tcW w:w="1740" w:type="dxa"/>
            <w:shd w:val="clear" w:color="auto" w:fill="FFFFFF" w:themeFill="background1"/>
            <w:hideMark/>
          </w:tcPr>
          <w:p w14:paraId="341F16E0" w14:textId="77777777" w:rsidR="00E75692" w:rsidRPr="005077E0" w:rsidRDefault="00E75692" w:rsidP="00EB0B3E">
            <w:pPr>
              <w:pStyle w:val="NormalWeb"/>
              <w:rPr>
                <w:sz w:val="18"/>
                <w:szCs w:val="18"/>
                <w:lang w:val="en-GB"/>
              </w:rPr>
            </w:pPr>
            <w:r w:rsidRPr="005077E0">
              <w:rPr>
                <w:sz w:val="18"/>
                <w:szCs w:val="18"/>
                <w:lang w:val="en-GB"/>
              </w:rPr>
              <w:t>5/37 (14%)</w:t>
            </w:r>
          </w:p>
        </w:tc>
        <w:tc>
          <w:tcPr>
            <w:tcW w:w="1740" w:type="dxa"/>
            <w:shd w:val="clear" w:color="auto" w:fill="FFFFFF" w:themeFill="background1"/>
            <w:hideMark/>
          </w:tcPr>
          <w:p w14:paraId="27BD5E6D" w14:textId="77777777" w:rsidR="00E75692" w:rsidRPr="005077E0" w:rsidRDefault="00E75692" w:rsidP="00EB0B3E">
            <w:pPr>
              <w:pStyle w:val="NormalWeb"/>
              <w:rPr>
                <w:sz w:val="18"/>
                <w:szCs w:val="18"/>
                <w:lang w:val="en-GB"/>
              </w:rPr>
            </w:pPr>
            <w:r w:rsidRPr="005077E0">
              <w:rPr>
                <w:sz w:val="18"/>
                <w:szCs w:val="18"/>
                <w:lang w:val="en-GB"/>
              </w:rPr>
              <w:t>4/46 (8.7%)</w:t>
            </w:r>
          </w:p>
        </w:tc>
        <w:tc>
          <w:tcPr>
            <w:tcW w:w="1740" w:type="dxa"/>
            <w:vMerge w:val="restart"/>
            <w:tcBorders>
              <w:bottom w:val="single" w:sz="2" w:space="0" w:color="808080" w:themeColor="background1" w:themeShade="80"/>
            </w:tcBorders>
            <w:shd w:val="clear" w:color="auto" w:fill="FFFFFF" w:themeFill="background1"/>
            <w:hideMark/>
          </w:tcPr>
          <w:p w14:paraId="26DC4747" w14:textId="77777777" w:rsidR="00E75692" w:rsidRPr="005077E0" w:rsidRDefault="00E75692" w:rsidP="00EB0B3E">
            <w:pPr>
              <w:pStyle w:val="NormalWeb"/>
              <w:rPr>
                <w:sz w:val="18"/>
                <w:szCs w:val="18"/>
                <w:lang w:val="en-GB"/>
              </w:rPr>
            </w:pPr>
            <w:r w:rsidRPr="005077E0">
              <w:rPr>
                <w:sz w:val="18"/>
                <w:szCs w:val="18"/>
                <w:lang w:val="en-GB"/>
              </w:rPr>
              <w:t>0.8</w:t>
            </w:r>
          </w:p>
        </w:tc>
      </w:tr>
      <w:tr w:rsidR="00E75692" w:rsidRPr="005077E0" w14:paraId="181870C7" w14:textId="77777777" w:rsidTr="00A01070">
        <w:trPr>
          <w:cnfStyle w:val="000000010000" w:firstRow="0" w:lastRow="0" w:firstColumn="0" w:lastColumn="0" w:oddVBand="0" w:evenVBand="0" w:oddHBand="0" w:evenHBand="1" w:firstRowFirstColumn="0" w:firstRowLastColumn="0" w:lastRowFirstColumn="0" w:lastRowLastColumn="0"/>
        </w:trPr>
        <w:tc>
          <w:tcPr>
            <w:tcW w:w="1740" w:type="dxa"/>
            <w:vMerge/>
            <w:tcBorders>
              <w:bottom w:val="single" w:sz="2" w:space="0" w:color="808080" w:themeColor="background1" w:themeShade="80"/>
            </w:tcBorders>
            <w:shd w:val="clear" w:color="auto" w:fill="FFFFFF" w:themeFill="background1"/>
            <w:hideMark/>
          </w:tcPr>
          <w:p w14:paraId="087B247B" w14:textId="77777777" w:rsidR="00E75692" w:rsidRPr="005077E0" w:rsidRDefault="00E75692" w:rsidP="00EB0B3E">
            <w:pPr>
              <w:jc w:val="left"/>
              <w:rPr>
                <w:sz w:val="18"/>
                <w:szCs w:val="18"/>
                <w:lang w:val="en-GB"/>
              </w:rPr>
            </w:pPr>
          </w:p>
        </w:tc>
        <w:tc>
          <w:tcPr>
            <w:tcW w:w="2088" w:type="dxa"/>
            <w:shd w:val="clear" w:color="auto" w:fill="FFFFFF" w:themeFill="background1"/>
            <w:hideMark/>
          </w:tcPr>
          <w:p w14:paraId="77333076" w14:textId="77777777" w:rsidR="00E75692" w:rsidRPr="005077E0" w:rsidRDefault="00E75692" w:rsidP="00EB0B3E">
            <w:pPr>
              <w:pStyle w:val="NormalWeb"/>
              <w:rPr>
                <w:sz w:val="18"/>
                <w:szCs w:val="18"/>
                <w:lang w:val="en-GB"/>
              </w:rPr>
            </w:pPr>
            <w:r w:rsidRPr="005077E0">
              <w:rPr>
                <w:sz w:val="18"/>
                <w:szCs w:val="18"/>
                <w:lang w:val="en-GB"/>
              </w:rPr>
              <w:t>26–50 years</w:t>
            </w:r>
          </w:p>
        </w:tc>
        <w:tc>
          <w:tcPr>
            <w:tcW w:w="1392" w:type="dxa"/>
            <w:shd w:val="clear" w:color="auto" w:fill="FFFFFF" w:themeFill="background1"/>
            <w:hideMark/>
          </w:tcPr>
          <w:p w14:paraId="01D71E66" w14:textId="77777777" w:rsidR="00E75692" w:rsidRPr="005077E0" w:rsidRDefault="00E75692" w:rsidP="00EB0B3E">
            <w:pPr>
              <w:pStyle w:val="NormalWeb"/>
              <w:rPr>
                <w:sz w:val="18"/>
                <w:szCs w:val="18"/>
                <w:lang w:val="en-GB"/>
              </w:rPr>
            </w:pPr>
            <w:r w:rsidRPr="005077E0">
              <w:rPr>
                <w:sz w:val="18"/>
                <w:szCs w:val="18"/>
                <w:lang w:val="en-GB"/>
              </w:rPr>
              <w:t>29/83 (35%)</w:t>
            </w:r>
          </w:p>
        </w:tc>
        <w:tc>
          <w:tcPr>
            <w:tcW w:w="1740" w:type="dxa"/>
            <w:shd w:val="clear" w:color="auto" w:fill="FFFFFF" w:themeFill="background1"/>
            <w:hideMark/>
          </w:tcPr>
          <w:p w14:paraId="34B5E887" w14:textId="77777777" w:rsidR="00E75692" w:rsidRPr="005077E0" w:rsidRDefault="00E75692" w:rsidP="00EB0B3E">
            <w:pPr>
              <w:pStyle w:val="NormalWeb"/>
              <w:rPr>
                <w:sz w:val="18"/>
                <w:szCs w:val="18"/>
                <w:lang w:val="en-GB"/>
              </w:rPr>
            </w:pPr>
            <w:r w:rsidRPr="005077E0">
              <w:rPr>
                <w:sz w:val="18"/>
                <w:szCs w:val="18"/>
                <w:lang w:val="en-GB"/>
              </w:rPr>
              <w:t>12/37 (32%)</w:t>
            </w:r>
          </w:p>
        </w:tc>
        <w:tc>
          <w:tcPr>
            <w:tcW w:w="1740" w:type="dxa"/>
            <w:shd w:val="clear" w:color="auto" w:fill="FFFFFF" w:themeFill="background1"/>
            <w:hideMark/>
          </w:tcPr>
          <w:p w14:paraId="41A642BC" w14:textId="77777777" w:rsidR="00E75692" w:rsidRPr="005077E0" w:rsidRDefault="00E75692" w:rsidP="00EB0B3E">
            <w:pPr>
              <w:pStyle w:val="NormalWeb"/>
              <w:rPr>
                <w:sz w:val="18"/>
                <w:szCs w:val="18"/>
                <w:lang w:val="en-GB"/>
              </w:rPr>
            </w:pPr>
            <w:r w:rsidRPr="005077E0">
              <w:rPr>
                <w:sz w:val="18"/>
                <w:szCs w:val="18"/>
                <w:lang w:val="en-GB"/>
              </w:rPr>
              <w:t>17/46 (37%)</w:t>
            </w:r>
          </w:p>
        </w:tc>
        <w:tc>
          <w:tcPr>
            <w:tcW w:w="1740" w:type="dxa"/>
            <w:vMerge/>
            <w:tcBorders>
              <w:bottom w:val="single" w:sz="2" w:space="0" w:color="808080" w:themeColor="background1" w:themeShade="80"/>
            </w:tcBorders>
            <w:shd w:val="clear" w:color="auto" w:fill="FFFFFF" w:themeFill="background1"/>
            <w:hideMark/>
          </w:tcPr>
          <w:p w14:paraId="225AFFEA" w14:textId="77777777" w:rsidR="00E75692" w:rsidRPr="005077E0" w:rsidRDefault="00E75692" w:rsidP="00EB0B3E">
            <w:pPr>
              <w:rPr>
                <w:sz w:val="18"/>
                <w:szCs w:val="18"/>
                <w:lang w:val="en-GB"/>
              </w:rPr>
            </w:pPr>
          </w:p>
        </w:tc>
      </w:tr>
      <w:tr w:rsidR="00E75692" w:rsidRPr="005077E0" w14:paraId="58188869" w14:textId="77777777" w:rsidTr="00A01070">
        <w:tc>
          <w:tcPr>
            <w:tcW w:w="1740" w:type="dxa"/>
            <w:vMerge/>
            <w:tcBorders>
              <w:bottom w:val="single" w:sz="2" w:space="0" w:color="808080" w:themeColor="background1" w:themeShade="80"/>
            </w:tcBorders>
            <w:shd w:val="clear" w:color="auto" w:fill="FFFFFF" w:themeFill="background1"/>
            <w:hideMark/>
          </w:tcPr>
          <w:p w14:paraId="7CAB41AE" w14:textId="77777777" w:rsidR="00E75692" w:rsidRPr="005077E0" w:rsidRDefault="00E75692" w:rsidP="00EB0B3E">
            <w:pPr>
              <w:jc w:val="left"/>
              <w:rPr>
                <w:sz w:val="18"/>
                <w:szCs w:val="18"/>
                <w:lang w:val="en-GB"/>
              </w:rPr>
            </w:pPr>
          </w:p>
        </w:tc>
        <w:tc>
          <w:tcPr>
            <w:tcW w:w="2088" w:type="dxa"/>
            <w:shd w:val="clear" w:color="auto" w:fill="FFFFFF" w:themeFill="background1"/>
            <w:hideMark/>
          </w:tcPr>
          <w:p w14:paraId="5103A3AD" w14:textId="77777777" w:rsidR="00E75692" w:rsidRPr="005077E0" w:rsidRDefault="00E75692" w:rsidP="00EB0B3E">
            <w:pPr>
              <w:pStyle w:val="NormalWeb"/>
              <w:rPr>
                <w:sz w:val="18"/>
                <w:szCs w:val="18"/>
                <w:lang w:val="en-GB"/>
              </w:rPr>
            </w:pPr>
            <w:r w:rsidRPr="005077E0">
              <w:rPr>
                <w:sz w:val="18"/>
                <w:szCs w:val="18"/>
                <w:lang w:val="en-GB"/>
              </w:rPr>
              <w:t>51–75 years</w:t>
            </w:r>
          </w:p>
        </w:tc>
        <w:tc>
          <w:tcPr>
            <w:tcW w:w="1392" w:type="dxa"/>
            <w:shd w:val="clear" w:color="auto" w:fill="FFFFFF" w:themeFill="background1"/>
            <w:hideMark/>
          </w:tcPr>
          <w:p w14:paraId="13AAFA3E" w14:textId="77777777" w:rsidR="00E75692" w:rsidRPr="005077E0" w:rsidRDefault="00E75692" w:rsidP="00EB0B3E">
            <w:pPr>
              <w:pStyle w:val="NormalWeb"/>
              <w:rPr>
                <w:sz w:val="18"/>
                <w:szCs w:val="18"/>
                <w:lang w:val="en-GB"/>
              </w:rPr>
            </w:pPr>
            <w:r w:rsidRPr="005077E0">
              <w:rPr>
                <w:sz w:val="18"/>
                <w:szCs w:val="18"/>
                <w:lang w:val="en-GB"/>
              </w:rPr>
              <w:t>45/83 (54%)</w:t>
            </w:r>
          </w:p>
        </w:tc>
        <w:tc>
          <w:tcPr>
            <w:tcW w:w="1740" w:type="dxa"/>
            <w:shd w:val="clear" w:color="auto" w:fill="FFFFFF" w:themeFill="background1"/>
            <w:hideMark/>
          </w:tcPr>
          <w:p w14:paraId="214EE08F" w14:textId="77777777" w:rsidR="00E75692" w:rsidRPr="005077E0" w:rsidRDefault="00E75692" w:rsidP="00EB0B3E">
            <w:pPr>
              <w:pStyle w:val="NormalWeb"/>
              <w:rPr>
                <w:sz w:val="18"/>
                <w:szCs w:val="18"/>
                <w:lang w:val="en-GB"/>
              </w:rPr>
            </w:pPr>
            <w:r w:rsidRPr="005077E0">
              <w:rPr>
                <w:sz w:val="18"/>
                <w:szCs w:val="18"/>
                <w:lang w:val="en-GB"/>
              </w:rPr>
              <w:t>2/37 (54%)</w:t>
            </w:r>
          </w:p>
        </w:tc>
        <w:tc>
          <w:tcPr>
            <w:tcW w:w="1740" w:type="dxa"/>
            <w:shd w:val="clear" w:color="auto" w:fill="FFFFFF" w:themeFill="background1"/>
            <w:hideMark/>
          </w:tcPr>
          <w:p w14:paraId="6A09A517" w14:textId="77777777" w:rsidR="00E75692" w:rsidRPr="005077E0" w:rsidRDefault="00E75692" w:rsidP="00EB0B3E">
            <w:pPr>
              <w:pStyle w:val="NormalWeb"/>
              <w:rPr>
                <w:sz w:val="18"/>
                <w:szCs w:val="18"/>
                <w:lang w:val="en-GB"/>
              </w:rPr>
            </w:pPr>
            <w:r w:rsidRPr="005077E0">
              <w:rPr>
                <w:sz w:val="18"/>
                <w:szCs w:val="18"/>
                <w:lang w:val="en-GB"/>
              </w:rPr>
              <w:t>25/46 (54%)</w:t>
            </w:r>
          </w:p>
        </w:tc>
        <w:tc>
          <w:tcPr>
            <w:tcW w:w="1740" w:type="dxa"/>
            <w:vMerge/>
            <w:tcBorders>
              <w:bottom w:val="single" w:sz="2" w:space="0" w:color="808080" w:themeColor="background1" w:themeShade="80"/>
            </w:tcBorders>
            <w:shd w:val="clear" w:color="auto" w:fill="FFFFFF" w:themeFill="background1"/>
            <w:hideMark/>
          </w:tcPr>
          <w:p w14:paraId="0F0F46B7" w14:textId="77777777" w:rsidR="00E75692" w:rsidRPr="005077E0" w:rsidRDefault="00E75692" w:rsidP="00EB0B3E">
            <w:pPr>
              <w:rPr>
                <w:sz w:val="18"/>
                <w:szCs w:val="18"/>
                <w:lang w:val="en-GB"/>
              </w:rPr>
            </w:pPr>
          </w:p>
        </w:tc>
      </w:tr>
      <w:tr w:rsidR="00E75692" w:rsidRPr="005077E0" w14:paraId="3353119A" w14:textId="77777777" w:rsidTr="00A01070">
        <w:trPr>
          <w:cnfStyle w:val="000000010000" w:firstRow="0" w:lastRow="0" w:firstColumn="0" w:lastColumn="0" w:oddVBand="0" w:evenVBand="0" w:oddHBand="0" w:evenHBand="1" w:firstRowFirstColumn="0" w:firstRowLastColumn="0" w:lastRowFirstColumn="0" w:lastRowLastColumn="0"/>
        </w:trPr>
        <w:tc>
          <w:tcPr>
            <w:tcW w:w="1740" w:type="dxa"/>
            <w:vMerge/>
            <w:tcBorders>
              <w:bottom w:val="single" w:sz="2" w:space="0" w:color="808080" w:themeColor="background1" w:themeShade="80"/>
            </w:tcBorders>
            <w:shd w:val="clear" w:color="auto" w:fill="FFFFFF" w:themeFill="background1"/>
            <w:hideMark/>
          </w:tcPr>
          <w:p w14:paraId="40360B3F" w14:textId="77777777" w:rsidR="00E75692" w:rsidRPr="005077E0" w:rsidRDefault="00E75692" w:rsidP="00EB0B3E">
            <w:pPr>
              <w:jc w:val="left"/>
              <w:rPr>
                <w:sz w:val="18"/>
                <w:szCs w:val="18"/>
                <w:lang w:val="en-GB"/>
              </w:rPr>
            </w:pPr>
          </w:p>
        </w:tc>
        <w:tc>
          <w:tcPr>
            <w:tcW w:w="2088" w:type="dxa"/>
            <w:tcBorders>
              <w:bottom w:val="single" w:sz="2" w:space="0" w:color="808080" w:themeColor="background1" w:themeShade="80"/>
            </w:tcBorders>
            <w:shd w:val="clear" w:color="auto" w:fill="FFFFFF" w:themeFill="background1"/>
            <w:hideMark/>
          </w:tcPr>
          <w:p w14:paraId="745A4753" w14:textId="77777777" w:rsidR="00E75692" w:rsidRPr="005077E0" w:rsidRDefault="00E75692" w:rsidP="00EB0B3E">
            <w:pPr>
              <w:pStyle w:val="NormalWeb"/>
              <w:rPr>
                <w:sz w:val="18"/>
                <w:szCs w:val="18"/>
                <w:lang w:val="en-GB"/>
              </w:rPr>
            </w:pPr>
            <w:r w:rsidRPr="005077E0">
              <w:rPr>
                <w:sz w:val="18"/>
                <w:szCs w:val="18"/>
                <w:lang w:val="en-GB"/>
              </w:rPr>
              <w:t>Unknown</w:t>
            </w:r>
          </w:p>
        </w:tc>
        <w:tc>
          <w:tcPr>
            <w:tcW w:w="1392" w:type="dxa"/>
            <w:tcBorders>
              <w:bottom w:val="single" w:sz="2" w:space="0" w:color="808080" w:themeColor="background1" w:themeShade="80"/>
            </w:tcBorders>
            <w:shd w:val="clear" w:color="auto" w:fill="FFFFFF" w:themeFill="background1"/>
            <w:hideMark/>
          </w:tcPr>
          <w:p w14:paraId="466F3A61" w14:textId="77777777" w:rsidR="00E75692" w:rsidRPr="005077E0" w:rsidRDefault="00E75692" w:rsidP="00EB0B3E">
            <w:pPr>
              <w:pStyle w:val="NormalWeb"/>
              <w:rPr>
                <w:sz w:val="18"/>
                <w:szCs w:val="18"/>
                <w:lang w:val="en-GB"/>
              </w:rPr>
            </w:pPr>
            <w:r w:rsidRPr="005077E0">
              <w:rPr>
                <w:sz w:val="18"/>
                <w:szCs w:val="18"/>
                <w:lang w:val="en-GB"/>
              </w:rPr>
              <w:t>4</w:t>
            </w:r>
          </w:p>
        </w:tc>
        <w:tc>
          <w:tcPr>
            <w:tcW w:w="1740" w:type="dxa"/>
            <w:tcBorders>
              <w:bottom w:val="single" w:sz="2" w:space="0" w:color="808080" w:themeColor="background1" w:themeShade="80"/>
            </w:tcBorders>
            <w:shd w:val="clear" w:color="auto" w:fill="FFFFFF" w:themeFill="background1"/>
            <w:hideMark/>
          </w:tcPr>
          <w:p w14:paraId="341F8590" w14:textId="77777777" w:rsidR="00E75692" w:rsidRPr="005077E0" w:rsidRDefault="00E75692" w:rsidP="00EB0B3E">
            <w:pPr>
              <w:pStyle w:val="NormalWeb"/>
              <w:rPr>
                <w:sz w:val="18"/>
                <w:szCs w:val="18"/>
                <w:lang w:val="en-GB"/>
              </w:rPr>
            </w:pPr>
            <w:r w:rsidRPr="005077E0">
              <w:rPr>
                <w:sz w:val="18"/>
                <w:szCs w:val="18"/>
                <w:lang w:val="en-GB"/>
              </w:rPr>
              <w:t>1</w:t>
            </w:r>
          </w:p>
        </w:tc>
        <w:tc>
          <w:tcPr>
            <w:tcW w:w="1740" w:type="dxa"/>
            <w:tcBorders>
              <w:bottom w:val="single" w:sz="2" w:space="0" w:color="808080" w:themeColor="background1" w:themeShade="80"/>
            </w:tcBorders>
            <w:shd w:val="clear" w:color="auto" w:fill="FFFFFF" w:themeFill="background1"/>
            <w:hideMark/>
          </w:tcPr>
          <w:p w14:paraId="3853B57D" w14:textId="77777777" w:rsidR="00E75692" w:rsidRPr="005077E0" w:rsidRDefault="00E75692" w:rsidP="00EB0B3E">
            <w:pPr>
              <w:pStyle w:val="NormalWeb"/>
              <w:rPr>
                <w:sz w:val="18"/>
                <w:szCs w:val="18"/>
                <w:lang w:val="en-GB"/>
              </w:rPr>
            </w:pPr>
            <w:r w:rsidRPr="005077E0">
              <w:rPr>
                <w:sz w:val="18"/>
                <w:szCs w:val="18"/>
                <w:lang w:val="en-GB"/>
              </w:rPr>
              <w:t>3</w:t>
            </w:r>
          </w:p>
        </w:tc>
        <w:tc>
          <w:tcPr>
            <w:tcW w:w="1740" w:type="dxa"/>
            <w:vMerge/>
            <w:tcBorders>
              <w:bottom w:val="single" w:sz="2" w:space="0" w:color="808080" w:themeColor="background1" w:themeShade="80"/>
            </w:tcBorders>
            <w:shd w:val="clear" w:color="auto" w:fill="FFFFFF" w:themeFill="background1"/>
            <w:hideMark/>
          </w:tcPr>
          <w:p w14:paraId="7E663D85" w14:textId="77777777" w:rsidR="00E75692" w:rsidRPr="005077E0" w:rsidRDefault="00E75692" w:rsidP="00EB0B3E">
            <w:pPr>
              <w:rPr>
                <w:sz w:val="18"/>
                <w:szCs w:val="18"/>
                <w:lang w:val="en-GB"/>
              </w:rPr>
            </w:pPr>
          </w:p>
        </w:tc>
      </w:tr>
      <w:tr w:rsidR="00E75692" w:rsidRPr="005077E0" w14:paraId="19ACC965" w14:textId="77777777" w:rsidTr="00A01070">
        <w:tc>
          <w:tcPr>
            <w:tcW w:w="1740" w:type="dxa"/>
            <w:vMerge w:val="restart"/>
            <w:tcBorders>
              <w:top w:val="single" w:sz="2" w:space="0" w:color="808080" w:themeColor="background1" w:themeShade="80"/>
              <w:bottom w:val="single" w:sz="2" w:space="0" w:color="808080" w:themeColor="background1" w:themeShade="80"/>
            </w:tcBorders>
            <w:shd w:val="clear" w:color="auto" w:fill="FFFFFF" w:themeFill="background1"/>
            <w:hideMark/>
          </w:tcPr>
          <w:p w14:paraId="14D70535" w14:textId="77777777" w:rsidR="00E75692" w:rsidRPr="005077E0" w:rsidRDefault="00E75692" w:rsidP="00EB0B3E">
            <w:pPr>
              <w:pStyle w:val="NormalWeb"/>
              <w:jc w:val="left"/>
              <w:rPr>
                <w:sz w:val="18"/>
                <w:szCs w:val="18"/>
                <w:lang w:val="en-GB"/>
              </w:rPr>
            </w:pPr>
            <w:r w:rsidRPr="005077E0">
              <w:rPr>
                <w:sz w:val="18"/>
                <w:szCs w:val="18"/>
                <w:lang w:val="en-GB"/>
              </w:rPr>
              <w:t>Sex</w:t>
            </w:r>
          </w:p>
        </w:tc>
        <w:tc>
          <w:tcPr>
            <w:tcW w:w="2088" w:type="dxa"/>
            <w:tcBorders>
              <w:top w:val="single" w:sz="2" w:space="0" w:color="808080" w:themeColor="background1" w:themeShade="80"/>
            </w:tcBorders>
            <w:shd w:val="clear" w:color="auto" w:fill="FFFFFF" w:themeFill="background1"/>
            <w:hideMark/>
          </w:tcPr>
          <w:p w14:paraId="17EF87F1" w14:textId="77777777" w:rsidR="00E75692" w:rsidRPr="005077E0" w:rsidRDefault="00E75692" w:rsidP="00EB0B3E">
            <w:pPr>
              <w:pStyle w:val="NormalWeb"/>
              <w:rPr>
                <w:sz w:val="18"/>
                <w:szCs w:val="18"/>
                <w:lang w:val="en-GB"/>
              </w:rPr>
            </w:pPr>
            <w:r w:rsidRPr="005077E0">
              <w:rPr>
                <w:sz w:val="18"/>
                <w:szCs w:val="18"/>
                <w:lang w:val="en-GB"/>
              </w:rPr>
              <w:t>Female</w:t>
            </w:r>
          </w:p>
        </w:tc>
        <w:tc>
          <w:tcPr>
            <w:tcW w:w="1392" w:type="dxa"/>
            <w:tcBorders>
              <w:top w:val="single" w:sz="2" w:space="0" w:color="808080" w:themeColor="background1" w:themeShade="80"/>
            </w:tcBorders>
            <w:shd w:val="clear" w:color="auto" w:fill="FFFFFF" w:themeFill="background1"/>
            <w:hideMark/>
          </w:tcPr>
          <w:p w14:paraId="5B3ED92E" w14:textId="77777777" w:rsidR="00E75692" w:rsidRPr="005077E0" w:rsidRDefault="00E75692" w:rsidP="00EB0B3E">
            <w:pPr>
              <w:pStyle w:val="NormalWeb"/>
              <w:rPr>
                <w:sz w:val="18"/>
                <w:szCs w:val="18"/>
                <w:lang w:val="en-GB"/>
              </w:rPr>
            </w:pPr>
            <w:r w:rsidRPr="005077E0">
              <w:rPr>
                <w:sz w:val="18"/>
                <w:szCs w:val="18"/>
                <w:lang w:val="en-GB"/>
              </w:rPr>
              <w:t>23/87 (26%)</w:t>
            </w:r>
          </w:p>
        </w:tc>
        <w:tc>
          <w:tcPr>
            <w:tcW w:w="1740" w:type="dxa"/>
            <w:tcBorders>
              <w:top w:val="single" w:sz="2" w:space="0" w:color="808080" w:themeColor="background1" w:themeShade="80"/>
            </w:tcBorders>
            <w:shd w:val="clear" w:color="auto" w:fill="FFFFFF" w:themeFill="background1"/>
            <w:hideMark/>
          </w:tcPr>
          <w:p w14:paraId="151E8F22" w14:textId="77777777" w:rsidR="00E75692" w:rsidRPr="005077E0" w:rsidRDefault="00E75692" w:rsidP="00EB0B3E">
            <w:pPr>
              <w:pStyle w:val="NormalWeb"/>
              <w:rPr>
                <w:sz w:val="18"/>
                <w:szCs w:val="18"/>
                <w:lang w:val="en-GB"/>
              </w:rPr>
            </w:pPr>
            <w:r w:rsidRPr="005077E0">
              <w:rPr>
                <w:sz w:val="18"/>
                <w:szCs w:val="18"/>
                <w:lang w:val="en-GB"/>
              </w:rPr>
              <w:t>7/38 (18%)</w:t>
            </w:r>
          </w:p>
        </w:tc>
        <w:tc>
          <w:tcPr>
            <w:tcW w:w="1740" w:type="dxa"/>
            <w:tcBorders>
              <w:top w:val="single" w:sz="2" w:space="0" w:color="808080" w:themeColor="background1" w:themeShade="80"/>
            </w:tcBorders>
            <w:shd w:val="clear" w:color="auto" w:fill="FFFFFF" w:themeFill="background1"/>
            <w:hideMark/>
          </w:tcPr>
          <w:p w14:paraId="5065C186" w14:textId="77777777" w:rsidR="00E75692" w:rsidRPr="005077E0" w:rsidRDefault="00E75692" w:rsidP="00EB0B3E">
            <w:pPr>
              <w:pStyle w:val="NormalWeb"/>
              <w:rPr>
                <w:sz w:val="18"/>
                <w:szCs w:val="18"/>
                <w:lang w:val="en-GB"/>
              </w:rPr>
            </w:pPr>
            <w:r w:rsidRPr="005077E0">
              <w:rPr>
                <w:sz w:val="18"/>
                <w:szCs w:val="18"/>
                <w:lang w:val="en-GB"/>
              </w:rPr>
              <w:t>16/49 (33%)</w:t>
            </w:r>
          </w:p>
        </w:tc>
        <w:tc>
          <w:tcPr>
            <w:tcW w:w="1740" w:type="dxa"/>
            <w:vMerge w:val="restart"/>
            <w:tcBorders>
              <w:top w:val="single" w:sz="2" w:space="0" w:color="808080" w:themeColor="background1" w:themeShade="80"/>
            </w:tcBorders>
            <w:shd w:val="clear" w:color="auto" w:fill="FFFFFF" w:themeFill="background1"/>
            <w:hideMark/>
          </w:tcPr>
          <w:p w14:paraId="6ABE1808" w14:textId="77777777" w:rsidR="00E75692" w:rsidRPr="005077E0" w:rsidRDefault="00E75692" w:rsidP="00EB0B3E">
            <w:pPr>
              <w:pStyle w:val="NormalWeb"/>
              <w:rPr>
                <w:sz w:val="18"/>
                <w:szCs w:val="18"/>
                <w:lang w:val="en-GB"/>
              </w:rPr>
            </w:pPr>
            <w:r w:rsidRPr="005077E0">
              <w:rPr>
                <w:sz w:val="18"/>
                <w:szCs w:val="18"/>
                <w:lang w:val="en-GB"/>
              </w:rPr>
              <w:t>0.14</w:t>
            </w:r>
          </w:p>
        </w:tc>
      </w:tr>
      <w:tr w:rsidR="00E75692" w:rsidRPr="005077E0" w14:paraId="6A1F234E" w14:textId="77777777" w:rsidTr="00A01070">
        <w:trPr>
          <w:cnfStyle w:val="000000010000" w:firstRow="0" w:lastRow="0" w:firstColumn="0" w:lastColumn="0" w:oddVBand="0" w:evenVBand="0" w:oddHBand="0" w:evenHBand="1" w:firstRowFirstColumn="0" w:firstRowLastColumn="0" w:lastRowFirstColumn="0" w:lastRowLastColumn="0"/>
        </w:trPr>
        <w:tc>
          <w:tcPr>
            <w:tcW w:w="1740" w:type="dxa"/>
            <w:vMerge/>
            <w:tcBorders>
              <w:bottom w:val="single" w:sz="2" w:space="0" w:color="808080" w:themeColor="background1" w:themeShade="80"/>
            </w:tcBorders>
            <w:shd w:val="clear" w:color="auto" w:fill="FFFFFF" w:themeFill="background1"/>
            <w:hideMark/>
          </w:tcPr>
          <w:p w14:paraId="14B6DD0B" w14:textId="77777777" w:rsidR="00E75692" w:rsidRPr="005077E0" w:rsidRDefault="00E75692" w:rsidP="00EB0B3E">
            <w:pPr>
              <w:jc w:val="left"/>
              <w:rPr>
                <w:sz w:val="18"/>
                <w:szCs w:val="18"/>
                <w:lang w:val="en-GB"/>
              </w:rPr>
            </w:pPr>
          </w:p>
        </w:tc>
        <w:tc>
          <w:tcPr>
            <w:tcW w:w="2088" w:type="dxa"/>
            <w:tcBorders>
              <w:bottom w:val="single" w:sz="2" w:space="0" w:color="808080" w:themeColor="background1" w:themeShade="80"/>
            </w:tcBorders>
            <w:shd w:val="clear" w:color="auto" w:fill="FFFFFF" w:themeFill="background1"/>
            <w:hideMark/>
          </w:tcPr>
          <w:p w14:paraId="464AAF0F" w14:textId="77777777" w:rsidR="00E75692" w:rsidRPr="005077E0" w:rsidRDefault="00E75692" w:rsidP="00EB0B3E">
            <w:pPr>
              <w:pStyle w:val="NormalWeb"/>
              <w:rPr>
                <w:sz w:val="18"/>
                <w:szCs w:val="18"/>
                <w:lang w:val="en-GB"/>
              </w:rPr>
            </w:pPr>
            <w:r w:rsidRPr="005077E0">
              <w:rPr>
                <w:sz w:val="18"/>
                <w:szCs w:val="18"/>
                <w:lang w:val="en-GB"/>
              </w:rPr>
              <w:t>Male</w:t>
            </w:r>
          </w:p>
        </w:tc>
        <w:tc>
          <w:tcPr>
            <w:tcW w:w="1392" w:type="dxa"/>
            <w:tcBorders>
              <w:bottom w:val="single" w:sz="2" w:space="0" w:color="808080" w:themeColor="background1" w:themeShade="80"/>
            </w:tcBorders>
            <w:shd w:val="clear" w:color="auto" w:fill="FFFFFF" w:themeFill="background1"/>
            <w:hideMark/>
          </w:tcPr>
          <w:p w14:paraId="3A2AB7E7" w14:textId="77777777" w:rsidR="00E75692" w:rsidRPr="005077E0" w:rsidRDefault="00E75692" w:rsidP="00EB0B3E">
            <w:pPr>
              <w:pStyle w:val="NormalWeb"/>
              <w:rPr>
                <w:sz w:val="18"/>
                <w:szCs w:val="18"/>
                <w:lang w:val="en-GB"/>
              </w:rPr>
            </w:pPr>
            <w:r w:rsidRPr="005077E0">
              <w:rPr>
                <w:sz w:val="18"/>
                <w:szCs w:val="18"/>
                <w:lang w:val="en-GB"/>
              </w:rPr>
              <w:t>64/87 (74%)</w:t>
            </w:r>
          </w:p>
        </w:tc>
        <w:tc>
          <w:tcPr>
            <w:tcW w:w="1740" w:type="dxa"/>
            <w:tcBorders>
              <w:bottom w:val="single" w:sz="2" w:space="0" w:color="808080" w:themeColor="background1" w:themeShade="80"/>
            </w:tcBorders>
            <w:shd w:val="clear" w:color="auto" w:fill="FFFFFF" w:themeFill="background1"/>
            <w:hideMark/>
          </w:tcPr>
          <w:p w14:paraId="13DDF083" w14:textId="77777777" w:rsidR="00E75692" w:rsidRPr="005077E0" w:rsidRDefault="00E75692" w:rsidP="00EB0B3E">
            <w:pPr>
              <w:pStyle w:val="NormalWeb"/>
              <w:rPr>
                <w:sz w:val="18"/>
                <w:szCs w:val="18"/>
                <w:lang w:val="en-GB"/>
              </w:rPr>
            </w:pPr>
            <w:r w:rsidRPr="005077E0">
              <w:rPr>
                <w:sz w:val="18"/>
                <w:szCs w:val="18"/>
                <w:lang w:val="en-GB"/>
              </w:rPr>
              <w:t>31/38 (82%)</w:t>
            </w:r>
          </w:p>
        </w:tc>
        <w:tc>
          <w:tcPr>
            <w:tcW w:w="1740" w:type="dxa"/>
            <w:tcBorders>
              <w:bottom w:val="single" w:sz="2" w:space="0" w:color="808080" w:themeColor="background1" w:themeShade="80"/>
            </w:tcBorders>
            <w:shd w:val="clear" w:color="auto" w:fill="FFFFFF" w:themeFill="background1"/>
            <w:hideMark/>
          </w:tcPr>
          <w:p w14:paraId="44609207" w14:textId="77777777" w:rsidR="00E75692" w:rsidRPr="005077E0" w:rsidRDefault="00E75692" w:rsidP="00EB0B3E">
            <w:pPr>
              <w:pStyle w:val="NormalWeb"/>
              <w:rPr>
                <w:sz w:val="18"/>
                <w:szCs w:val="18"/>
                <w:lang w:val="en-GB"/>
              </w:rPr>
            </w:pPr>
            <w:r w:rsidRPr="005077E0">
              <w:rPr>
                <w:sz w:val="18"/>
                <w:szCs w:val="18"/>
                <w:lang w:val="en-GB"/>
              </w:rPr>
              <w:t>33/49 (67%)</w:t>
            </w:r>
          </w:p>
        </w:tc>
        <w:tc>
          <w:tcPr>
            <w:tcW w:w="1740" w:type="dxa"/>
            <w:vMerge/>
            <w:tcBorders>
              <w:bottom w:val="single" w:sz="2" w:space="0" w:color="808080" w:themeColor="background1" w:themeShade="80"/>
            </w:tcBorders>
            <w:shd w:val="clear" w:color="auto" w:fill="FFFFFF" w:themeFill="background1"/>
            <w:hideMark/>
          </w:tcPr>
          <w:p w14:paraId="47CEF879" w14:textId="77777777" w:rsidR="00E75692" w:rsidRPr="005077E0" w:rsidRDefault="00E75692" w:rsidP="00EB0B3E">
            <w:pPr>
              <w:rPr>
                <w:sz w:val="18"/>
                <w:szCs w:val="18"/>
                <w:lang w:val="en-GB"/>
              </w:rPr>
            </w:pPr>
          </w:p>
        </w:tc>
      </w:tr>
      <w:tr w:rsidR="00E75692" w:rsidRPr="005077E0" w14:paraId="69459438" w14:textId="77777777" w:rsidTr="00A01070">
        <w:tc>
          <w:tcPr>
            <w:tcW w:w="1740" w:type="dxa"/>
            <w:vMerge w:val="restart"/>
            <w:tcBorders>
              <w:top w:val="single" w:sz="2" w:space="0" w:color="808080" w:themeColor="background1" w:themeShade="80"/>
              <w:bottom w:val="single" w:sz="2" w:space="0" w:color="808080" w:themeColor="background1" w:themeShade="80"/>
            </w:tcBorders>
            <w:shd w:val="clear" w:color="auto" w:fill="FFFFFF" w:themeFill="background1"/>
            <w:hideMark/>
          </w:tcPr>
          <w:p w14:paraId="479A5003" w14:textId="77777777" w:rsidR="00E75692" w:rsidRPr="005077E0" w:rsidRDefault="00E75692" w:rsidP="00EB0B3E">
            <w:pPr>
              <w:pStyle w:val="NormalWeb"/>
              <w:jc w:val="left"/>
              <w:rPr>
                <w:sz w:val="18"/>
                <w:szCs w:val="18"/>
                <w:lang w:val="en-GB"/>
              </w:rPr>
            </w:pPr>
            <w:r w:rsidRPr="005077E0">
              <w:rPr>
                <w:sz w:val="18"/>
                <w:szCs w:val="18"/>
                <w:lang w:val="en-GB"/>
              </w:rPr>
              <w:t>Residence location category</w:t>
            </w:r>
          </w:p>
        </w:tc>
        <w:tc>
          <w:tcPr>
            <w:tcW w:w="2088" w:type="dxa"/>
            <w:tcBorders>
              <w:top w:val="single" w:sz="2" w:space="0" w:color="808080" w:themeColor="background1" w:themeShade="80"/>
            </w:tcBorders>
            <w:shd w:val="clear" w:color="auto" w:fill="FFFFFF" w:themeFill="background1"/>
            <w:hideMark/>
          </w:tcPr>
          <w:p w14:paraId="05FC536B" w14:textId="77777777" w:rsidR="00E75692" w:rsidRPr="005077E0" w:rsidRDefault="00E75692" w:rsidP="00EB0B3E">
            <w:pPr>
              <w:pStyle w:val="NormalWeb"/>
              <w:rPr>
                <w:sz w:val="18"/>
                <w:szCs w:val="18"/>
                <w:lang w:val="en-GB"/>
              </w:rPr>
            </w:pPr>
            <w:r w:rsidRPr="005077E0">
              <w:rPr>
                <w:sz w:val="18"/>
                <w:szCs w:val="18"/>
                <w:lang w:val="en-GB"/>
              </w:rPr>
              <w:t>Regional town (MM2 or 3)</w:t>
            </w:r>
          </w:p>
        </w:tc>
        <w:tc>
          <w:tcPr>
            <w:tcW w:w="1392" w:type="dxa"/>
            <w:tcBorders>
              <w:top w:val="single" w:sz="2" w:space="0" w:color="808080" w:themeColor="background1" w:themeShade="80"/>
            </w:tcBorders>
            <w:shd w:val="clear" w:color="auto" w:fill="FFFFFF" w:themeFill="background1"/>
            <w:hideMark/>
          </w:tcPr>
          <w:p w14:paraId="3C18D88F" w14:textId="77777777" w:rsidR="00E75692" w:rsidRPr="005077E0" w:rsidRDefault="00E75692" w:rsidP="00EB0B3E">
            <w:pPr>
              <w:pStyle w:val="NormalWeb"/>
              <w:rPr>
                <w:sz w:val="18"/>
                <w:szCs w:val="18"/>
                <w:lang w:val="en-GB"/>
              </w:rPr>
            </w:pPr>
            <w:r w:rsidRPr="005077E0">
              <w:rPr>
                <w:sz w:val="18"/>
                <w:szCs w:val="18"/>
                <w:lang w:val="en-GB"/>
              </w:rPr>
              <w:t>48/87 (55%)</w:t>
            </w:r>
          </w:p>
        </w:tc>
        <w:tc>
          <w:tcPr>
            <w:tcW w:w="1740" w:type="dxa"/>
            <w:tcBorders>
              <w:top w:val="single" w:sz="2" w:space="0" w:color="808080" w:themeColor="background1" w:themeShade="80"/>
            </w:tcBorders>
            <w:shd w:val="clear" w:color="auto" w:fill="FFFFFF" w:themeFill="background1"/>
            <w:hideMark/>
          </w:tcPr>
          <w:p w14:paraId="2038B1A1" w14:textId="77777777" w:rsidR="00E75692" w:rsidRPr="005077E0" w:rsidRDefault="00E75692" w:rsidP="00EB0B3E">
            <w:pPr>
              <w:pStyle w:val="NormalWeb"/>
              <w:rPr>
                <w:sz w:val="18"/>
                <w:szCs w:val="18"/>
                <w:lang w:val="en-GB"/>
              </w:rPr>
            </w:pPr>
            <w:r w:rsidRPr="005077E0">
              <w:rPr>
                <w:sz w:val="18"/>
                <w:szCs w:val="18"/>
                <w:lang w:val="en-GB"/>
              </w:rPr>
              <w:t>20/38 (53%)</w:t>
            </w:r>
          </w:p>
        </w:tc>
        <w:tc>
          <w:tcPr>
            <w:tcW w:w="1740" w:type="dxa"/>
            <w:tcBorders>
              <w:top w:val="single" w:sz="2" w:space="0" w:color="808080" w:themeColor="background1" w:themeShade="80"/>
            </w:tcBorders>
            <w:shd w:val="clear" w:color="auto" w:fill="FFFFFF" w:themeFill="background1"/>
            <w:hideMark/>
          </w:tcPr>
          <w:p w14:paraId="3A03327F" w14:textId="77777777" w:rsidR="00E75692" w:rsidRPr="005077E0" w:rsidRDefault="00E75692" w:rsidP="00EB0B3E">
            <w:pPr>
              <w:pStyle w:val="NormalWeb"/>
              <w:rPr>
                <w:sz w:val="18"/>
                <w:szCs w:val="18"/>
                <w:lang w:val="en-GB"/>
              </w:rPr>
            </w:pPr>
            <w:r w:rsidRPr="005077E0">
              <w:rPr>
                <w:sz w:val="18"/>
                <w:szCs w:val="18"/>
                <w:lang w:val="en-GB"/>
              </w:rPr>
              <w:t>28/49 (57%)</w:t>
            </w:r>
          </w:p>
        </w:tc>
        <w:tc>
          <w:tcPr>
            <w:tcW w:w="1740" w:type="dxa"/>
            <w:vMerge w:val="restart"/>
            <w:tcBorders>
              <w:top w:val="single" w:sz="2" w:space="0" w:color="808080" w:themeColor="background1" w:themeShade="80"/>
            </w:tcBorders>
            <w:shd w:val="clear" w:color="auto" w:fill="FFFFFF" w:themeFill="background1"/>
            <w:hideMark/>
          </w:tcPr>
          <w:p w14:paraId="27B51724" w14:textId="77777777" w:rsidR="00E75692" w:rsidRPr="005077E0" w:rsidRDefault="00E75692" w:rsidP="00EB0B3E">
            <w:pPr>
              <w:pStyle w:val="NormalWeb"/>
              <w:rPr>
                <w:sz w:val="18"/>
                <w:szCs w:val="18"/>
                <w:lang w:val="en-GB"/>
              </w:rPr>
            </w:pPr>
            <w:r w:rsidRPr="005077E0">
              <w:rPr>
                <w:sz w:val="18"/>
                <w:szCs w:val="18"/>
                <w:lang w:val="en-GB"/>
              </w:rPr>
              <w:t>0.7</w:t>
            </w:r>
          </w:p>
        </w:tc>
      </w:tr>
      <w:tr w:rsidR="00E75692" w:rsidRPr="005077E0" w14:paraId="46FDFC87" w14:textId="77777777" w:rsidTr="00A01070">
        <w:trPr>
          <w:cnfStyle w:val="000000010000" w:firstRow="0" w:lastRow="0" w:firstColumn="0" w:lastColumn="0" w:oddVBand="0" w:evenVBand="0" w:oddHBand="0" w:evenHBand="1" w:firstRowFirstColumn="0" w:firstRowLastColumn="0" w:lastRowFirstColumn="0" w:lastRowLastColumn="0"/>
        </w:trPr>
        <w:tc>
          <w:tcPr>
            <w:tcW w:w="1740" w:type="dxa"/>
            <w:vMerge/>
            <w:tcBorders>
              <w:bottom w:val="single" w:sz="2" w:space="0" w:color="808080" w:themeColor="background1" w:themeShade="80"/>
            </w:tcBorders>
            <w:shd w:val="clear" w:color="auto" w:fill="FFFFFF" w:themeFill="background1"/>
            <w:hideMark/>
          </w:tcPr>
          <w:p w14:paraId="2D5427E0" w14:textId="77777777" w:rsidR="00E75692" w:rsidRPr="005077E0" w:rsidRDefault="00E75692" w:rsidP="00EB0B3E">
            <w:pPr>
              <w:rPr>
                <w:sz w:val="18"/>
                <w:szCs w:val="18"/>
                <w:lang w:val="en-GB"/>
              </w:rPr>
            </w:pPr>
          </w:p>
        </w:tc>
        <w:tc>
          <w:tcPr>
            <w:tcW w:w="2088" w:type="dxa"/>
            <w:tcBorders>
              <w:bottom w:val="single" w:sz="2" w:space="0" w:color="808080" w:themeColor="background1" w:themeShade="80"/>
            </w:tcBorders>
            <w:shd w:val="clear" w:color="auto" w:fill="FFFFFF" w:themeFill="background1"/>
            <w:hideMark/>
          </w:tcPr>
          <w:p w14:paraId="108A75B3" w14:textId="77777777" w:rsidR="00E75692" w:rsidRPr="005077E0" w:rsidRDefault="00E75692" w:rsidP="00EB0B3E">
            <w:pPr>
              <w:pStyle w:val="NormalWeb"/>
              <w:rPr>
                <w:sz w:val="18"/>
                <w:szCs w:val="18"/>
                <w:lang w:val="en-GB"/>
              </w:rPr>
            </w:pPr>
            <w:r w:rsidRPr="005077E0">
              <w:rPr>
                <w:sz w:val="18"/>
                <w:szCs w:val="18"/>
                <w:lang w:val="en-GB"/>
              </w:rPr>
              <w:t>Rural (MM &gt; 3)</w:t>
            </w:r>
          </w:p>
        </w:tc>
        <w:tc>
          <w:tcPr>
            <w:tcW w:w="1392" w:type="dxa"/>
            <w:tcBorders>
              <w:bottom w:val="single" w:sz="2" w:space="0" w:color="808080" w:themeColor="background1" w:themeShade="80"/>
            </w:tcBorders>
            <w:shd w:val="clear" w:color="auto" w:fill="FFFFFF" w:themeFill="background1"/>
            <w:hideMark/>
          </w:tcPr>
          <w:p w14:paraId="2AD205C8" w14:textId="77777777" w:rsidR="00E75692" w:rsidRPr="005077E0" w:rsidRDefault="00E75692" w:rsidP="00EB0B3E">
            <w:pPr>
              <w:pStyle w:val="NormalWeb"/>
              <w:rPr>
                <w:sz w:val="18"/>
                <w:szCs w:val="18"/>
                <w:lang w:val="en-GB"/>
              </w:rPr>
            </w:pPr>
            <w:r w:rsidRPr="005077E0">
              <w:rPr>
                <w:sz w:val="18"/>
                <w:szCs w:val="18"/>
                <w:lang w:val="en-GB"/>
              </w:rPr>
              <w:t>39/87 (45%)</w:t>
            </w:r>
          </w:p>
        </w:tc>
        <w:tc>
          <w:tcPr>
            <w:tcW w:w="1740" w:type="dxa"/>
            <w:tcBorders>
              <w:bottom w:val="single" w:sz="2" w:space="0" w:color="808080" w:themeColor="background1" w:themeShade="80"/>
            </w:tcBorders>
            <w:shd w:val="clear" w:color="auto" w:fill="FFFFFF" w:themeFill="background1"/>
            <w:hideMark/>
          </w:tcPr>
          <w:p w14:paraId="56349482" w14:textId="77777777" w:rsidR="00E75692" w:rsidRPr="005077E0" w:rsidRDefault="00E75692" w:rsidP="00EB0B3E">
            <w:pPr>
              <w:pStyle w:val="NormalWeb"/>
              <w:rPr>
                <w:sz w:val="18"/>
                <w:szCs w:val="18"/>
                <w:lang w:val="en-GB"/>
              </w:rPr>
            </w:pPr>
            <w:r w:rsidRPr="005077E0">
              <w:rPr>
                <w:sz w:val="18"/>
                <w:szCs w:val="18"/>
                <w:lang w:val="en-GB"/>
              </w:rPr>
              <w:t>18/38 (47%)</w:t>
            </w:r>
          </w:p>
        </w:tc>
        <w:tc>
          <w:tcPr>
            <w:tcW w:w="1740" w:type="dxa"/>
            <w:tcBorders>
              <w:bottom w:val="single" w:sz="2" w:space="0" w:color="808080" w:themeColor="background1" w:themeShade="80"/>
            </w:tcBorders>
            <w:shd w:val="clear" w:color="auto" w:fill="FFFFFF" w:themeFill="background1"/>
            <w:hideMark/>
          </w:tcPr>
          <w:p w14:paraId="3A322AAD" w14:textId="77777777" w:rsidR="00E75692" w:rsidRPr="005077E0" w:rsidRDefault="00E75692" w:rsidP="00EB0B3E">
            <w:pPr>
              <w:pStyle w:val="NormalWeb"/>
              <w:rPr>
                <w:sz w:val="18"/>
                <w:szCs w:val="18"/>
                <w:lang w:val="en-GB"/>
              </w:rPr>
            </w:pPr>
            <w:r w:rsidRPr="005077E0">
              <w:rPr>
                <w:sz w:val="18"/>
                <w:szCs w:val="18"/>
                <w:lang w:val="en-GB"/>
              </w:rPr>
              <w:t>21/49 (43%)</w:t>
            </w:r>
          </w:p>
        </w:tc>
        <w:tc>
          <w:tcPr>
            <w:tcW w:w="1740" w:type="dxa"/>
            <w:vMerge/>
            <w:tcBorders>
              <w:bottom w:val="single" w:sz="2" w:space="0" w:color="808080" w:themeColor="background1" w:themeShade="80"/>
            </w:tcBorders>
            <w:shd w:val="clear" w:color="auto" w:fill="FFFFFF" w:themeFill="background1"/>
            <w:hideMark/>
          </w:tcPr>
          <w:p w14:paraId="319BF475" w14:textId="77777777" w:rsidR="00E75692" w:rsidRPr="005077E0" w:rsidRDefault="00E75692" w:rsidP="00EB0B3E">
            <w:pPr>
              <w:rPr>
                <w:sz w:val="18"/>
                <w:szCs w:val="18"/>
                <w:lang w:val="en-GB"/>
              </w:rPr>
            </w:pPr>
          </w:p>
        </w:tc>
      </w:tr>
    </w:tbl>
    <w:p w14:paraId="5227174E" w14:textId="26500784" w:rsidR="00E75692" w:rsidRPr="005931CC" w:rsidRDefault="00E75692" w:rsidP="005931CC">
      <w:pPr>
        <w:pStyle w:val="CDIfootnotes"/>
      </w:pPr>
      <w:r w:rsidRPr="00554695">
        <w:t>a</w:t>
      </w:r>
      <w:r w:rsidRPr="00554695">
        <w:tab/>
        <w:t xml:space="preserve">Pearson’s Chi-squared test or Fisher’s exact test, as </w:t>
      </w:r>
      <w:proofErr w:type="gramStart"/>
      <w:r w:rsidRPr="00554695">
        <w:t>appropriate</w:t>
      </w:r>
      <w:proofErr w:type="gramEnd"/>
      <w:r w:rsidRPr="00554695">
        <w:t>.</w:t>
      </w:r>
    </w:p>
    <w:p w14:paraId="656CEA9D" w14:textId="77777777" w:rsidR="00E75692" w:rsidRPr="008E69CE" w:rsidRDefault="00E75692" w:rsidP="00E75692">
      <w:pPr>
        <w:pStyle w:val="CDIFigures"/>
        <w:divId w:val="1323462985"/>
      </w:pPr>
      <w:r w:rsidRPr="008E69CE">
        <w:rPr>
          <w:rStyle w:val="Strong"/>
          <w:b/>
          <w:bCs w:val="0"/>
        </w:rPr>
        <w:t>Table 2: Overall and comparative exposure history of Q fever cases (N = 87) notified in 2013–2022</w:t>
      </w:r>
    </w:p>
    <w:tbl>
      <w:tblPr>
        <w:tblStyle w:val="CDI-StandardTable"/>
        <w:tblW w:w="0" w:type="auto"/>
        <w:tblLook w:val="04A0" w:firstRow="1" w:lastRow="0" w:firstColumn="1" w:lastColumn="0" w:noHBand="0" w:noVBand="1"/>
        <w:tblDescription w:val="Exposure characteristics of Q fever cases within the Wide Bay region over the past decade. Likely source of exposure was obtained from NoCS, based on information collected as part of routine case interviews. The data was split into two five-year periods in order to assess for temporal trends. Statistical analysis included Wilcoxon rank sum test, Fisher’s exact test, and Pearson’s chi-squared test as appropriate."/>
      </w:tblPr>
      <w:tblGrid>
        <w:gridCol w:w="4158"/>
        <w:gridCol w:w="1570"/>
        <w:gridCol w:w="1571"/>
        <w:gridCol w:w="1570"/>
        <w:gridCol w:w="1571"/>
      </w:tblGrid>
      <w:tr w:rsidR="00E75692" w:rsidRPr="008E69CE" w14:paraId="66F085DF" w14:textId="77777777" w:rsidTr="00606564">
        <w:trPr>
          <w:cnfStyle w:val="100000000000" w:firstRow="1" w:lastRow="0" w:firstColumn="0" w:lastColumn="0" w:oddVBand="0" w:evenVBand="0" w:oddHBand="0" w:evenHBand="0" w:firstRowFirstColumn="0" w:firstRowLastColumn="0" w:lastRowFirstColumn="0" w:lastRowLastColumn="0"/>
          <w:divId w:val="1323462985"/>
        </w:trPr>
        <w:tc>
          <w:tcPr>
            <w:tcW w:w="0" w:type="auto"/>
            <w:tcBorders>
              <w:right w:val="single" w:sz="2" w:space="0" w:color="F7ECDD"/>
            </w:tcBorders>
            <w:hideMark/>
          </w:tcPr>
          <w:p w14:paraId="1E7185B8" w14:textId="77777777" w:rsidR="00E75692" w:rsidRPr="008E69CE" w:rsidRDefault="00E75692" w:rsidP="00EB0B3E">
            <w:pPr>
              <w:pStyle w:val="NormalWeb"/>
              <w:jc w:val="left"/>
              <w:rPr>
                <w:sz w:val="18"/>
                <w:szCs w:val="18"/>
                <w:lang w:val="en-GB"/>
              </w:rPr>
            </w:pPr>
            <w:r w:rsidRPr="008E69CE">
              <w:rPr>
                <w:sz w:val="18"/>
                <w:szCs w:val="18"/>
                <w:lang w:val="en-GB"/>
              </w:rPr>
              <w:t>Exposure history</w:t>
            </w:r>
          </w:p>
        </w:tc>
        <w:tc>
          <w:tcPr>
            <w:tcW w:w="1570" w:type="dxa"/>
            <w:tcBorders>
              <w:left w:val="single" w:sz="2" w:space="0" w:color="F7ECDD"/>
              <w:right w:val="single" w:sz="2" w:space="0" w:color="F7ECDD"/>
            </w:tcBorders>
            <w:hideMark/>
          </w:tcPr>
          <w:p w14:paraId="0423A0EA" w14:textId="77777777" w:rsidR="00E75692" w:rsidRPr="008E69CE" w:rsidRDefault="00E75692" w:rsidP="00EB0B3E">
            <w:pPr>
              <w:pStyle w:val="NormalWeb"/>
              <w:rPr>
                <w:sz w:val="18"/>
                <w:szCs w:val="18"/>
                <w:lang w:val="en-GB"/>
              </w:rPr>
            </w:pPr>
            <w:r w:rsidRPr="008E69CE">
              <w:rPr>
                <w:sz w:val="18"/>
                <w:szCs w:val="18"/>
                <w:lang w:val="en-GB"/>
              </w:rPr>
              <w:t>Overall</w:t>
            </w:r>
            <w:r w:rsidRPr="008E69CE">
              <w:rPr>
                <w:sz w:val="18"/>
                <w:szCs w:val="18"/>
                <w:lang w:val="en-GB"/>
              </w:rPr>
              <w:br/>
              <w:t>N = 87</w:t>
            </w:r>
          </w:p>
        </w:tc>
        <w:tc>
          <w:tcPr>
            <w:tcW w:w="1571" w:type="dxa"/>
            <w:tcBorders>
              <w:left w:val="single" w:sz="2" w:space="0" w:color="F7ECDD"/>
              <w:right w:val="single" w:sz="2" w:space="0" w:color="F7ECDD"/>
            </w:tcBorders>
            <w:hideMark/>
          </w:tcPr>
          <w:p w14:paraId="65E0E5E8" w14:textId="77777777" w:rsidR="00E75692" w:rsidRPr="008E69CE" w:rsidRDefault="00E75692" w:rsidP="00EB0B3E">
            <w:pPr>
              <w:pStyle w:val="NormalWeb"/>
              <w:rPr>
                <w:sz w:val="18"/>
                <w:szCs w:val="18"/>
                <w:lang w:val="en-GB"/>
              </w:rPr>
            </w:pPr>
            <w:r w:rsidRPr="008E69CE">
              <w:rPr>
                <w:sz w:val="18"/>
                <w:szCs w:val="18"/>
                <w:lang w:val="en-GB"/>
              </w:rPr>
              <w:t>Previous five years</w:t>
            </w:r>
            <w:r w:rsidRPr="008E69CE">
              <w:rPr>
                <w:sz w:val="18"/>
                <w:szCs w:val="18"/>
                <w:lang w:val="en-GB"/>
              </w:rPr>
              <w:br/>
              <w:t>(2013–2017)</w:t>
            </w:r>
            <w:r w:rsidRPr="008E69CE">
              <w:rPr>
                <w:sz w:val="18"/>
                <w:szCs w:val="18"/>
                <w:lang w:val="en-GB"/>
              </w:rPr>
              <w:br/>
              <w:t>n = 38</w:t>
            </w:r>
          </w:p>
        </w:tc>
        <w:tc>
          <w:tcPr>
            <w:tcW w:w="1570" w:type="dxa"/>
            <w:tcBorders>
              <w:left w:val="single" w:sz="2" w:space="0" w:color="F7ECDD"/>
              <w:right w:val="single" w:sz="2" w:space="0" w:color="F7ECDD"/>
            </w:tcBorders>
            <w:hideMark/>
          </w:tcPr>
          <w:p w14:paraId="7FE0D842" w14:textId="77777777" w:rsidR="00E75692" w:rsidRPr="008E69CE" w:rsidRDefault="00E75692" w:rsidP="00EB0B3E">
            <w:pPr>
              <w:pStyle w:val="NormalWeb"/>
              <w:rPr>
                <w:sz w:val="18"/>
                <w:szCs w:val="18"/>
                <w:lang w:val="en-GB"/>
              </w:rPr>
            </w:pPr>
            <w:r w:rsidRPr="008E69CE">
              <w:rPr>
                <w:sz w:val="18"/>
                <w:szCs w:val="18"/>
                <w:lang w:val="en-GB"/>
              </w:rPr>
              <w:t>Recent five years</w:t>
            </w:r>
            <w:r w:rsidRPr="008E69CE">
              <w:rPr>
                <w:sz w:val="18"/>
                <w:szCs w:val="18"/>
                <w:lang w:val="en-GB"/>
              </w:rPr>
              <w:br/>
              <w:t>(2018–2022)</w:t>
            </w:r>
            <w:r w:rsidRPr="008E69CE">
              <w:rPr>
                <w:sz w:val="18"/>
                <w:szCs w:val="18"/>
                <w:lang w:val="en-GB"/>
              </w:rPr>
              <w:br/>
              <w:t>n = 49</w:t>
            </w:r>
          </w:p>
        </w:tc>
        <w:tc>
          <w:tcPr>
            <w:tcW w:w="1571" w:type="dxa"/>
            <w:tcBorders>
              <w:left w:val="single" w:sz="2" w:space="0" w:color="F7ECDD"/>
            </w:tcBorders>
            <w:hideMark/>
          </w:tcPr>
          <w:p w14:paraId="6FD55A27" w14:textId="77777777" w:rsidR="00E75692" w:rsidRPr="008E69CE" w:rsidRDefault="00E75692" w:rsidP="00EB0B3E">
            <w:pPr>
              <w:pStyle w:val="NormalWeb"/>
              <w:rPr>
                <w:sz w:val="18"/>
                <w:szCs w:val="18"/>
                <w:lang w:val="en-GB"/>
              </w:rPr>
            </w:pPr>
            <w:r w:rsidRPr="00D26B08">
              <w:rPr>
                <w:i/>
                <w:iCs/>
                <w:sz w:val="18"/>
                <w:szCs w:val="18"/>
                <w:lang w:val="en-GB"/>
              </w:rPr>
              <w:t>p</w:t>
            </w:r>
            <w:r w:rsidRPr="008E69CE">
              <w:rPr>
                <w:sz w:val="18"/>
                <w:szCs w:val="18"/>
                <w:lang w:val="en-GB"/>
              </w:rPr>
              <w:t xml:space="preserve"> </w:t>
            </w:r>
            <w:proofErr w:type="spellStart"/>
            <w:r w:rsidRPr="008E69CE">
              <w:rPr>
                <w:sz w:val="18"/>
                <w:szCs w:val="18"/>
                <w:lang w:val="en-GB"/>
              </w:rPr>
              <w:t>value</w:t>
            </w:r>
            <w:r w:rsidRPr="008E69CE">
              <w:rPr>
                <w:sz w:val="18"/>
                <w:szCs w:val="18"/>
                <w:vertAlign w:val="superscript"/>
                <w:lang w:val="en-GB"/>
              </w:rPr>
              <w:t>a</w:t>
            </w:r>
            <w:proofErr w:type="spellEnd"/>
          </w:p>
        </w:tc>
      </w:tr>
      <w:tr w:rsidR="00AA708A" w:rsidRPr="008E69CE" w14:paraId="1EEB3EED" w14:textId="77777777" w:rsidTr="00AA708A">
        <w:trPr>
          <w:divId w:val="1323462985"/>
        </w:trPr>
        <w:tc>
          <w:tcPr>
            <w:tcW w:w="0" w:type="auto"/>
            <w:shd w:val="clear" w:color="auto" w:fill="auto"/>
            <w:hideMark/>
          </w:tcPr>
          <w:p w14:paraId="344CB805" w14:textId="77777777" w:rsidR="00E75692" w:rsidRPr="008E69CE" w:rsidRDefault="00E75692" w:rsidP="00EB0B3E">
            <w:pPr>
              <w:pStyle w:val="NormalWeb"/>
              <w:jc w:val="left"/>
              <w:rPr>
                <w:sz w:val="18"/>
                <w:szCs w:val="18"/>
                <w:lang w:val="en-GB"/>
              </w:rPr>
            </w:pPr>
            <w:r w:rsidRPr="008E69CE">
              <w:rPr>
                <w:sz w:val="18"/>
                <w:szCs w:val="18"/>
                <w:lang w:val="en-GB"/>
              </w:rPr>
              <w:t>Animal contact not otherwise specified</w:t>
            </w:r>
          </w:p>
        </w:tc>
        <w:tc>
          <w:tcPr>
            <w:tcW w:w="1570" w:type="dxa"/>
            <w:shd w:val="clear" w:color="auto" w:fill="auto"/>
            <w:hideMark/>
          </w:tcPr>
          <w:p w14:paraId="7E3C62E4" w14:textId="77777777" w:rsidR="00E75692" w:rsidRPr="008E69CE" w:rsidRDefault="00E75692" w:rsidP="00EB0B3E">
            <w:pPr>
              <w:pStyle w:val="NormalWeb"/>
              <w:rPr>
                <w:sz w:val="18"/>
                <w:szCs w:val="18"/>
                <w:lang w:val="en-GB"/>
              </w:rPr>
            </w:pPr>
            <w:r w:rsidRPr="008E69CE">
              <w:rPr>
                <w:sz w:val="18"/>
                <w:szCs w:val="18"/>
                <w:lang w:val="en-GB"/>
              </w:rPr>
              <w:t>3/79 (3.8%)</w:t>
            </w:r>
          </w:p>
        </w:tc>
        <w:tc>
          <w:tcPr>
            <w:tcW w:w="1571" w:type="dxa"/>
            <w:shd w:val="clear" w:color="auto" w:fill="auto"/>
            <w:hideMark/>
          </w:tcPr>
          <w:p w14:paraId="6DAAC52E" w14:textId="77777777" w:rsidR="00E75692" w:rsidRPr="008E69CE" w:rsidRDefault="00E75692" w:rsidP="00EB0B3E">
            <w:pPr>
              <w:pStyle w:val="NormalWeb"/>
              <w:rPr>
                <w:sz w:val="18"/>
                <w:szCs w:val="18"/>
                <w:lang w:val="en-GB"/>
              </w:rPr>
            </w:pPr>
            <w:r w:rsidRPr="008E69CE">
              <w:rPr>
                <w:sz w:val="18"/>
                <w:szCs w:val="18"/>
                <w:lang w:val="en-GB"/>
              </w:rPr>
              <w:t>1/33 (3.0%)</w:t>
            </w:r>
          </w:p>
        </w:tc>
        <w:tc>
          <w:tcPr>
            <w:tcW w:w="1570" w:type="dxa"/>
            <w:shd w:val="clear" w:color="auto" w:fill="auto"/>
            <w:hideMark/>
          </w:tcPr>
          <w:p w14:paraId="4B5B5565" w14:textId="77777777" w:rsidR="00E75692" w:rsidRPr="008E69CE" w:rsidRDefault="00E75692" w:rsidP="00EB0B3E">
            <w:pPr>
              <w:pStyle w:val="NormalWeb"/>
              <w:rPr>
                <w:sz w:val="18"/>
                <w:szCs w:val="18"/>
                <w:lang w:val="en-GB"/>
              </w:rPr>
            </w:pPr>
            <w:r w:rsidRPr="008E69CE">
              <w:rPr>
                <w:sz w:val="18"/>
                <w:szCs w:val="18"/>
                <w:lang w:val="en-GB"/>
              </w:rPr>
              <w:t>2/46 (4.3%)</w:t>
            </w:r>
          </w:p>
        </w:tc>
        <w:tc>
          <w:tcPr>
            <w:tcW w:w="1571" w:type="dxa"/>
            <w:vMerge w:val="restart"/>
            <w:shd w:val="clear" w:color="auto" w:fill="auto"/>
            <w:hideMark/>
          </w:tcPr>
          <w:p w14:paraId="09E7DBE3" w14:textId="77777777" w:rsidR="00E75692" w:rsidRPr="008E69CE" w:rsidRDefault="00E75692" w:rsidP="00EB0B3E">
            <w:pPr>
              <w:pStyle w:val="NormalWeb"/>
              <w:rPr>
                <w:sz w:val="18"/>
                <w:szCs w:val="18"/>
                <w:lang w:val="en-GB"/>
              </w:rPr>
            </w:pPr>
            <w:r w:rsidRPr="008E69CE">
              <w:rPr>
                <w:sz w:val="18"/>
                <w:szCs w:val="18"/>
                <w:lang w:val="en-GB"/>
              </w:rPr>
              <w:t>0.039</w:t>
            </w:r>
          </w:p>
        </w:tc>
      </w:tr>
      <w:tr w:rsidR="00E75692" w:rsidRPr="008E69CE" w14:paraId="4FF97541" w14:textId="77777777" w:rsidTr="00AA708A">
        <w:trPr>
          <w:cnfStyle w:val="000000010000" w:firstRow="0" w:lastRow="0" w:firstColumn="0" w:lastColumn="0" w:oddVBand="0" w:evenVBand="0" w:oddHBand="0" w:evenHBand="1" w:firstRowFirstColumn="0" w:firstRowLastColumn="0" w:lastRowFirstColumn="0" w:lastRowLastColumn="0"/>
          <w:divId w:val="1323462985"/>
        </w:trPr>
        <w:tc>
          <w:tcPr>
            <w:tcW w:w="0" w:type="auto"/>
            <w:shd w:val="clear" w:color="auto" w:fill="auto"/>
            <w:hideMark/>
          </w:tcPr>
          <w:p w14:paraId="41D9CB10" w14:textId="77777777" w:rsidR="00E75692" w:rsidRPr="008E69CE" w:rsidRDefault="00E75692" w:rsidP="00EB0B3E">
            <w:pPr>
              <w:pStyle w:val="NormalWeb"/>
              <w:jc w:val="left"/>
              <w:rPr>
                <w:sz w:val="18"/>
                <w:szCs w:val="18"/>
                <w:lang w:val="en-GB"/>
              </w:rPr>
            </w:pPr>
            <w:r w:rsidRPr="008E69CE">
              <w:rPr>
                <w:sz w:val="18"/>
                <w:szCs w:val="18"/>
                <w:lang w:val="en-GB"/>
              </w:rPr>
              <w:t>Assisted or observed an animal birth</w:t>
            </w:r>
          </w:p>
        </w:tc>
        <w:tc>
          <w:tcPr>
            <w:tcW w:w="1570" w:type="dxa"/>
            <w:shd w:val="clear" w:color="auto" w:fill="auto"/>
            <w:hideMark/>
          </w:tcPr>
          <w:p w14:paraId="5B4FEACB" w14:textId="77777777" w:rsidR="00E75692" w:rsidRPr="008E69CE" w:rsidRDefault="00E75692" w:rsidP="00EB0B3E">
            <w:pPr>
              <w:pStyle w:val="NormalWeb"/>
              <w:rPr>
                <w:sz w:val="18"/>
                <w:szCs w:val="18"/>
                <w:lang w:val="en-GB"/>
              </w:rPr>
            </w:pPr>
            <w:r w:rsidRPr="008E69CE">
              <w:rPr>
                <w:sz w:val="18"/>
                <w:szCs w:val="18"/>
                <w:lang w:val="en-GB"/>
              </w:rPr>
              <w:t>12/79 (15%)</w:t>
            </w:r>
          </w:p>
        </w:tc>
        <w:tc>
          <w:tcPr>
            <w:tcW w:w="1571" w:type="dxa"/>
            <w:shd w:val="clear" w:color="auto" w:fill="auto"/>
            <w:hideMark/>
          </w:tcPr>
          <w:p w14:paraId="23EF609D" w14:textId="77777777" w:rsidR="00E75692" w:rsidRPr="008E69CE" w:rsidRDefault="00E75692" w:rsidP="00EB0B3E">
            <w:pPr>
              <w:pStyle w:val="NormalWeb"/>
              <w:rPr>
                <w:sz w:val="18"/>
                <w:szCs w:val="18"/>
                <w:lang w:val="en-GB"/>
              </w:rPr>
            </w:pPr>
            <w:r w:rsidRPr="008E69CE">
              <w:rPr>
                <w:sz w:val="18"/>
                <w:szCs w:val="18"/>
                <w:lang w:val="en-GB"/>
              </w:rPr>
              <w:t>5/33 (15%)</w:t>
            </w:r>
          </w:p>
        </w:tc>
        <w:tc>
          <w:tcPr>
            <w:tcW w:w="1570" w:type="dxa"/>
            <w:shd w:val="clear" w:color="auto" w:fill="auto"/>
            <w:hideMark/>
          </w:tcPr>
          <w:p w14:paraId="315A2BF8" w14:textId="77777777" w:rsidR="00E75692" w:rsidRPr="008E69CE" w:rsidRDefault="00E75692" w:rsidP="00EB0B3E">
            <w:pPr>
              <w:pStyle w:val="NormalWeb"/>
              <w:rPr>
                <w:sz w:val="18"/>
                <w:szCs w:val="18"/>
                <w:lang w:val="en-GB"/>
              </w:rPr>
            </w:pPr>
            <w:r w:rsidRPr="008E69CE">
              <w:rPr>
                <w:sz w:val="18"/>
                <w:szCs w:val="18"/>
                <w:lang w:val="en-GB"/>
              </w:rPr>
              <w:t>7/46 (15%)</w:t>
            </w:r>
          </w:p>
        </w:tc>
        <w:tc>
          <w:tcPr>
            <w:tcW w:w="1571" w:type="dxa"/>
            <w:vMerge/>
            <w:shd w:val="clear" w:color="auto" w:fill="auto"/>
            <w:hideMark/>
          </w:tcPr>
          <w:p w14:paraId="6B55A720" w14:textId="77777777" w:rsidR="00E75692" w:rsidRPr="008E69CE" w:rsidRDefault="00E75692" w:rsidP="00EB0B3E">
            <w:pPr>
              <w:rPr>
                <w:sz w:val="18"/>
                <w:szCs w:val="18"/>
                <w:lang w:val="en-GB"/>
              </w:rPr>
            </w:pPr>
          </w:p>
        </w:tc>
      </w:tr>
      <w:tr w:rsidR="00AA708A" w:rsidRPr="008E69CE" w14:paraId="4FF8A584" w14:textId="77777777" w:rsidTr="00AA708A">
        <w:trPr>
          <w:divId w:val="1323462985"/>
        </w:trPr>
        <w:tc>
          <w:tcPr>
            <w:tcW w:w="0" w:type="auto"/>
            <w:shd w:val="clear" w:color="auto" w:fill="auto"/>
            <w:hideMark/>
          </w:tcPr>
          <w:p w14:paraId="3014178E" w14:textId="77777777" w:rsidR="00E75692" w:rsidRPr="008E69CE" w:rsidRDefault="00E75692" w:rsidP="00EB0B3E">
            <w:pPr>
              <w:pStyle w:val="NormalWeb"/>
              <w:jc w:val="left"/>
              <w:rPr>
                <w:sz w:val="18"/>
                <w:szCs w:val="18"/>
                <w:lang w:val="en-GB"/>
              </w:rPr>
            </w:pPr>
            <w:r w:rsidRPr="008E69CE">
              <w:rPr>
                <w:sz w:val="18"/>
                <w:szCs w:val="18"/>
                <w:lang w:val="en-GB"/>
              </w:rPr>
              <w:t>Exposure to livestock transport</w:t>
            </w:r>
          </w:p>
        </w:tc>
        <w:tc>
          <w:tcPr>
            <w:tcW w:w="1570" w:type="dxa"/>
            <w:shd w:val="clear" w:color="auto" w:fill="auto"/>
            <w:hideMark/>
          </w:tcPr>
          <w:p w14:paraId="0DD86D5E" w14:textId="77777777" w:rsidR="00E75692" w:rsidRPr="008E69CE" w:rsidRDefault="00E75692" w:rsidP="00EB0B3E">
            <w:pPr>
              <w:pStyle w:val="NormalWeb"/>
              <w:rPr>
                <w:sz w:val="18"/>
                <w:szCs w:val="18"/>
                <w:lang w:val="en-GB"/>
              </w:rPr>
            </w:pPr>
            <w:r w:rsidRPr="008E69CE">
              <w:rPr>
                <w:sz w:val="18"/>
                <w:szCs w:val="18"/>
                <w:lang w:val="en-GB"/>
              </w:rPr>
              <w:t>3/79 (3.8%)</w:t>
            </w:r>
          </w:p>
        </w:tc>
        <w:tc>
          <w:tcPr>
            <w:tcW w:w="1571" w:type="dxa"/>
            <w:shd w:val="clear" w:color="auto" w:fill="auto"/>
            <w:hideMark/>
          </w:tcPr>
          <w:p w14:paraId="42E86D44" w14:textId="77777777" w:rsidR="00E75692" w:rsidRPr="008E69CE" w:rsidRDefault="00E75692" w:rsidP="00EB0B3E">
            <w:pPr>
              <w:pStyle w:val="NormalWeb"/>
              <w:rPr>
                <w:sz w:val="18"/>
                <w:szCs w:val="18"/>
                <w:lang w:val="en-GB"/>
              </w:rPr>
            </w:pPr>
            <w:r w:rsidRPr="008E69CE">
              <w:rPr>
                <w:sz w:val="18"/>
                <w:szCs w:val="18"/>
                <w:lang w:val="en-GB"/>
              </w:rPr>
              <w:t>2/33 (6.1%)</w:t>
            </w:r>
          </w:p>
        </w:tc>
        <w:tc>
          <w:tcPr>
            <w:tcW w:w="1570" w:type="dxa"/>
            <w:shd w:val="clear" w:color="auto" w:fill="auto"/>
            <w:hideMark/>
          </w:tcPr>
          <w:p w14:paraId="69B4936E" w14:textId="77777777" w:rsidR="00E75692" w:rsidRPr="008E69CE" w:rsidRDefault="00E75692" w:rsidP="00EB0B3E">
            <w:pPr>
              <w:pStyle w:val="NormalWeb"/>
              <w:rPr>
                <w:sz w:val="18"/>
                <w:szCs w:val="18"/>
                <w:lang w:val="en-GB"/>
              </w:rPr>
            </w:pPr>
            <w:r w:rsidRPr="008E69CE">
              <w:rPr>
                <w:sz w:val="18"/>
                <w:szCs w:val="18"/>
                <w:lang w:val="en-GB"/>
              </w:rPr>
              <w:t>1/46 (2.2%)</w:t>
            </w:r>
          </w:p>
        </w:tc>
        <w:tc>
          <w:tcPr>
            <w:tcW w:w="1571" w:type="dxa"/>
            <w:vMerge/>
            <w:shd w:val="clear" w:color="auto" w:fill="auto"/>
            <w:hideMark/>
          </w:tcPr>
          <w:p w14:paraId="4F88D8F9" w14:textId="77777777" w:rsidR="00E75692" w:rsidRPr="008E69CE" w:rsidRDefault="00E75692" w:rsidP="00EB0B3E">
            <w:pPr>
              <w:rPr>
                <w:sz w:val="18"/>
                <w:szCs w:val="18"/>
                <w:lang w:val="en-GB"/>
              </w:rPr>
            </w:pPr>
          </w:p>
        </w:tc>
      </w:tr>
      <w:tr w:rsidR="00E75692" w:rsidRPr="008E69CE" w14:paraId="0CF0E850" w14:textId="77777777" w:rsidTr="00AA708A">
        <w:trPr>
          <w:cnfStyle w:val="000000010000" w:firstRow="0" w:lastRow="0" w:firstColumn="0" w:lastColumn="0" w:oddVBand="0" w:evenVBand="0" w:oddHBand="0" w:evenHBand="1" w:firstRowFirstColumn="0" w:firstRowLastColumn="0" w:lastRowFirstColumn="0" w:lastRowLastColumn="0"/>
          <w:divId w:val="1323462985"/>
        </w:trPr>
        <w:tc>
          <w:tcPr>
            <w:tcW w:w="0" w:type="auto"/>
            <w:shd w:val="clear" w:color="auto" w:fill="auto"/>
            <w:hideMark/>
          </w:tcPr>
          <w:p w14:paraId="10F2A9B9" w14:textId="77777777" w:rsidR="00E75692" w:rsidRPr="008E69CE" w:rsidRDefault="00E75692" w:rsidP="00EB0B3E">
            <w:pPr>
              <w:pStyle w:val="NormalWeb"/>
              <w:jc w:val="left"/>
              <w:rPr>
                <w:sz w:val="18"/>
                <w:szCs w:val="18"/>
                <w:lang w:val="en-GB"/>
              </w:rPr>
            </w:pPr>
            <w:r w:rsidRPr="008E69CE">
              <w:rPr>
                <w:sz w:val="18"/>
                <w:szCs w:val="18"/>
                <w:lang w:val="en-GB"/>
              </w:rPr>
              <w:t>Hunting or butchering animals</w:t>
            </w:r>
          </w:p>
        </w:tc>
        <w:tc>
          <w:tcPr>
            <w:tcW w:w="1570" w:type="dxa"/>
            <w:shd w:val="clear" w:color="auto" w:fill="auto"/>
            <w:hideMark/>
          </w:tcPr>
          <w:p w14:paraId="4865DFD8" w14:textId="77777777" w:rsidR="00E75692" w:rsidRPr="008E69CE" w:rsidRDefault="00E75692" w:rsidP="00EB0B3E">
            <w:pPr>
              <w:pStyle w:val="NormalWeb"/>
              <w:rPr>
                <w:sz w:val="18"/>
                <w:szCs w:val="18"/>
                <w:lang w:val="en-GB"/>
              </w:rPr>
            </w:pPr>
            <w:r w:rsidRPr="008E69CE">
              <w:rPr>
                <w:sz w:val="18"/>
                <w:szCs w:val="18"/>
                <w:lang w:val="en-GB"/>
              </w:rPr>
              <w:t>8/79 (10%)</w:t>
            </w:r>
          </w:p>
        </w:tc>
        <w:tc>
          <w:tcPr>
            <w:tcW w:w="1571" w:type="dxa"/>
            <w:shd w:val="clear" w:color="auto" w:fill="auto"/>
            <w:hideMark/>
          </w:tcPr>
          <w:p w14:paraId="07493FCF" w14:textId="77777777" w:rsidR="00E75692" w:rsidRPr="008E69CE" w:rsidRDefault="00E75692" w:rsidP="00EB0B3E">
            <w:pPr>
              <w:pStyle w:val="NormalWeb"/>
              <w:rPr>
                <w:sz w:val="18"/>
                <w:szCs w:val="18"/>
                <w:lang w:val="en-GB"/>
              </w:rPr>
            </w:pPr>
            <w:r w:rsidRPr="008E69CE">
              <w:rPr>
                <w:sz w:val="18"/>
                <w:szCs w:val="18"/>
                <w:lang w:val="en-GB"/>
              </w:rPr>
              <w:t>4/33 (12%)</w:t>
            </w:r>
          </w:p>
        </w:tc>
        <w:tc>
          <w:tcPr>
            <w:tcW w:w="1570" w:type="dxa"/>
            <w:shd w:val="clear" w:color="auto" w:fill="auto"/>
            <w:hideMark/>
          </w:tcPr>
          <w:p w14:paraId="20218F9D" w14:textId="77777777" w:rsidR="00E75692" w:rsidRPr="008E69CE" w:rsidRDefault="00E75692" w:rsidP="00EB0B3E">
            <w:pPr>
              <w:pStyle w:val="NormalWeb"/>
              <w:rPr>
                <w:sz w:val="18"/>
                <w:szCs w:val="18"/>
                <w:lang w:val="en-GB"/>
              </w:rPr>
            </w:pPr>
            <w:r w:rsidRPr="008E69CE">
              <w:rPr>
                <w:sz w:val="18"/>
                <w:szCs w:val="18"/>
                <w:lang w:val="en-GB"/>
              </w:rPr>
              <w:t>4/46 (8.7%)</w:t>
            </w:r>
          </w:p>
        </w:tc>
        <w:tc>
          <w:tcPr>
            <w:tcW w:w="1571" w:type="dxa"/>
            <w:vMerge/>
            <w:shd w:val="clear" w:color="auto" w:fill="auto"/>
            <w:hideMark/>
          </w:tcPr>
          <w:p w14:paraId="428F4257" w14:textId="77777777" w:rsidR="00E75692" w:rsidRPr="008E69CE" w:rsidRDefault="00E75692" w:rsidP="00EB0B3E">
            <w:pPr>
              <w:rPr>
                <w:sz w:val="18"/>
                <w:szCs w:val="18"/>
                <w:lang w:val="en-GB"/>
              </w:rPr>
            </w:pPr>
          </w:p>
        </w:tc>
      </w:tr>
      <w:tr w:rsidR="00AA708A" w:rsidRPr="008E69CE" w14:paraId="3E401EDA" w14:textId="77777777" w:rsidTr="00AA708A">
        <w:trPr>
          <w:divId w:val="1323462985"/>
        </w:trPr>
        <w:tc>
          <w:tcPr>
            <w:tcW w:w="0" w:type="auto"/>
            <w:shd w:val="clear" w:color="auto" w:fill="auto"/>
            <w:hideMark/>
          </w:tcPr>
          <w:p w14:paraId="110CFD56" w14:textId="77777777" w:rsidR="00E75692" w:rsidRPr="008E69CE" w:rsidRDefault="00E75692" w:rsidP="00EB0B3E">
            <w:pPr>
              <w:pStyle w:val="NormalWeb"/>
              <w:jc w:val="left"/>
              <w:rPr>
                <w:sz w:val="18"/>
                <w:szCs w:val="18"/>
                <w:lang w:val="en-GB"/>
              </w:rPr>
            </w:pPr>
            <w:r w:rsidRPr="008E69CE">
              <w:rPr>
                <w:sz w:val="18"/>
                <w:szCs w:val="18"/>
                <w:lang w:val="en-GB"/>
              </w:rPr>
              <w:t>Land clearing, mowing, or earthmoving</w:t>
            </w:r>
          </w:p>
        </w:tc>
        <w:tc>
          <w:tcPr>
            <w:tcW w:w="1570" w:type="dxa"/>
            <w:shd w:val="clear" w:color="auto" w:fill="auto"/>
            <w:hideMark/>
          </w:tcPr>
          <w:p w14:paraId="3A5F8F87" w14:textId="77777777" w:rsidR="00E75692" w:rsidRPr="008E69CE" w:rsidRDefault="00E75692" w:rsidP="00EB0B3E">
            <w:pPr>
              <w:pStyle w:val="NormalWeb"/>
              <w:rPr>
                <w:sz w:val="18"/>
                <w:szCs w:val="18"/>
                <w:lang w:val="en-GB"/>
              </w:rPr>
            </w:pPr>
            <w:r w:rsidRPr="008E69CE">
              <w:rPr>
                <w:sz w:val="18"/>
                <w:szCs w:val="18"/>
                <w:lang w:val="en-GB"/>
              </w:rPr>
              <w:t>8/79 (10%)</w:t>
            </w:r>
          </w:p>
        </w:tc>
        <w:tc>
          <w:tcPr>
            <w:tcW w:w="1571" w:type="dxa"/>
            <w:shd w:val="clear" w:color="auto" w:fill="auto"/>
            <w:hideMark/>
          </w:tcPr>
          <w:p w14:paraId="7F120C39" w14:textId="77777777" w:rsidR="00E75692" w:rsidRPr="008E69CE" w:rsidRDefault="00E75692" w:rsidP="00EB0B3E">
            <w:pPr>
              <w:pStyle w:val="NormalWeb"/>
              <w:rPr>
                <w:sz w:val="18"/>
                <w:szCs w:val="18"/>
                <w:lang w:val="en-GB"/>
              </w:rPr>
            </w:pPr>
            <w:r w:rsidRPr="008E69CE">
              <w:rPr>
                <w:sz w:val="18"/>
                <w:szCs w:val="18"/>
                <w:lang w:val="en-GB"/>
              </w:rPr>
              <w:t>0/33 (0%)</w:t>
            </w:r>
          </w:p>
        </w:tc>
        <w:tc>
          <w:tcPr>
            <w:tcW w:w="1570" w:type="dxa"/>
            <w:shd w:val="clear" w:color="auto" w:fill="auto"/>
            <w:hideMark/>
          </w:tcPr>
          <w:p w14:paraId="726BF345" w14:textId="77777777" w:rsidR="00E75692" w:rsidRPr="008E69CE" w:rsidRDefault="00E75692" w:rsidP="00EB0B3E">
            <w:pPr>
              <w:pStyle w:val="NormalWeb"/>
              <w:rPr>
                <w:sz w:val="18"/>
                <w:szCs w:val="18"/>
                <w:lang w:val="en-GB"/>
              </w:rPr>
            </w:pPr>
            <w:r w:rsidRPr="008E69CE">
              <w:rPr>
                <w:sz w:val="18"/>
                <w:szCs w:val="18"/>
                <w:lang w:val="en-GB"/>
              </w:rPr>
              <w:t>8/46 (17%)</w:t>
            </w:r>
          </w:p>
        </w:tc>
        <w:tc>
          <w:tcPr>
            <w:tcW w:w="1571" w:type="dxa"/>
            <w:vMerge/>
            <w:shd w:val="clear" w:color="auto" w:fill="auto"/>
            <w:hideMark/>
          </w:tcPr>
          <w:p w14:paraId="326094FB" w14:textId="77777777" w:rsidR="00E75692" w:rsidRPr="008E69CE" w:rsidRDefault="00E75692" w:rsidP="00EB0B3E">
            <w:pPr>
              <w:rPr>
                <w:sz w:val="18"/>
                <w:szCs w:val="18"/>
                <w:lang w:val="en-GB"/>
              </w:rPr>
            </w:pPr>
          </w:p>
        </w:tc>
      </w:tr>
      <w:tr w:rsidR="00E75692" w:rsidRPr="008E69CE" w14:paraId="1BB171C3" w14:textId="77777777" w:rsidTr="00AA708A">
        <w:trPr>
          <w:cnfStyle w:val="000000010000" w:firstRow="0" w:lastRow="0" w:firstColumn="0" w:lastColumn="0" w:oddVBand="0" w:evenVBand="0" w:oddHBand="0" w:evenHBand="1" w:firstRowFirstColumn="0" w:firstRowLastColumn="0" w:lastRowFirstColumn="0" w:lastRowLastColumn="0"/>
          <w:divId w:val="1323462985"/>
        </w:trPr>
        <w:tc>
          <w:tcPr>
            <w:tcW w:w="0" w:type="auto"/>
            <w:shd w:val="clear" w:color="auto" w:fill="auto"/>
            <w:hideMark/>
          </w:tcPr>
          <w:p w14:paraId="3CEC577B" w14:textId="77777777" w:rsidR="00E75692" w:rsidRPr="008E69CE" w:rsidRDefault="00E75692" w:rsidP="00EB0B3E">
            <w:pPr>
              <w:pStyle w:val="NormalWeb"/>
              <w:jc w:val="left"/>
              <w:rPr>
                <w:sz w:val="18"/>
                <w:szCs w:val="18"/>
                <w:lang w:val="en-GB"/>
              </w:rPr>
            </w:pPr>
            <w:r w:rsidRPr="008E69CE">
              <w:rPr>
                <w:sz w:val="18"/>
                <w:szCs w:val="18"/>
                <w:lang w:val="en-GB"/>
              </w:rPr>
              <w:t>Lives on a farm</w:t>
            </w:r>
          </w:p>
        </w:tc>
        <w:tc>
          <w:tcPr>
            <w:tcW w:w="1570" w:type="dxa"/>
            <w:shd w:val="clear" w:color="auto" w:fill="auto"/>
            <w:hideMark/>
          </w:tcPr>
          <w:p w14:paraId="51E4CBB2" w14:textId="77777777" w:rsidR="00E75692" w:rsidRPr="008E69CE" w:rsidRDefault="00E75692" w:rsidP="00EB0B3E">
            <w:pPr>
              <w:pStyle w:val="NormalWeb"/>
              <w:rPr>
                <w:sz w:val="18"/>
                <w:szCs w:val="18"/>
                <w:lang w:val="en-GB"/>
              </w:rPr>
            </w:pPr>
            <w:r w:rsidRPr="008E69CE">
              <w:rPr>
                <w:sz w:val="18"/>
                <w:szCs w:val="18"/>
                <w:lang w:val="en-GB"/>
              </w:rPr>
              <w:t>27/79 (34%)</w:t>
            </w:r>
          </w:p>
        </w:tc>
        <w:tc>
          <w:tcPr>
            <w:tcW w:w="1571" w:type="dxa"/>
            <w:shd w:val="clear" w:color="auto" w:fill="auto"/>
            <w:hideMark/>
          </w:tcPr>
          <w:p w14:paraId="5167467A" w14:textId="77777777" w:rsidR="00E75692" w:rsidRPr="008E69CE" w:rsidRDefault="00E75692" w:rsidP="00EB0B3E">
            <w:pPr>
              <w:pStyle w:val="NormalWeb"/>
              <w:rPr>
                <w:sz w:val="18"/>
                <w:szCs w:val="18"/>
                <w:lang w:val="en-GB"/>
              </w:rPr>
            </w:pPr>
            <w:r w:rsidRPr="008E69CE">
              <w:rPr>
                <w:sz w:val="18"/>
                <w:szCs w:val="18"/>
                <w:lang w:val="en-GB"/>
              </w:rPr>
              <w:t>13/33 (39%)</w:t>
            </w:r>
          </w:p>
        </w:tc>
        <w:tc>
          <w:tcPr>
            <w:tcW w:w="1570" w:type="dxa"/>
            <w:shd w:val="clear" w:color="auto" w:fill="auto"/>
            <w:hideMark/>
          </w:tcPr>
          <w:p w14:paraId="020795DC" w14:textId="77777777" w:rsidR="00E75692" w:rsidRPr="008E69CE" w:rsidRDefault="00E75692" w:rsidP="00EB0B3E">
            <w:pPr>
              <w:pStyle w:val="NormalWeb"/>
              <w:rPr>
                <w:sz w:val="18"/>
                <w:szCs w:val="18"/>
                <w:lang w:val="en-GB"/>
              </w:rPr>
            </w:pPr>
            <w:r w:rsidRPr="008E69CE">
              <w:rPr>
                <w:sz w:val="18"/>
                <w:szCs w:val="18"/>
                <w:lang w:val="en-GB"/>
              </w:rPr>
              <w:t>14/46 (30%)</w:t>
            </w:r>
          </w:p>
        </w:tc>
        <w:tc>
          <w:tcPr>
            <w:tcW w:w="1571" w:type="dxa"/>
            <w:vMerge/>
            <w:shd w:val="clear" w:color="auto" w:fill="auto"/>
            <w:hideMark/>
          </w:tcPr>
          <w:p w14:paraId="780CBCBC" w14:textId="77777777" w:rsidR="00E75692" w:rsidRPr="008E69CE" w:rsidRDefault="00E75692" w:rsidP="00EB0B3E">
            <w:pPr>
              <w:rPr>
                <w:sz w:val="18"/>
                <w:szCs w:val="18"/>
                <w:lang w:val="en-GB"/>
              </w:rPr>
            </w:pPr>
          </w:p>
        </w:tc>
      </w:tr>
      <w:tr w:rsidR="00AA708A" w:rsidRPr="008E69CE" w14:paraId="21FEA444" w14:textId="77777777" w:rsidTr="00AA708A">
        <w:trPr>
          <w:divId w:val="1323462985"/>
        </w:trPr>
        <w:tc>
          <w:tcPr>
            <w:tcW w:w="0" w:type="auto"/>
            <w:shd w:val="clear" w:color="auto" w:fill="auto"/>
            <w:hideMark/>
          </w:tcPr>
          <w:p w14:paraId="0165FAD1" w14:textId="77777777" w:rsidR="00E75692" w:rsidRPr="008E69CE" w:rsidRDefault="00E75692" w:rsidP="00EB0B3E">
            <w:pPr>
              <w:pStyle w:val="NormalWeb"/>
              <w:jc w:val="left"/>
              <w:rPr>
                <w:sz w:val="18"/>
                <w:szCs w:val="18"/>
                <w:lang w:val="en-GB"/>
              </w:rPr>
            </w:pPr>
            <w:r w:rsidRPr="008E69CE">
              <w:rPr>
                <w:sz w:val="18"/>
                <w:szCs w:val="18"/>
                <w:lang w:val="en-GB"/>
              </w:rPr>
              <w:t>Lives/works near abattoir/animal grazing area/saleyard</w:t>
            </w:r>
          </w:p>
        </w:tc>
        <w:tc>
          <w:tcPr>
            <w:tcW w:w="1570" w:type="dxa"/>
            <w:shd w:val="clear" w:color="auto" w:fill="auto"/>
            <w:hideMark/>
          </w:tcPr>
          <w:p w14:paraId="4053E783" w14:textId="77777777" w:rsidR="00E75692" w:rsidRPr="008E69CE" w:rsidRDefault="00E75692" w:rsidP="00EB0B3E">
            <w:pPr>
              <w:pStyle w:val="NormalWeb"/>
              <w:rPr>
                <w:sz w:val="18"/>
                <w:szCs w:val="18"/>
                <w:lang w:val="en-GB"/>
              </w:rPr>
            </w:pPr>
            <w:r w:rsidRPr="008E69CE">
              <w:rPr>
                <w:sz w:val="18"/>
                <w:szCs w:val="18"/>
                <w:lang w:val="en-GB"/>
              </w:rPr>
              <w:t>5/79 (6.3%)</w:t>
            </w:r>
          </w:p>
        </w:tc>
        <w:tc>
          <w:tcPr>
            <w:tcW w:w="1571" w:type="dxa"/>
            <w:shd w:val="clear" w:color="auto" w:fill="auto"/>
            <w:hideMark/>
          </w:tcPr>
          <w:p w14:paraId="6DE56049" w14:textId="77777777" w:rsidR="00E75692" w:rsidRPr="008E69CE" w:rsidRDefault="00E75692" w:rsidP="00EB0B3E">
            <w:pPr>
              <w:pStyle w:val="NormalWeb"/>
              <w:rPr>
                <w:sz w:val="18"/>
                <w:szCs w:val="18"/>
                <w:lang w:val="en-GB"/>
              </w:rPr>
            </w:pPr>
            <w:r w:rsidRPr="008E69CE">
              <w:rPr>
                <w:sz w:val="18"/>
                <w:szCs w:val="18"/>
                <w:lang w:val="en-GB"/>
              </w:rPr>
              <w:t>2/33 (6.1%)</w:t>
            </w:r>
          </w:p>
        </w:tc>
        <w:tc>
          <w:tcPr>
            <w:tcW w:w="1570" w:type="dxa"/>
            <w:shd w:val="clear" w:color="auto" w:fill="auto"/>
            <w:hideMark/>
          </w:tcPr>
          <w:p w14:paraId="13ABB1B4" w14:textId="77777777" w:rsidR="00E75692" w:rsidRPr="008E69CE" w:rsidRDefault="00E75692" w:rsidP="00EB0B3E">
            <w:pPr>
              <w:pStyle w:val="NormalWeb"/>
              <w:rPr>
                <w:sz w:val="18"/>
                <w:szCs w:val="18"/>
                <w:lang w:val="en-GB"/>
              </w:rPr>
            </w:pPr>
            <w:r w:rsidRPr="008E69CE">
              <w:rPr>
                <w:sz w:val="18"/>
                <w:szCs w:val="18"/>
                <w:lang w:val="en-GB"/>
              </w:rPr>
              <w:t>3/46 (6.5%)</w:t>
            </w:r>
          </w:p>
        </w:tc>
        <w:tc>
          <w:tcPr>
            <w:tcW w:w="1571" w:type="dxa"/>
            <w:vMerge/>
            <w:shd w:val="clear" w:color="auto" w:fill="auto"/>
            <w:hideMark/>
          </w:tcPr>
          <w:p w14:paraId="3CCD107F" w14:textId="77777777" w:rsidR="00E75692" w:rsidRPr="008E69CE" w:rsidRDefault="00E75692" w:rsidP="00EB0B3E">
            <w:pPr>
              <w:rPr>
                <w:sz w:val="18"/>
                <w:szCs w:val="18"/>
                <w:lang w:val="en-GB"/>
              </w:rPr>
            </w:pPr>
          </w:p>
        </w:tc>
      </w:tr>
      <w:tr w:rsidR="00E75692" w:rsidRPr="008E69CE" w14:paraId="215A2D65" w14:textId="77777777" w:rsidTr="00AA708A">
        <w:trPr>
          <w:cnfStyle w:val="000000010000" w:firstRow="0" w:lastRow="0" w:firstColumn="0" w:lastColumn="0" w:oddVBand="0" w:evenVBand="0" w:oddHBand="0" w:evenHBand="1" w:firstRowFirstColumn="0" w:firstRowLastColumn="0" w:lastRowFirstColumn="0" w:lastRowLastColumn="0"/>
          <w:divId w:val="1323462985"/>
        </w:trPr>
        <w:tc>
          <w:tcPr>
            <w:tcW w:w="0" w:type="auto"/>
            <w:shd w:val="clear" w:color="auto" w:fill="auto"/>
            <w:hideMark/>
          </w:tcPr>
          <w:p w14:paraId="40F08D29" w14:textId="77777777" w:rsidR="00E75692" w:rsidRPr="008E69CE" w:rsidRDefault="00E75692" w:rsidP="00EB0B3E">
            <w:pPr>
              <w:pStyle w:val="NormalWeb"/>
              <w:jc w:val="left"/>
              <w:rPr>
                <w:sz w:val="18"/>
                <w:szCs w:val="18"/>
                <w:lang w:val="en-GB"/>
              </w:rPr>
            </w:pPr>
            <w:r w:rsidRPr="008E69CE">
              <w:rPr>
                <w:sz w:val="18"/>
                <w:szCs w:val="18"/>
                <w:lang w:val="en-GB"/>
              </w:rPr>
              <w:t>Lives/works within 300 m of bush/scrub/forest area</w:t>
            </w:r>
          </w:p>
        </w:tc>
        <w:tc>
          <w:tcPr>
            <w:tcW w:w="1570" w:type="dxa"/>
            <w:shd w:val="clear" w:color="auto" w:fill="auto"/>
            <w:hideMark/>
          </w:tcPr>
          <w:p w14:paraId="67642A2B" w14:textId="77777777" w:rsidR="00E75692" w:rsidRPr="008E69CE" w:rsidRDefault="00E75692" w:rsidP="00EB0B3E">
            <w:pPr>
              <w:pStyle w:val="NormalWeb"/>
              <w:rPr>
                <w:sz w:val="18"/>
                <w:szCs w:val="18"/>
                <w:lang w:val="en-GB"/>
              </w:rPr>
            </w:pPr>
            <w:r w:rsidRPr="008E69CE">
              <w:rPr>
                <w:sz w:val="18"/>
                <w:szCs w:val="18"/>
                <w:lang w:val="en-GB"/>
              </w:rPr>
              <w:t>2/79 (2.5%)</w:t>
            </w:r>
          </w:p>
        </w:tc>
        <w:tc>
          <w:tcPr>
            <w:tcW w:w="1571" w:type="dxa"/>
            <w:shd w:val="clear" w:color="auto" w:fill="auto"/>
            <w:hideMark/>
          </w:tcPr>
          <w:p w14:paraId="08B2B061" w14:textId="77777777" w:rsidR="00E75692" w:rsidRPr="008E69CE" w:rsidRDefault="00E75692" w:rsidP="00EB0B3E">
            <w:pPr>
              <w:pStyle w:val="NormalWeb"/>
              <w:rPr>
                <w:sz w:val="18"/>
                <w:szCs w:val="18"/>
                <w:lang w:val="en-GB"/>
              </w:rPr>
            </w:pPr>
            <w:r w:rsidRPr="008E69CE">
              <w:rPr>
                <w:sz w:val="18"/>
                <w:szCs w:val="18"/>
                <w:lang w:val="en-GB"/>
              </w:rPr>
              <w:t>2/33 (6.1%)</w:t>
            </w:r>
          </w:p>
        </w:tc>
        <w:tc>
          <w:tcPr>
            <w:tcW w:w="1570" w:type="dxa"/>
            <w:shd w:val="clear" w:color="auto" w:fill="auto"/>
            <w:hideMark/>
          </w:tcPr>
          <w:p w14:paraId="4A253D46" w14:textId="77777777" w:rsidR="00E75692" w:rsidRPr="008E69CE" w:rsidRDefault="00E75692" w:rsidP="00EB0B3E">
            <w:pPr>
              <w:pStyle w:val="NormalWeb"/>
              <w:rPr>
                <w:sz w:val="18"/>
                <w:szCs w:val="18"/>
                <w:lang w:val="en-GB"/>
              </w:rPr>
            </w:pPr>
            <w:r w:rsidRPr="008E69CE">
              <w:rPr>
                <w:sz w:val="18"/>
                <w:szCs w:val="18"/>
                <w:lang w:val="en-GB"/>
              </w:rPr>
              <w:t>0/46 (0%)</w:t>
            </w:r>
          </w:p>
        </w:tc>
        <w:tc>
          <w:tcPr>
            <w:tcW w:w="1571" w:type="dxa"/>
            <w:vMerge/>
            <w:shd w:val="clear" w:color="auto" w:fill="auto"/>
            <w:hideMark/>
          </w:tcPr>
          <w:p w14:paraId="11AC7D93" w14:textId="77777777" w:rsidR="00E75692" w:rsidRPr="008E69CE" w:rsidRDefault="00E75692" w:rsidP="00EB0B3E">
            <w:pPr>
              <w:rPr>
                <w:sz w:val="18"/>
                <w:szCs w:val="18"/>
                <w:lang w:val="en-GB"/>
              </w:rPr>
            </w:pPr>
          </w:p>
        </w:tc>
      </w:tr>
      <w:tr w:rsidR="00AA708A" w:rsidRPr="008E69CE" w14:paraId="183E16E1" w14:textId="77777777" w:rsidTr="00AA708A">
        <w:trPr>
          <w:divId w:val="1323462985"/>
        </w:trPr>
        <w:tc>
          <w:tcPr>
            <w:tcW w:w="0" w:type="auto"/>
            <w:shd w:val="clear" w:color="auto" w:fill="auto"/>
            <w:hideMark/>
          </w:tcPr>
          <w:p w14:paraId="1B8C4FFD" w14:textId="77777777" w:rsidR="00E75692" w:rsidRPr="008E69CE" w:rsidRDefault="00E75692" w:rsidP="00EB0B3E">
            <w:pPr>
              <w:pStyle w:val="NormalWeb"/>
              <w:jc w:val="left"/>
              <w:rPr>
                <w:sz w:val="18"/>
                <w:szCs w:val="18"/>
                <w:lang w:val="en-GB"/>
              </w:rPr>
            </w:pPr>
            <w:r w:rsidRPr="008E69CE">
              <w:rPr>
                <w:sz w:val="18"/>
                <w:szCs w:val="18"/>
                <w:lang w:val="en-GB"/>
              </w:rPr>
              <w:t>Unpasteurised milk consumption</w:t>
            </w:r>
          </w:p>
        </w:tc>
        <w:tc>
          <w:tcPr>
            <w:tcW w:w="1570" w:type="dxa"/>
            <w:shd w:val="clear" w:color="auto" w:fill="auto"/>
            <w:hideMark/>
          </w:tcPr>
          <w:p w14:paraId="70E55DA5" w14:textId="77777777" w:rsidR="00E75692" w:rsidRPr="008E69CE" w:rsidRDefault="00E75692" w:rsidP="00EB0B3E">
            <w:pPr>
              <w:pStyle w:val="NormalWeb"/>
              <w:rPr>
                <w:sz w:val="18"/>
                <w:szCs w:val="18"/>
                <w:lang w:val="en-GB"/>
              </w:rPr>
            </w:pPr>
            <w:r w:rsidRPr="008E69CE">
              <w:rPr>
                <w:sz w:val="18"/>
                <w:szCs w:val="18"/>
                <w:lang w:val="en-GB"/>
              </w:rPr>
              <w:t>2/79 (2.5%)</w:t>
            </w:r>
          </w:p>
        </w:tc>
        <w:tc>
          <w:tcPr>
            <w:tcW w:w="1571" w:type="dxa"/>
            <w:shd w:val="clear" w:color="auto" w:fill="auto"/>
            <w:hideMark/>
          </w:tcPr>
          <w:p w14:paraId="2A4680BF" w14:textId="77777777" w:rsidR="00E75692" w:rsidRPr="008E69CE" w:rsidRDefault="00E75692" w:rsidP="00EB0B3E">
            <w:pPr>
              <w:pStyle w:val="NormalWeb"/>
              <w:rPr>
                <w:sz w:val="18"/>
                <w:szCs w:val="18"/>
                <w:lang w:val="en-GB"/>
              </w:rPr>
            </w:pPr>
            <w:r w:rsidRPr="008E69CE">
              <w:rPr>
                <w:sz w:val="18"/>
                <w:szCs w:val="18"/>
                <w:lang w:val="en-GB"/>
              </w:rPr>
              <w:t>1/33 (3.0%)</w:t>
            </w:r>
          </w:p>
        </w:tc>
        <w:tc>
          <w:tcPr>
            <w:tcW w:w="1570" w:type="dxa"/>
            <w:shd w:val="clear" w:color="auto" w:fill="auto"/>
            <w:hideMark/>
          </w:tcPr>
          <w:p w14:paraId="6DC5F853" w14:textId="77777777" w:rsidR="00E75692" w:rsidRPr="008E69CE" w:rsidRDefault="00E75692" w:rsidP="00EB0B3E">
            <w:pPr>
              <w:pStyle w:val="NormalWeb"/>
              <w:rPr>
                <w:sz w:val="18"/>
                <w:szCs w:val="18"/>
                <w:lang w:val="en-GB"/>
              </w:rPr>
            </w:pPr>
            <w:r w:rsidRPr="008E69CE">
              <w:rPr>
                <w:sz w:val="18"/>
                <w:szCs w:val="18"/>
                <w:lang w:val="en-GB"/>
              </w:rPr>
              <w:t>1/46 (2.2%)</w:t>
            </w:r>
          </w:p>
        </w:tc>
        <w:tc>
          <w:tcPr>
            <w:tcW w:w="1571" w:type="dxa"/>
            <w:vMerge/>
            <w:shd w:val="clear" w:color="auto" w:fill="auto"/>
            <w:hideMark/>
          </w:tcPr>
          <w:p w14:paraId="5ED4794B" w14:textId="77777777" w:rsidR="00E75692" w:rsidRPr="008E69CE" w:rsidRDefault="00E75692" w:rsidP="00EB0B3E">
            <w:pPr>
              <w:rPr>
                <w:sz w:val="18"/>
                <w:szCs w:val="18"/>
                <w:lang w:val="en-GB"/>
              </w:rPr>
            </w:pPr>
          </w:p>
        </w:tc>
      </w:tr>
      <w:tr w:rsidR="00E75692" w:rsidRPr="008E69CE" w14:paraId="7ECE2CA2" w14:textId="77777777" w:rsidTr="00AA708A">
        <w:trPr>
          <w:cnfStyle w:val="000000010000" w:firstRow="0" w:lastRow="0" w:firstColumn="0" w:lastColumn="0" w:oddVBand="0" w:evenVBand="0" w:oddHBand="0" w:evenHBand="1" w:firstRowFirstColumn="0" w:firstRowLastColumn="0" w:lastRowFirstColumn="0" w:lastRowLastColumn="0"/>
          <w:divId w:val="1323462985"/>
        </w:trPr>
        <w:tc>
          <w:tcPr>
            <w:tcW w:w="0" w:type="auto"/>
            <w:shd w:val="clear" w:color="auto" w:fill="auto"/>
            <w:hideMark/>
          </w:tcPr>
          <w:p w14:paraId="2100670B" w14:textId="77777777" w:rsidR="00E75692" w:rsidRPr="008E69CE" w:rsidRDefault="00E75692" w:rsidP="00EB0B3E">
            <w:pPr>
              <w:pStyle w:val="NormalWeb"/>
              <w:jc w:val="left"/>
              <w:rPr>
                <w:sz w:val="18"/>
                <w:szCs w:val="18"/>
                <w:lang w:val="en-GB"/>
              </w:rPr>
            </w:pPr>
            <w:r w:rsidRPr="008E69CE">
              <w:rPr>
                <w:sz w:val="18"/>
                <w:szCs w:val="18"/>
                <w:lang w:val="en-GB"/>
              </w:rPr>
              <w:t>Visited a farm or rural area</w:t>
            </w:r>
          </w:p>
        </w:tc>
        <w:tc>
          <w:tcPr>
            <w:tcW w:w="1570" w:type="dxa"/>
            <w:shd w:val="clear" w:color="auto" w:fill="auto"/>
            <w:hideMark/>
          </w:tcPr>
          <w:p w14:paraId="277DD868" w14:textId="77777777" w:rsidR="00E75692" w:rsidRPr="008E69CE" w:rsidRDefault="00E75692" w:rsidP="00EB0B3E">
            <w:pPr>
              <w:pStyle w:val="NormalWeb"/>
              <w:rPr>
                <w:sz w:val="18"/>
                <w:szCs w:val="18"/>
                <w:lang w:val="en-GB"/>
              </w:rPr>
            </w:pPr>
            <w:r w:rsidRPr="008E69CE">
              <w:rPr>
                <w:sz w:val="18"/>
                <w:szCs w:val="18"/>
                <w:lang w:val="en-GB"/>
              </w:rPr>
              <w:t>5/79 (6.3%)</w:t>
            </w:r>
          </w:p>
        </w:tc>
        <w:tc>
          <w:tcPr>
            <w:tcW w:w="1571" w:type="dxa"/>
            <w:shd w:val="clear" w:color="auto" w:fill="auto"/>
            <w:hideMark/>
          </w:tcPr>
          <w:p w14:paraId="21E3C53B" w14:textId="77777777" w:rsidR="00E75692" w:rsidRPr="008E69CE" w:rsidRDefault="00E75692" w:rsidP="00EB0B3E">
            <w:pPr>
              <w:pStyle w:val="NormalWeb"/>
              <w:rPr>
                <w:sz w:val="18"/>
                <w:szCs w:val="18"/>
                <w:lang w:val="en-GB"/>
              </w:rPr>
            </w:pPr>
            <w:r w:rsidRPr="008E69CE">
              <w:rPr>
                <w:sz w:val="18"/>
                <w:szCs w:val="18"/>
                <w:lang w:val="en-GB"/>
              </w:rPr>
              <w:t>0/33 (0%)</w:t>
            </w:r>
          </w:p>
        </w:tc>
        <w:tc>
          <w:tcPr>
            <w:tcW w:w="1570" w:type="dxa"/>
            <w:shd w:val="clear" w:color="auto" w:fill="auto"/>
            <w:hideMark/>
          </w:tcPr>
          <w:p w14:paraId="3A122BCB" w14:textId="77777777" w:rsidR="00E75692" w:rsidRPr="008E69CE" w:rsidRDefault="00E75692" w:rsidP="00EB0B3E">
            <w:pPr>
              <w:pStyle w:val="NormalWeb"/>
              <w:rPr>
                <w:sz w:val="18"/>
                <w:szCs w:val="18"/>
                <w:lang w:val="en-GB"/>
              </w:rPr>
            </w:pPr>
            <w:r w:rsidRPr="008E69CE">
              <w:rPr>
                <w:sz w:val="18"/>
                <w:szCs w:val="18"/>
                <w:lang w:val="en-GB"/>
              </w:rPr>
              <w:t>5/46 (11%)</w:t>
            </w:r>
          </w:p>
        </w:tc>
        <w:tc>
          <w:tcPr>
            <w:tcW w:w="1571" w:type="dxa"/>
            <w:vMerge/>
            <w:shd w:val="clear" w:color="auto" w:fill="auto"/>
            <w:hideMark/>
          </w:tcPr>
          <w:p w14:paraId="6626EFE6" w14:textId="77777777" w:rsidR="00E75692" w:rsidRPr="008E69CE" w:rsidRDefault="00E75692" w:rsidP="00EB0B3E">
            <w:pPr>
              <w:rPr>
                <w:sz w:val="18"/>
                <w:szCs w:val="18"/>
                <w:lang w:val="en-GB"/>
              </w:rPr>
            </w:pPr>
          </w:p>
        </w:tc>
      </w:tr>
      <w:tr w:rsidR="00AA708A" w:rsidRPr="008E69CE" w14:paraId="52EA4E1A" w14:textId="77777777" w:rsidTr="00AA708A">
        <w:trPr>
          <w:divId w:val="1323462985"/>
        </w:trPr>
        <w:tc>
          <w:tcPr>
            <w:tcW w:w="0" w:type="auto"/>
            <w:shd w:val="clear" w:color="auto" w:fill="auto"/>
            <w:hideMark/>
          </w:tcPr>
          <w:p w14:paraId="46933A23" w14:textId="77777777" w:rsidR="00E75692" w:rsidRPr="008E69CE" w:rsidRDefault="00E75692" w:rsidP="00EB0B3E">
            <w:pPr>
              <w:pStyle w:val="NormalWeb"/>
              <w:jc w:val="left"/>
              <w:rPr>
                <w:sz w:val="18"/>
                <w:szCs w:val="18"/>
                <w:lang w:val="en-GB"/>
              </w:rPr>
            </w:pPr>
            <w:r w:rsidRPr="008E69CE">
              <w:rPr>
                <w:sz w:val="18"/>
                <w:szCs w:val="18"/>
                <w:lang w:val="en-GB"/>
              </w:rPr>
              <w:t>Works in abattoir</w:t>
            </w:r>
          </w:p>
        </w:tc>
        <w:tc>
          <w:tcPr>
            <w:tcW w:w="1570" w:type="dxa"/>
            <w:shd w:val="clear" w:color="auto" w:fill="auto"/>
            <w:hideMark/>
          </w:tcPr>
          <w:p w14:paraId="192A3126" w14:textId="77777777" w:rsidR="00E75692" w:rsidRPr="008E69CE" w:rsidRDefault="00E75692" w:rsidP="00EB0B3E">
            <w:pPr>
              <w:pStyle w:val="NormalWeb"/>
              <w:rPr>
                <w:sz w:val="18"/>
                <w:szCs w:val="18"/>
                <w:lang w:val="en-GB"/>
              </w:rPr>
            </w:pPr>
            <w:r w:rsidRPr="008E69CE">
              <w:rPr>
                <w:sz w:val="18"/>
                <w:szCs w:val="18"/>
                <w:lang w:val="en-GB"/>
              </w:rPr>
              <w:t>1/79 (1.3%)</w:t>
            </w:r>
          </w:p>
        </w:tc>
        <w:tc>
          <w:tcPr>
            <w:tcW w:w="1571" w:type="dxa"/>
            <w:shd w:val="clear" w:color="auto" w:fill="auto"/>
            <w:hideMark/>
          </w:tcPr>
          <w:p w14:paraId="02AC4FE2" w14:textId="77777777" w:rsidR="00E75692" w:rsidRPr="008E69CE" w:rsidRDefault="00E75692" w:rsidP="00EB0B3E">
            <w:pPr>
              <w:pStyle w:val="NormalWeb"/>
              <w:rPr>
                <w:sz w:val="18"/>
                <w:szCs w:val="18"/>
                <w:lang w:val="en-GB"/>
              </w:rPr>
            </w:pPr>
            <w:r w:rsidRPr="008E69CE">
              <w:rPr>
                <w:sz w:val="18"/>
                <w:szCs w:val="18"/>
                <w:lang w:val="en-GB"/>
              </w:rPr>
              <w:t>1/33 (3.0%)</w:t>
            </w:r>
          </w:p>
        </w:tc>
        <w:tc>
          <w:tcPr>
            <w:tcW w:w="1570" w:type="dxa"/>
            <w:shd w:val="clear" w:color="auto" w:fill="auto"/>
            <w:hideMark/>
          </w:tcPr>
          <w:p w14:paraId="278132BF" w14:textId="77777777" w:rsidR="00E75692" w:rsidRPr="008E69CE" w:rsidRDefault="00E75692" w:rsidP="00EB0B3E">
            <w:pPr>
              <w:pStyle w:val="NormalWeb"/>
              <w:rPr>
                <w:sz w:val="18"/>
                <w:szCs w:val="18"/>
                <w:lang w:val="en-GB"/>
              </w:rPr>
            </w:pPr>
            <w:r w:rsidRPr="008E69CE">
              <w:rPr>
                <w:sz w:val="18"/>
                <w:szCs w:val="18"/>
                <w:lang w:val="en-GB"/>
              </w:rPr>
              <w:t>0/46 (0%)</w:t>
            </w:r>
          </w:p>
        </w:tc>
        <w:tc>
          <w:tcPr>
            <w:tcW w:w="1571" w:type="dxa"/>
            <w:vMerge/>
            <w:shd w:val="clear" w:color="auto" w:fill="auto"/>
            <w:hideMark/>
          </w:tcPr>
          <w:p w14:paraId="22849239" w14:textId="77777777" w:rsidR="00E75692" w:rsidRPr="008E69CE" w:rsidRDefault="00E75692" w:rsidP="00EB0B3E">
            <w:pPr>
              <w:rPr>
                <w:sz w:val="18"/>
                <w:szCs w:val="18"/>
                <w:lang w:val="en-GB"/>
              </w:rPr>
            </w:pPr>
          </w:p>
        </w:tc>
      </w:tr>
      <w:tr w:rsidR="00E75692" w:rsidRPr="008E69CE" w14:paraId="4D9D8D78" w14:textId="77777777" w:rsidTr="00AA708A">
        <w:trPr>
          <w:cnfStyle w:val="000000010000" w:firstRow="0" w:lastRow="0" w:firstColumn="0" w:lastColumn="0" w:oddVBand="0" w:evenVBand="0" w:oddHBand="0" w:evenHBand="1" w:firstRowFirstColumn="0" w:firstRowLastColumn="0" w:lastRowFirstColumn="0" w:lastRowLastColumn="0"/>
          <w:divId w:val="1323462985"/>
        </w:trPr>
        <w:tc>
          <w:tcPr>
            <w:tcW w:w="0" w:type="auto"/>
            <w:shd w:val="clear" w:color="auto" w:fill="auto"/>
            <w:hideMark/>
          </w:tcPr>
          <w:p w14:paraId="01C31A89" w14:textId="77777777" w:rsidR="00E75692" w:rsidRPr="008E69CE" w:rsidRDefault="00E75692" w:rsidP="00EB0B3E">
            <w:pPr>
              <w:pStyle w:val="NormalWeb"/>
              <w:jc w:val="left"/>
              <w:rPr>
                <w:sz w:val="18"/>
                <w:szCs w:val="18"/>
                <w:lang w:val="en-GB"/>
              </w:rPr>
            </w:pPr>
            <w:r w:rsidRPr="008E69CE">
              <w:rPr>
                <w:sz w:val="18"/>
                <w:szCs w:val="18"/>
                <w:lang w:val="en-GB"/>
              </w:rPr>
              <w:t>Works in livestock transport</w:t>
            </w:r>
          </w:p>
        </w:tc>
        <w:tc>
          <w:tcPr>
            <w:tcW w:w="1570" w:type="dxa"/>
            <w:shd w:val="clear" w:color="auto" w:fill="auto"/>
            <w:hideMark/>
          </w:tcPr>
          <w:p w14:paraId="34DD9A24" w14:textId="77777777" w:rsidR="00E75692" w:rsidRPr="008E69CE" w:rsidRDefault="00E75692" w:rsidP="00EB0B3E">
            <w:pPr>
              <w:pStyle w:val="NormalWeb"/>
              <w:rPr>
                <w:sz w:val="18"/>
                <w:szCs w:val="18"/>
                <w:lang w:val="en-GB"/>
              </w:rPr>
            </w:pPr>
            <w:r w:rsidRPr="008E69CE">
              <w:rPr>
                <w:sz w:val="18"/>
                <w:szCs w:val="18"/>
                <w:lang w:val="en-GB"/>
              </w:rPr>
              <w:t>2/79 (2.5%)</w:t>
            </w:r>
          </w:p>
        </w:tc>
        <w:tc>
          <w:tcPr>
            <w:tcW w:w="1571" w:type="dxa"/>
            <w:shd w:val="clear" w:color="auto" w:fill="auto"/>
            <w:hideMark/>
          </w:tcPr>
          <w:p w14:paraId="346F1C8A" w14:textId="77777777" w:rsidR="00E75692" w:rsidRPr="008E69CE" w:rsidRDefault="00E75692" w:rsidP="00EB0B3E">
            <w:pPr>
              <w:pStyle w:val="NormalWeb"/>
              <w:rPr>
                <w:sz w:val="18"/>
                <w:szCs w:val="18"/>
                <w:lang w:val="en-GB"/>
              </w:rPr>
            </w:pPr>
            <w:r w:rsidRPr="008E69CE">
              <w:rPr>
                <w:sz w:val="18"/>
                <w:szCs w:val="18"/>
                <w:lang w:val="en-GB"/>
              </w:rPr>
              <w:t>2/33 (6.1%)</w:t>
            </w:r>
          </w:p>
        </w:tc>
        <w:tc>
          <w:tcPr>
            <w:tcW w:w="1570" w:type="dxa"/>
            <w:shd w:val="clear" w:color="auto" w:fill="auto"/>
            <w:hideMark/>
          </w:tcPr>
          <w:p w14:paraId="25A6B339" w14:textId="77777777" w:rsidR="00E75692" w:rsidRPr="008E69CE" w:rsidRDefault="00E75692" w:rsidP="00EB0B3E">
            <w:pPr>
              <w:pStyle w:val="NormalWeb"/>
              <w:rPr>
                <w:sz w:val="18"/>
                <w:szCs w:val="18"/>
                <w:lang w:val="en-GB"/>
              </w:rPr>
            </w:pPr>
            <w:r w:rsidRPr="008E69CE">
              <w:rPr>
                <w:sz w:val="18"/>
                <w:szCs w:val="18"/>
                <w:lang w:val="en-GB"/>
              </w:rPr>
              <w:t>0/46 (0%)</w:t>
            </w:r>
          </w:p>
        </w:tc>
        <w:tc>
          <w:tcPr>
            <w:tcW w:w="1571" w:type="dxa"/>
            <w:vMerge/>
            <w:shd w:val="clear" w:color="auto" w:fill="auto"/>
            <w:hideMark/>
          </w:tcPr>
          <w:p w14:paraId="07366A6D" w14:textId="77777777" w:rsidR="00E75692" w:rsidRPr="008E69CE" w:rsidRDefault="00E75692" w:rsidP="00EB0B3E">
            <w:pPr>
              <w:rPr>
                <w:sz w:val="18"/>
                <w:szCs w:val="18"/>
                <w:lang w:val="en-GB"/>
              </w:rPr>
            </w:pPr>
          </w:p>
        </w:tc>
      </w:tr>
      <w:tr w:rsidR="00E75692" w:rsidRPr="008E69CE" w14:paraId="0A63DE43" w14:textId="77777777" w:rsidTr="00AA708A">
        <w:trPr>
          <w:divId w:val="1323462985"/>
        </w:trPr>
        <w:tc>
          <w:tcPr>
            <w:tcW w:w="0" w:type="auto"/>
            <w:shd w:val="clear" w:color="auto" w:fill="auto"/>
            <w:hideMark/>
          </w:tcPr>
          <w:p w14:paraId="30492570" w14:textId="77777777" w:rsidR="00E75692" w:rsidRPr="008E69CE" w:rsidRDefault="00E75692" w:rsidP="00EB0B3E">
            <w:pPr>
              <w:pStyle w:val="NormalWeb"/>
              <w:jc w:val="left"/>
              <w:rPr>
                <w:sz w:val="18"/>
                <w:szCs w:val="18"/>
                <w:lang w:val="en-GB"/>
              </w:rPr>
            </w:pPr>
            <w:r w:rsidRPr="008E69CE">
              <w:rPr>
                <w:sz w:val="18"/>
                <w:szCs w:val="18"/>
                <w:lang w:val="en-GB"/>
              </w:rPr>
              <w:t>Works on a farm</w:t>
            </w:r>
          </w:p>
        </w:tc>
        <w:tc>
          <w:tcPr>
            <w:tcW w:w="1570" w:type="dxa"/>
            <w:shd w:val="clear" w:color="auto" w:fill="auto"/>
            <w:hideMark/>
          </w:tcPr>
          <w:p w14:paraId="012E024C" w14:textId="77777777" w:rsidR="00E75692" w:rsidRPr="008E69CE" w:rsidRDefault="00E75692" w:rsidP="00EB0B3E">
            <w:pPr>
              <w:pStyle w:val="NormalWeb"/>
              <w:rPr>
                <w:sz w:val="18"/>
                <w:szCs w:val="18"/>
                <w:lang w:val="en-GB"/>
              </w:rPr>
            </w:pPr>
            <w:r w:rsidRPr="008E69CE">
              <w:rPr>
                <w:sz w:val="18"/>
                <w:szCs w:val="18"/>
                <w:lang w:val="en-GB"/>
              </w:rPr>
              <w:t>1/79 (1.3%)</w:t>
            </w:r>
          </w:p>
        </w:tc>
        <w:tc>
          <w:tcPr>
            <w:tcW w:w="1571" w:type="dxa"/>
            <w:shd w:val="clear" w:color="auto" w:fill="auto"/>
            <w:hideMark/>
          </w:tcPr>
          <w:p w14:paraId="5D1AD175" w14:textId="77777777" w:rsidR="00E75692" w:rsidRPr="008E69CE" w:rsidRDefault="00E75692" w:rsidP="00EB0B3E">
            <w:pPr>
              <w:pStyle w:val="NormalWeb"/>
              <w:rPr>
                <w:sz w:val="18"/>
                <w:szCs w:val="18"/>
                <w:lang w:val="en-GB"/>
              </w:rPr>
            </w:pPr>
            <w:r w:rsidRPr="008E69CE">
              <w:rPr>
                <w:sz w:val="18"/>
                <w:szCs w:val="18"/>
                <w:lang w:val="en-GB"/>
              </w:rPr>
              <w:t>0/33 (0%)</w:t>
            </w:r>
          </w:p>
        </w:tc>
        <w:tc>
          <w:tcPr>
            <w:tcW w:w="1570" w:type="dxa"/>
            <w:shd w:val="clear" w:color="auto" w:fill="auto"/>
            <w:hideMark/>
          </w:tcPr>
          <w:p w14:paraId="68E26A04" w14:textId="77777777" w:rsidR="00E75692" w:rsidRPr="008E69CE" w:rsidRDefault="00E75692" w:rsidP="00EB0B3E">
            <w:pPr>
              <w:pStyle w:val="NormalWeb"/>
              <w:rPr>
                <w:sz w:val="18"/>
                <w:szCs w:val="18"/>
                <w:lang w:val="en-GB"/>
              </w:rPr>
            </w:pPr>
            <w:r w:rsidRPr="008E69CE">
              <w:rPr>
                <w:sz w:val="18"/>
                <w:szCs w:val="18"/>
                <w:lang w:val="en-GB"/>
              </w:rPr>
              <w:t>1/46 (2.2%)</w:t>
            </w:r>
          </w:p>
        </w:tc>
        <w:tc>
          <w:tcPr>
            <w:tcW w:w="1571" w:type="dxa"/>
            <w:vMerge/>
            <w:shd w:val="clear" w:color="auto" w:fill="auto"/>
            <w:hideMark/>
          </w:tcPr>
          <w:p w14:paraId="510A1210" w14:textId="77777777" w:rsidR="00E75692" w:rsidRPr="008E69CE" w:rsidRDefault="00E75692" w:rsidP="00EB0B3E">
            <w:pPr>
              <w:rPr>
                <w:sz w:val="18"/>
                <w:szCs w:val="18"/>
                <w:lang w:val="en-GB"/>
              </w:rPr>
            </w:pPr>
          </w:p>
        </w:tc>
      </w:tr>
      <w:tr w:rsidR="00E75692" w:rsidRPr="008E69CE" w14:paraId="5276D407" w14:textId="77777777" w:rsidTr="00AA708A">
        <w:trPr>
          <w:cnfStyle w:val="000000010000" w:firstRow="0" w:lastRow="0" w:firstColumn="0" w:lastColumn="0" w:oddVBand="0" w:evenVBand="0" w:oddHBand="0" w:evenHBand="1" w:firstRowFirstColumn="0" w:firstRowLastColumn="0" w:lastRowFirstColumn="0" w:lastRowLastColumn="0"/>
          <w:divId w:val="1323462985"/>
        </w:trPr>
        <w:tc>
          <w:tcPr>
            <w:tcW w:w="0" w:type="auto"/>
            <w:tcBorders>
              <w:bottom w:val="single" w:sz="2" w:space="0" w:color="808080" w:themeColor="background1" w:themeShade="80"/>
            </w:tcBorders>
            <w:shd w:val="clear" w:color="auto" w:fill="auto"/>
            <w:hideMark/>
          </w:tcPr>
          <w:p w14:paraId="345259C7" w14:textId="77777777" w:rsidR="00E75692" w:rsidRPr="008E69CE" w:rsidRDefault="00E75692" w:rsidP="00EB0B3E">
            <w:pPr>
              <w:pStyle w:val="NormalWeb"/>
              <w:jc w:val="left"/>
              <w:rPr>
                <w:sz w:val="18"/>
                <w:szCs w:val="18"/>
                <w:lang w:val="en-GB"/>
              </w:rPr>
            </w:pPr>
            <w:r w:rsidRPr="008E69CE">
              <w:rPr>
                <w:sz w:val="18"/>
                <w:szCs w:val="18"/>
                <w:lang w:val="en-GB"/>
              </w:rPr>
              <w:t>Unknown</w:t>
            </w:r>
          </w:p>
        </w:tc>
        <w:tc>
          <w:tcPr>
            <w:tcW w:w="1570" w:type="dxa"/>
            <w:tcBorders>
              <w:bottom w:val="single" w:sz="2" w:space="0" w:color="808080" w:themeColor="background1" w:themeShade="80"/>
            </w:tcBorders>
            <w:shd w:val="clear" w:color="auto" w:fill="auto"/>
            <w:hideMark/>
          </w:tcPr>
          <w:p w14:paraId="564AEBED" w14:textId="77777777" w:rsidR="00E75692" w:rsidRPr="008E69CE" w:rsidRDefault="00E75692" w:rsidP="00EB0B3E">
            <w:pPr>
              <w:pStyle w:val="NormalWeb"/>
              <w:rPr>
                <w:sz w:val="18"/>
                <w:szCs w:val="18"/>
                <w:lang w:val="en-GB"/>
              </w:rPr>
            </w:pPr>
            <w:r w:rsidRPr="008E69CE">
              <w:rPr>
                <w:sz w:val="18"/>
                <w:szCs w:val="18"/>
                <w:lang w:val="en-GB"/>
              </w:rPr>
              <w:t>8</w:t>
            </w:r>
          </w:p>
        </w:tc>
        <w:tc>
          <w:tcPr>
            <w:tcW w:w="1571" w:type="dxa"/>
            <w:tcBorders>
              <w:bottom w:val="single" w:sz="2" w:space="0" w:color="808080" w:themeColor="background1" w:themeShade="80"/>
            </w:tcBorders>
            <w:shd w:val="clear" w:color="auto" w:fill="auto"/>
            <w:hideMark/>
          </w:tcPr>
          <w:p w14:paraId="1349CBA0" w14:textId="77777777" w:rsidR="00E75692" w:rsidRPr="008E69CE" w:rsidRDefault="00E75692" w:rsidP="00EB0B3E">
            <w:pPr>
              <w:pStyle w:val="NormalWeb"/>
              <w:rPr>
                <w:sz w:val="18"/>
                <w:szCs w:val="18"/>
                <w:lang w:val="en-GB"/>
              </w:rPr>
            </w:pPr>
            <w:r w:rsidRPr="008E69CE">
              <w:rPr>
                <w:sz w:val="18"/>
                <w:szCs w:val="18"/>
                <w:lang w:val="en-GB"/>
              </w:rPr>
              <w:t>5</w:t>
            </w:r>
          </w:p>
        </w:tc>
        <w:tc>
          <w:tcPr>
            <w:tcW w:w="1570" w:type="dxa"/>
            <w:tcBorders>
              <w:bottom w:val="single" w:sz="2" w:space="0" w:color="808080" w:themeColor="background1" w:themeShade="80"/>
            </w:tcBorders>
            <w:shd w:val="clear" w:color="auto" w:fill="auto"/>
            <w:hideMark/>
          </w:tcPr>
          <w:p w14:paraId="11157B84" w14:textId="77777777" w:rsidR="00E75692" w:rsidRPr="008E69CE" w:rsidRDefault="00E75692" w:rsidP="00EB0B3E">
            <w:pPr>
              <w:pStyle w:val="NormalWeb"/>
              <w:rPr>
                <w:sz w:val="18"/>
                <w:szCs w:val="18"/>
                <w:lang w:val="en-GB"/>
              </w:rPr>
            </w:pPr>
            <w:r w:rsidRPr="008E69CE">
              <w:rPr>
                <w:sz w:val="18"/>
                <w:szCs w:val="18"/>
                <w:lang w:val="en-GB"/>
              </w:rPr>
              <w:t>3</w:t>
            </w:r>
          </w:p>
        </w:tc>
        <w:tc>
          <w:tcPr>
            <w:tcW w:w="1571" w:type="dxa"/>
            <w:vMerge/>
            <w:tcBorders>
              <w:bottom w:val="single" w:sz="2" w:space="0" w:color="808080" w:themeColor="background1" w:themeShade="80"/>
            </w:tcBorders>
            <w:shd w:val="clear" w:color="auto" w:fill="auto"/>
            <w:hideMark/>
          </w:tcPr>
          <w:p w14:paraId="003027E3" w14:textId="77777777" w:rsidR="00E75692" w:rsidRPr="008E69CE" w:rsidRDefault="00E75692" w:rsidP="00EB0B3E">
            <w:pPr>
              <w:rPr>
                <w:sz w:val="18"/>
                <w:szCs w:val="18"/>
                <w:lang w:val="en-GB"/>
              </w:rPr>
            </w:pPr>
          </w:p>
        </w:tc>
      </w:tr>
    </w:tbl>
    <w:p w14:paraId="647B3353" w14:textId="451A8D07" w:rsidR="00E75692" w:rsidRPr="00E75692" w:rsidRDefault="00E75692" w:rsidP="00E75692">
      <w:pPr>
        <w:pStyle w:val="CDIfootnotes"/>
        <w:divId w:val="1323462985"/>
        <w:rPr>
          <w:b/>
          <w:bCs/>
          <w:lang w:val="en-GB"/>
        </w:rPr>
      </w:pPr>
      <w:r>
        <w:rPr>
          <w:lang w:val="en-GB"/>
        </w:rPr>
        <w:t>a</w:t>
      </w:r>
      <w:r>
        <w:rPr>
          <w:lang w:val="en-GB"/>
        </w:rPr>
        <w:tab/>
        <w:t>Pearson’s Chi-squared test or Fisher’s exact test, as appropriate.</w:t>
      </w:r>
    </w:p>
    <w:p w14:paraId="179A3C5F" w14:textId="77777777" w:rsidR="005931CC" w:rsidRDefault="005931CC">
      <w:pPr>
        <w:rPr>
          <w:rStyle w:val="Strong"/>
          <w:bCs w:val="0"/>
        </w:rPr>
      </w:pPr>
      <w:r>
        <w:rPr>
          <w:rStyle w:val="Strong"/>
          <w:b w:val="0"/>
          <w:bCs w:val="0"/>
        </w:rPr>
        <w:br w:type="page"/>
      </w:r>
    </w:p>
    <w:p w14:paraId="5B13847F" w14:textId="09DDA89D" w:rsidR="00E75692" w:rsidRPr="006F10CB" w:rsidRDefault="00E75692" w:rsidP="00E75692">
      <w:pPr>
        <w:pStyle w:val="CDIFigures"/>
        <w:divId w:val="1323462985"/>
      </w:pPr>
      <w:r w:rsidRPr="006F10CB">
        <w:rPr>
          <w:rStyle w:val="Strong"/>
          <w:b/>
          <w:bCs w:val="0"/>
        </w:rPr>
        <w:lastRenderedPageBreak/>
        <w:t>Table 3: Incidence rates and incidence rate ratios (IRR) of Q fever cases per 100,000 population, by year and five-year comparison (2013–2022)</w:t>
      </w:r>
    </w:p>
    <w:tbl>
      <w:tblPr>
        <w:tblStyle w:val="CDI-StandardTable"/>
        <w:tblW w:w="0" w:type="auto"/>
        <w:tblLook w:val="04A0" w:firstRow="1" w:lastRow="0" w:firstColumn="1" w:lastColumn="0" w:noHBand="0" w:noVBand="1"/>
        <w:tblDescription w:val="Annual incidence rates of Q fever cases over the past 10 years, with incidence rate ratios calculated compared to previous years. This shows the change in incidence rate on an annual basis. Part ii) splits the data into the same five-year periods discussed previously, in order to demonstrate a higher level view of changes in incidence rate."/>
      </w:tblPr>
      <w:tblGrid>
        <w:gridCol w:w="1985"/>
        <w:gridCol w:w="2410"/>
        <w:gridCol w:w="1559"/>
        <w:gridCol w:w="1843"/>
        <w:gridCol w:w="1864"/>
        <w:gridCol w:w="805"/>
      </w:tblGrid>
      <w:tr w:rsidR="00E75692" w:rsidRPr="004F20DE" w14:paraId="1C7F8B7F" w14:textId="77777777" w:rsidTr="00606564">
        <w:trPr>
          <w:cnfStyle w:val="100000000000" w:firstRow="1" w:lastRow="0" w:firstColumn="0" w:lastColumn="0" w:oddVBand="0" w:evenVBand="0" w:oddHBand="0" w:evenHBand="0" w:firstRowFirstColumn="0" w:firstRowLastColumn="0" w:lastRowFirstColumn="0" w:lastRowLastColumn="0"/>
          <w:divId w:val="1323462985"/>
        </w:trPr>
        <w:tc>
          <w:tcPr>
            <w:tcW w:w="1985" w:type="dxa"/>
            <w:tcBorders>
              <w:bottom w:val="single" w:sz="2" w:space="0" w:color="808080" w:themeColor="background1" w:themeShade="80"/>
              <w:right w:val="single" w:sz="2" w:space="0" w:color="F7ECDD"/>
            </w:tcBorders>
            <w:hideMark/>
          </w:tcPr>
          <w:p w14:paraId="16CEE484" w14:textId="77777777" w:rsidR="00E75692" w:rsidRPr="004F20DE" w:rsidRDefault="00E75692" w:rsidP="00EB0B3E">
            <w:pPr>
              <w:pStyle w:val="NormalWeb"/>
              <w:jc w:val="left"/>
              <w:rPr>
                <w:sz w:val="18"/>
                <w:szCs w:val="18"/>
                <w:lang w:val="en-GB"/>
              </w:rPr>
            </w:pPr>
            <w:r w:rsidRPr="004F20DE">
              <w:rPr>
                <w:sz w:val="18"/>
                <w:szCs w:val="18"/>
                <w:lang w:val="en-GB"/>
              </w:rPr>
              <w:t>Comparison period</w:t>
            </w:r>
          </w:p>
        </w:tc>
        <w:tc>
          <w:tcPr>
            <w:tcW w:w="2410" w:type="dxa"/>
            <w:tcBorders>
              <w:left w:val="single" w:sz="2" w:space="0" w:color="F7ECDD"/>
              <w:bottom w:val="single" w:sz="2" w:space="0" w:color="808080" w:themeColor="background1" w:themeShade="80"/>
              <w:right w:val="single" w:sz="2" w:space="0" w:color="F7ECDD"/>
            </w:tcBorders>
            <w:hideMark/>
          </w:tcPr>
          <w:p w14:paraId="1A215068" w14:textId="77777777" w:rsidR="00E75692" w:rsidRPr="004F20DE" w:rsidRDefault="00E75692" w:rsidP="00EB0B3E">
            <w:pPr>
              <w:pStyle w:val="NormalWeb"/>
              <w:rPr>
                <w:sz w:val="18"/>
                <w:szCs w:val="18"/>
                <w:lang w:val="en-GB"/>
              </w:rPr>
            </w:pPr>
            <w:r w:rsidRPr="004F20DE">
              <w:rPr>
                <w:sz w:val="18"/>
                <w:szCs w:val="18"/>
                <w:lang w:val="en-GB"/>
              </w:rPr>
              <w:t>Interval</w:t>
            </w:r>
          </w:p>
        </w:tc>
        <w:tc>
          <w:tcPr>
            <w:tcW w:w="1559" w:type="dxa"/>
            <w:tcBorders>
              <w:left w:val="single" w:sz="2" w:space="0" w:color="F7ECDD"/>
              <w:bottom w:val="single" w:sz="2" w:space="0" w:color="808080" w:themeColor="background1" w:themeShade="80"/>
              <w:right w:val="single" w:sz="2" w:space="0" w:color="F7ECDD"/>
            </w:tcBorders>
            <w:hideMark/>
          </w:tcPr>
          <w:p w14:paraId="0B165EF5" w14:textId="77777777" w:rsidR="00E75692" w:rsidRPr="004F20DE" w:rsidRDefault="00E75692" w:rsidP="00EB0B3E">
            <w:pPr>
              <w:pStyle w:val="NormalWeb"/>
              <w:rPr>
                <w:sz w:val="18"/>
                <w:szCs w:val="18"/>
                <w:lang w:val="en-GB"/>
              </w:rPr>
            </w:pPr>
            <w:r w:rsidRPr="004F20DE">
              <w:rPr>
                <w:sz w:val="18"/>
                <w:szCs w:val="18"/>
                <w:lang w:val="en-GB"/>
              </w:rPr>
              <w:t>Number of Q fever</w:t>
            </w:r>
            <w:r w:rsidRPr="004F20DE">
              <w:rPr>
                <w:sz w:val="18"/>
                <w:szCs w:val="18"/>
                <w:lang w:val="en-GB"/>
              </w:rPr>
              <w:br/>
              <w:t>cases notified</w:t>
            </w:r>
          </w:p>
        </w:tc>
        <w:tc>
          <w:tcPr>
            <w:tcW w:w="1843" w:type="dxa"/>
            <w:tcBorders>
              <w:left w:val="single" w:sz="2" w:space="0" w:color="F7ECDD"/>
              <w:bottom w:val="single" w:sz="2" w:space="0" w:color="808080" w:themeColor="background1" w:themeShade="80"/>
              <w:right w:val="single" w:sz="2" w:space="0" w:color="F7ECDD"/>
            </w:tcBorders>
            <w:hideMark/>
          </w:tcPr>
          <w:p w14:paraId="744580D1" w14:textId="77777777" w:rsidR="00E75692" w:rsidRPr="004F20DE" w:rsidRDefault="00E75692" w:rsidP="00EB0B3E">
            <w:pPr>
              <w:pStyle w:val="NormalWeb"/>
              <w:rPr>
                <w:sz w:val="18"/>
                <w:szCs w:val="18"/>
                <w:lang w:val="en-GB"/>
              </w:rPr>
            </w:pPr>
            <w:r w:rsidRPr="004F20DE">
              <w:rPr>
                <w:sz w:val="18"/>
                <w:szCs w:val="18"/>
                <w:lang w:val="en-GB"/>
              </w:rPr>
              <w:t>Incidence rate</w:t>
            </w:r>
            <w:r w:rsidRPr="004F20DE">
              <w:rPr>
                <w:sz w:val="18"/>
                <w:szCs w:val="18"/>
                <w:lang w:val="en-GB"/>
              </w:rPr>
              <w:br/>
              <w:t>per 100,000 population at risk</w:t>
            </w:r>
          </w:p>
        </w:tc>
        <w:tc>
          <w:tcPr>
            <w:tcW w:w="1864" w:type="dxa"/>
            <w:tcBorders>
              <w:left w:val="single" w:sz="2" w:space="0" w:color="F7ECDD"/>
              <w:bottom w:val="single" w:sz="2" w:space="0" w:color="808080" w:themeColor="background1" w:themeShade="80"/>
              <w:right w:val="single" w:sz="2" w:space="0" w:color="F7ECDD"/>
            </w:tcBorders>
            <w:hideMark/>
          </w:tcPr>
          <w:p w14:paraId="296BCB63" w14:textId="77777777" w:rsidR="00E75692" w:rsidRPr="004F20DE" w:rsidRDefault="00E75692" w:rsidP="00EB0B3E">
            <w:pPr>
              <w:pStyle w:val="NormalWeb"/>
              <w:rPr>
                <w:sz w:val="18"/>
                <w:szCs w:val="18"/>
                <w:lang w:val="en-GB"/>
              </w:rPr>
            </w:pPr>
            <w:r w:rsidRPr="004F20DE">
              <w:rPr>
                <w:sz w:val="18"/>
                <w:szCs w:val="18"/>
                <w:lang w:val="en-GB"/>
              </w:rPr>
              <w:t>IRR (95% CI)</w:t>
            </w:r>
            <w:r>
              <w:rPr>
                <w:sz w:val="18"/>
                <w:szCs w:val="18"/>
                <w:lang w:val="en-GB"/>
              </w:rPr>
              <w:t xml:space="preserve"> </w:t>
            </w:r>
            <w:proofErr w:type="spellStart"/>
            <w:r w:rsidRPr="00FA0C7A">
              <w:rPr>
                <w:sz w:val="18"/>
                <w:szCs w:val="18"/>
                <w:vertAlign w:val="superscript"/>
                <w:lang w:val="en-GB"/>
              </w:rPr>
              <w:t>a</w:t>
            </w:r>
            <w:proofErr w:type="spellEnd"/>
            <w:r w:rsidRPr="004F20DE">
              <w:rPr>
                <w:sz w:val="18"/>
                <w:szCs w:val="18"/>
                <w:lang w:val="en-GB"/>
              </w:rPr>
              <w:br/>
              <w:t>compared to previous interval</w:t>
            </w:r>
          </w:p>
        </w:tc>
        <w:tc>
          <w:tcPr>
            <w:tcW w:w="0" w:type="auto"/>
            <w:tcBorders>
              <w:left w:val="single" w:sz="2" w:space="0" w:color="F7ECDD"/>
              <w:bottom w:val="single" w:sz="2" w:space="0" w:color="808080" w:themeColor="background1" w:themeShade="80"/>
            </w:tcBorders>
            <w:hideMark/>
          </w:tcPr>
          <w:p w14:paraId="27665960" w14:textId="77777777" w:rsidR="00E75692" w:rsidRPr="004F20DE" w:rsidRDefault="00E75692" w:rsidP="00EB0B3E">
            <w:pPr>
              <w:pStyle w:val="NormalWeb"/>
              <w:rPr>
                <w:sz w:val="18"/>
                <w:szCs w:val="18"/>
                <w:lang w:val="en-GB"/>
              </w:rPr>
            </w:pPr>
            <w:r w:rsidRPr="004F20DE">
              <w:rPr>
                <w:sz w:val="18"/>
                <w:szCs w:val="18"/>
                <w:lang w:val="en-GB"/>
              </w:rPr>
              <w:t xml:space="preserve">% </w:t>
            </w:r>
            <w:proofErr w:type="gramStart"/>
            <w:r w:rsidRPr="004F20DE">
              <w:rPr>
                <w:sz w:val="18"/>
                <w:szCs w:val="18"/>
                <w:lang w:val="en-GB"/>
              </w:rPr>
              <w:t>change</w:t>
            </w:r>
            <w:proofErr w:type="gramEnd"/>
          </w:p>
        </w:tc>
      </w:tr>
      <w:tr w:rsidR="00E75692" w:rsidRPr="004F20DE" w14:paraId="6615DA13" w14:textId="77777777" w:rsidTr="00E75692">
        <w:trPr>
          <w:divId w:val="1323462985"/>
        </w:trPr>
        <w:tc>
          <w:tcPr>
            <w:tcW w:w="1985"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41755E2" w14:textId="77777777" w:rsidR="00E75692" w:rsidRPr="004F20DE" w:rsidRDefault="00E75692" w:rsidP="00EB0B3E">
            <w:pPr>
              <w:pStyle w:val="NormalWeb"/>
              <w:jc w:val="left"/>
              <w:rPr>
                <w:sz w:val="18"/>
                <w:szCs w:val="18"/>
                <w:lang w:val="en-GB"/>
              </w:rPr>
            </w:pPr>
            <w:r w:rsidRPr="004F20DE">
              <w:rPr>
                <w:sz w:val="18"/>
                <w:szCs w:val="18"/>
                <w:lang w:val="en-GB"/>
              </w:rPr>
              <w:t>Yearly</w:t>
            </w:r>
          </w:p>
        </w:tc>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E46BBA1" w14:textId="77777777" w:rsidR="00E75692" w:rsidRPr="004F20DE" w:rsidRDefault="00E75692" w:rsidP="00EB0B3E">
            <w:pPr>
              <w:pStyle w:val="NormalWeb"/>
              <w:rPr>
                <w:sz w:val="18"/>
                <w:szCs w:val="18"/>
                <w:lang w:val="en-GB"/>
              </w:rPr>
            </w:pPr>
            <w:r w:rsidRPr="004F20DE">
              <w:rPr>
                <w:sz w:val="18"/>
                <w:szCs w:val="18"/>
                <w:lang w:val="en-GB"/>
              </w:rPr>
              <w:t>2013</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A990B59" w14:textId="77777777" w:rsidR="00E75692" w:rsidRPr="004F20DE" w:rsidRDefault="00E75692" w:rsidP="00EB0B3E">
            <w:pPr>
              <w:pStyle w:val="NormalWeb"/>
              <w:rPr>
                <w:sz w:val="18"/>
                <w:szCs w:val="18"/>
                <w:lang w:val="en-GB"/>
              </w:rPr>
            </w:pPr>
            <w:r w:rsidRPr="004F20DE">
              <w:rPr>
                <w:sz w:val="18"/>
                <w:szCs w:val="18"/>
                <w:lang w:val="en-GB"/>
              </w:rPr>
              <w:t>6</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C55128C" w14:textId="77777777" w:rsidR="00E75692" w:rsidRPr="004F20DE" w:rsidRDefault="00E75692" w:rsidP="00EB0B3E">
            <w:pPr>
              <w:pStyle w:val="NormalWeb"/>
              <w:rPr>
                <w:sz w:val="18"/>
                <w:szCs w:val="18"/>
                <w:lang w:val="en-GB"/>
              </w:rPr>
            </w:pPr>
            <w:r w:rsidRPr="004F20DE">
              <w:rPr>
                <w:sz w:val="18"/>
                <w:szCs w:val="18"/>
                <w:lang w:val="en-GB"/>
              </w:rPr>
              <w:t>2.8</w:t>
            </w:r>
          </w:p>
        </w:tc>
        <w:tc>
          <w:tcPr>
            <w:tcW w:w="186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6B56E0E" w14:textId="77777777" w:rsidR="00E75692" w:rsidRPr="004F20DE" w:rsidRDefault="00E75692" w:rsidP="00EB0B3E">
            <w:pPr>
              <w:pStyle w:val="NormalWeb"/>
              <w:rPr>
                <w:sz w:val="18"/>
                <w:szCs w:val="18"/>
                <w:lang w:val="en-GB"/>
              </w:rPr>
            </w:pPr>
            <w:r w:rsidRPr="004F20DE">
              <w:rPr>
                <w:sz w:val="18"/>
                <w:szCs w:val="18"/>
                <w:lang w:val="en-GB"/>
              </w:rPr>
              <w:t>—</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94C1030" w14:textId="77777777" w:rsidR="00E75692" w:rsidRPr="004F20DE" w:rsidRDefault="00E75692" w:rsidP="00EB0B3E">
            <w:pPr>
              <w:pStyle w:val="NormalWeb"/>
              <w:rPr>
                <w:sz w:val="18"/>
                <w:szCs w:val="18"/>
                <w:lang w:val="en-GB"/>
              </w:rPr>
            </w:pPr>
            <w:r w:rsidRPr="004F20DE">
              <w:rPr>
                <w:sz w:val="18"/>
                <w:szCs w:val="18"/>
                <w:lang w:val="en-GB"/>
              </w:rPr>
              <w:t>—</w:t>
            </w:r>
          </w:p>
        </w:tc>
      </w:tr>
      <w:tr w:rsidR="00E75692" w:rsidRPr="004F20DE" w14:paraId="508C1BD4" w14:textId="77777777" w:rsidTr="00E75692">
        <w:trPr>
          <w:cnfStyle w:val="000000010000" w:firstRow="0" w:lastRow="0" w:firstColumn="0" w:lastColumn="0" w:oddVBand="0" w:evenVBand="0" w:oddHBand="0" w:evenHBand="1" w:firstRowFirstColumn="0" w:firstRowLastColumn="0" w:lastRowFirstColumn="0" w:lastRowLastColumn="0"/>
          <w:divId w:val="1323462985"/>
        </w:trPr>
        <w:tc>
          <w:tcPr>
            <w:tcW w:w="1985"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F5C0688" w14:textId="77777777" w:rsidR="00E75692" w:rsidRPr="004F20DE" w:rsidRDefault="00E75692" w:rsidP="00EB0B3E">
            <w:pPr>
              <w:jc w:val="left"/>
              <w:rPr>
                <w:sz w:val="18"/>
                <w:szCs w:val="18"/>
                <w:lang w:val="en-GB"/>
              </w:rPr>
            </w:pPr>
          </w:p>
        </w:tc>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873845F" w14:textId="77777777" w:rsidR="00E75692" w:rsidRPr="004F20DE" w:rsidRDefault="00E75692" w:rsidP="00EB0B3E">
            <w:pPr>
              <w:pStyle w:val="NormalWeb"/>
              <w:rPr>
                <w:sz w:val="18"/>
                <w:szCs w:val="18"/>
                <w:lang w:val="en-GB"/>
              </w:rPr>
            </w:pPr>
            <w:r w:rsidRPr="004F20DE">
              <w:rPr>
                <w:sz w:val="18"/>
                <w:szCs w:val="18"/>
                <w:lang w:val="en-GB"/>
              </w:rPr>
              <w:t>2014</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2A9F8D1" w14:textId="77777777" w:rsidR="00E75692" w:rsidRPr="004F20DE" w:rsidRDefault="00E75692" w:rsidP="00EB0B3E">
            <w:pPr>
              <w:pStyle w:val="NormalWeb"/>
              <w:rPr>
                <w:sz w:val="18"/>
                <w:szCs w:val="18"/>
                <w:lang w:val="en-GB"/>
              </w:rPr>
            </w:pPr>
            <w:r w:rsidRPr="004F20DE">
              <w:rPr>
                <w:sz w:val="18"/>
                <w:szCs w:val="18"/>
                <w:lang w:val="en-GB"/>
              </w:rPr>
              <w:t>7</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DBB4EA2" w14:textId="77777777" w:rsidR="00E75692" w:rsidRPr="004F20DE" w:rsidRDefault="00E75692" w:rsidP="00EB0B3E">
            <w:pPr>
              <w:pStyle w:val="NormalWeb"/>
              <w:rPr>
                <w:sz w:val="18"/>
                <w:szCs w:val="18"/>
                <w:lang w:val="en-GB"/>
              </w:rPr>
            </w:pPr>
            <w:r w:rsidRPr="004F20DE">
              <w:rPr>
                <w:sz w:val="18"/>
                <w:szCs w:val="18"/>
                <w:lang w:val="en-GB"/>
              </w:rPr>
              <w:t>3.3</w:t>
            </w:r>
          </w:p>
        </w:tc>
        <w:tc>
          <w:tcPr>
            <w:tcW w:w="186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5C4551F" w14:textId="77777777" w:rsidR="00E75692" w:rsidRPr="004F20DE" w:rsidRDefault="00E75692" w:rsidP="00EB0B3E">
            <w:pPr>
              <w:pStyle w:val="NormalWeb"/>
              <w:rPr>
                <w:sz w:val="18"/>
                <w:szCs w:val="18"/>
                <w:lang w:val="en-GB"/>
              </w:rPr>
            </w:pPr>
            <w:r w:rsidRPr="004F20DE">
              <w:rPr>
                <w:sz w:val="18"/>
                <w:szCs w:val="18"/>
                <w:lang w:val="en-GB"/>
              </w:rPr>
              <w:t>1.2 (0.4–2.7)</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8026FE9" w14:textId="77777777" w:rsidR="00E75692" w:rsidRPr="004F20DE" w:rsidRDefault="00E75692" w:rsidP="00EB0B3E">
            <w:pPr>
              <w:pStyle w:val="NormalWeb"/>
              <w:rPr>
                <w:sz w:val="18"/>
                <w:szCs w:val="18"/>
                <w:lang w:val="en-GB"/>
              </w:rPr>
            </w:pPr>
            <w:r w:rsidRPr="004F20DE">
              <w:rPr>
                <w:sz w:val="18"/>
                <w:szCs w:val="18"/>
                <w:lang w:val="en-GB"/>
              </w:rPr>
              <w:t>20%</w:t>
            </w:r>
          </w:p>
        </w:tc>
      </w:tr>
      <w:tr w:rsidR="00E75692" w:rsidRPr="004F20DE" w14:paraId="52D32C86" w14:textId="77777777" w:rsidTr="00E75692">
        <w:trPr>
          <w:divId w:val="1323462985"/>
        </w:trPr>
        <w:tc>
          <w:tcPr>
            <w:tcW w:w="1985"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A147A38" w14:textId="77777777" w:rsidR="00E75692" w:rsidRPr="004F20DE" w:rsidRDefault="00E75692" w:rsidP="00EB0B3E">
            <w:pPr>
              <w:jc w:val="left"/>
              <w:rPr>
                <w:sz w:val="18"/>
                <w:szCs w:val="18"/>
                <w:lang w:val="en-GB"/>
              </w:rPr>
            </w:pPr>
          </w:p>
        </w:tc>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EA186E4" w14:textId="77777777" w:rsidR="00E75692" w:rsidRPr="004F20DE" w:rsidRDefault="00E75692" w:rsidP="00EB0B3E">
            <w:pPr>
              <w:pStyle w:val="NormalWeb"/>
              <w:rPr>
                <w:sz w:val="18"/>
                <w:szCs w:val="18"/>
                <w:lang w:val="en-GB"/>
              </w:rPr>
            </w:pPr>
            <w:r w:rsidRPr="004F20DE">
              <w:rPr>
                <w:sz w:val="18"/>
                <w:szCs w:val="18"/>
                <w:lang w:val="en-GB"/>
              </w:rPr>
              <w:t>2015</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5C0BCC8" w14:textId="77777777" w:rsidR="00E75692" w:rsidRPr="004F20DE" w:rsidRDefault="00E75692" w:rsidP="00EB0B3E">
            <w:pPr>
              <w:pStyle w:val="NormalWeb"/>
              <w:rPr>
                <w:sz w:val="18"/>
                <w:szCs w:val="18"/>
                <w:lang w:val="en-GB"/>
              </w:rPr>
            </w:pPr>
            <w:r w:rsidRPr="004F20DE">
              <w:rPr>
                <w:sz w:val="18"/>
                <w:szCs w:val="18"/>
                <w:lang w:val="en-GB"/>
              </w:rPr>
              <w:t>6</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E172A7D" w14:textId="77777777" w:rsidR="00E75692" w:rsidRPr="004F20DE" w:rsidRDefault="00E75692" w:rsidP="00EB0B3E">
            <w:pPr>
              <w:pStyle w:val="NormalWeb"/>
              <w:rPr>
                <w:sz w:val="18"/>
                <w:szCs w:val="18"/>
                <w:lang w:val="en-GB"/>
              </w:rPr>
            </w:pPr>
            <w:r w:rsidRPr="004F20DE">
              <w:rPr>
                <w:sz w:val="18"/>
                <w:szCs w:val="18"/>
                <w:lang w:val="en-GB"/>
              </w:rPr>
              <w:t>2.8</w:t>
            </w:r>
          </w:p>
        </w:tc>
        <w:tc>
          <w:tcPr>
            <w:tcW w:w="186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9C5AB1E" w14:textId="77777777" w:rsidR="00E75692" w:rsidRPr="004F20DE" w:rsidRDefault="00E75692" w:rsidP="00EB0B3E">
            <w:pPr>
              <w:pStyle w:val="NormalWeb"/>
              <w:rPr>
                <w:sz w:val="18"/>
                <w:szCs w:val="18"/>
                <w:lang w:val="en-GB"/>
              </w:rPr>
            </w:pPr>
            <w:r w:rsidRPr="004F20DE">
              <w:rPr>
                <w:sz w:val="18"/>
                <w:szCs w:val="18"/>
                <w:lang w:val="en-GB"/>
              </w:rPr>
              <w:t>0.9 (0.7–2.4)</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F427019" w14:textId="77777777" w:rsidR="00E75692" w:rsidRPr="004F20DE" w:rsidRDefault="00E75692" w:rsidP="00EB0B3E">
            <w:pPr>
              <w:pStyle w:val="NormalWeb"/>
              <w:rPr>
                <w:sz w:val="18"/>
                <w:szCs w:val="18"/>
                <w:lang w:val="en-GB"/>
              </w:rPr>
            </w:pPr>
            <w:r w:rsidRPr="004F20DE">
              <w:rPr>
                <w:sz w:val="18"/>
                <w:szCs w:val="18"/>
                <w:lang w:val="en-GB"/>
              </w:rPr>
              <w:t>-10%</w:t>
            </w:r>
          </w:p>
        </w:tc>
      </w:tr>
      <w:tr w:rsidR="00E75692" w:rsidRPr="004F20DE" w14:paraId="7A90FAE8" w14:textId="77777777" w:rsidTr="00E75692">
        <w:trPr>
          <w:cnfStyle w:val="000000010000" w:firstRow="0" w:lastRow="0" w:firstColumn="0" w:lastColumn="0" w:oddVBand="0" w:evenVBand="0" w:oddHBand="0" w:evenHBand="1" w:firstRowFirstColumn="0" w:firstRowLastColumn="0" w:lastRowFirstColumn="0" w:lastRowLastColumn="0"/>
          <w:divId w:val="1323462985"/>
        </w:trPr>
        <w:tc>
          <w:tcPr>
            <w:tcW w:w="1985"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A5FE86D" w14:textId="77777777" w:rsidR="00E75692" w:rsidRPr="004F20DE" w:rsidRDefault="00E75692" w:rsidP="00EB0B3E">
            <w:pPr>
              <w:jc w:val="left"/>
              <w:rPr>
                <w:sz w:val="18"/>
                <w:szCs w:val="18"/>
                <w:lang w:val="en-GB"/>
              </w:rPr>
            </w:pPr>
          </w:p>
        </w:tc>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C64459D" w14:textId="77777777" w:rsidR="00E75692" w:rsidRPr="004F20DE" w:rsidRDefault="00E75692" w:rsidP="00EB0B3E">
            <w:pPr>
              <w:pStyle w:val="NormalWeb"/>
              <w:rPr>
                <w:sz w:val="18"/>
                <w:szCs w:val="18"/>
                <w:lang w:val="en-GB"/>
              </w:rPr>
            </w:pPr>
            <w:r w:rsidRPr="004F20DE">
              <w:rPr>
                <w:sz w:val="18"/>
                <w:szCs w:val="18"/>
                <w:lang w:val="en-GB"/>
              </w:rPr>
              <w:t>2016</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DCF4B5C" w14:textId="77777777" w:rsidR="00E75692" w:rsidRPr="004F20DE" w:rsidRDefault="00E75692" w:rsidP="00EB0B3E">
            <w:pPr>
              <w:pStyle w:val="NormalWeb"/>
              <w:rPr>
                <w:sz w:val="18"/>
                <w:szCs w:val="18"/>
                <w:lang w:val="en-GB"/>
              </w:rPr>
            </w:pPr>
            <w:r w:rsidRPr="004F20DE">
              <w:rPr>
                <w:sz w:val="18"/>
                <w:szCs w:val="18"/>
                <w:lang w:val="en-GB"/>
              </w:rPr>
              <w:t>13</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48AF286" w14:textId="77777777" w:rsidR="00E75692" w:rsidRPr="004F20DE" w:rsidRDefault="00E75692" w:rsidP="00EB0B3E">
            <w:pPr>
              <w:pStyle w:val="NormalWeb"/>
              <w:rPr>
                <w:sz w:val="18"/>
                <w:szCs w:val="18"/>
                <w:lang w:val="en-GB"/>
              </w:rPr>
            </w:pPr>
            <w:r w:rsidRPr="004F20DE">
              <w:rPr>
                <w:sz w:val="18"/>
                <w:szCs w:val="18"/>
                <w:lang w:val="en-GB"/>
              </w:rPr>
              <w:t>6.1</w:t>
            </w:r>
          </w:p>
        </w:tc>
        <w:tc>
          <w:tcPr>
            <w:tcW w:w="186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186B9F4" w14:textId="77777777" w:rsidR="00E75692" w:rsidRPr="004F20DE" w:rsidRDefault="00E75692" w:rsidP="00EB0B3E">
            <w:pPr>
              <w:pStyle w:val="NormalWeb"/>
              <w:rPr>
                <w:sz w:val="18"/>
                <w:szCs w:val="18"/>
                <w:lang w:val="en-GB"/>
              </w:rPr>
            </w:pPr>
            <w:r w:rsidRPr="004F20DE">
              <w:rPr>
                <w:sz w:val="18"/>
                <w:szCs w:val="18"/>
                <w:lang w:val="en-GB"/>
              </w:rPr>
              <w:t>2.2 (0.7–3.6)</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8986CC1" w14:textId="77777777" w:rsidR="00E75692" w:rsidRPr="004F20DE" w:rsidRDefault="00E75692" w:rsidP="00EB0B3E">
            <w:pPr>
              <w:pStyle w:val="NormalWeb"/>
              <w:rPr>
                <w:sz w:val="18"/>
                <w:szCs w:val="18"/>
                <w:lang w:val="en-GB"/>
              </w:rPr>
            </w:pPr>
            <w:r w:rsidRPr="004F20DE">
              <w:rPr>
                <w:sz w:val="18"/>
                <w:szCs w:val="18"/>
                <w:lang w:val="en-GB"/>
              </w:rPr>
              <w:t>120%</w:t>
            </w:r>
          </w:p>
        </w:tc>
      </w:tr>
      <w:tr w:rsidR="00E75692" w:rsidRPr="004F20DE" w14:paraId="0518E6B5" w14:textId="77777777" w:rsidTr="00E75692">
        <w:trPr>
          <w:divId w:val="1323462985"/>
        </w:trPr>
        <w:tc>
          <w:tcPr>
            <w:tcW w:w="1985"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6F696F9" w14:textId="77777777" w:rsidR="00E75692" w:rsidRPr="004F20DE" w:rsidRDefault="00E75692" w:rsidP="00EB0B3E">
            <w:pPr>
              <w:jc w:val="left"/>
              <w:rPr>
                <w:sz w:val="18"/>
                <w:szCs w:val="18"/>
                <w:lang w:val="en-GB"/>
              </w:rPr>
            </w:pPr>
          </w:p>
        </w:tc>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D0A93EA" w14:textId="77777777" w:rsidR="00E75692" w:rsidRPr="004F20DE" w:rsidRDefault="00E75692" w:rsidP="00EB0B3E">
            <w:pPr>
              <w:pStyle w:val="NormalWeb"/>
              <w:rPr>
                <w:sz w:val="18"/>
                <w:szCs w:val="18"/>
                <w:lang w:val="en-GB"/>
              </w:rPr>
            </w:pPr>
            <w:r w:rsidRPr="004F20DE">
              <w:rPr>
                <w:sz w:val="18"/>
                <w:szCs w:val="18"/>
                <w:lang w:val="en-GB"/>
              </w:rPr>
              <w:t>2017</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9D96074" w14:textId="77777777" w:rsidR="00E75692" w:rsidRPr="004F20DE" w:rsidRDefault="00E75692" w:rsidP="00EB0B3E">
            <w:pPr>
              <w:pStyle w:val="NormalWeb"/>
              <w:rPr>
                <w:sz w:val="18"/>
                <w:szCs w:val="18"/>
                <w:lang w:val="en-GB"/>
              </w:rPr>
            </w:pPr>
            <w:r w:rsidRPr="004F20DE">
              <w:rPr>
                <w:sz w:val="18"/>
                <w:szCs w:val="18"/>
                <w:lang w:val="en-GB"/>
              </w:rPr>
              <w:t>6</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3564A4A" w14:textId="77777777" w:rsidR="00E75692" w:rsidRPr="004F20DE" w:rsidRDefault="00E75692" w:rsidP="00EB0B3E">
            <w:pPr>
              <w:pStyle w:val="NormalWeb"/>
              <w:rPr>
                <w:sz w:val="18"/>
                <w:szCs w:val="18"/>
                <w:lang w:val="en-GB"/>
              </w:rPr>
            </w:pPr>
            <w:r w:rsidRPr="004F20DE">
              <w:rPr>
                <w:sz w:val="18"/>
                <w:szCs w:val="18"/>
                <w:lang w:val="en-GB"/>
              </w:rPr>
              <w:t>2.8</w:t>
            </w:r>
          </w:p>
        </w:tc>
        <w:tc>
          <w:tcPr>
            <w:tcW w:w="186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06CAE02" w14:textId="77777777" w:rsidR="00E75692" w:rsidRPr="004F20DE" w:rsidRDefault="00E75692" w:rsidP="00EB0B3E">
            <w:pPr>
              <w:pStyle w:val="NormalWeb"/>
              <w:rPr>
                <w:sz w:val="18"/>
                <w:szCs w:val="18"/>
                <w:lang w:val="en-GB"/>
              </w:rPr>
            </w:pPr>
            <w:r w:rsidRPr="004F20DE">
              <w:rPr>
                <w:sz w:val="18"/>
                <w:szCs w:val="18"/>
                <w:lang w:val="en-GB"/>
              </w:rPr>
              <w:t>0.5 (0.1–1.9)</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45C5440" w14:textId="77777777" w:rsidR="00E75692" w:rsidRPr="004F20DE" w:rsidRDefault="00E75692" w:rsidP="00EB0B3E">
            <w:pPr>
              <w:pStyle w:val="NormalWeb"/>
              <w:rPr>
                <w:sz w:val="18"/>
                <w:szCs w:val="18"/>
                <w:lang w:val="en-GB"/>
              </w:rPr>
            </w:pPr>
            <w:r w:rsidRPr="004F20DE">
              <w:rPr>
                <w:sz w:val="18"/>
                <w:szCs w:val="18"/>
                <w:lang w:val="en-GB"/>
              </w:rPr>
              <w:t>-50%</w:t>
            </w:r>
          </w:p>
        </w:tc>
      </w:tr>
      <w:tr w:rsidR="00E75692" w:rsidRPr="004F20DE" w14:paraId="675CB00E" w14:textId="77777777" w:rsidTr="00E75692">
        <w:trPr>
          <w:cnfStyle w:val="000000010000" w:firstRow="0" w:lastRow="0" w:firstColumn="0" w:lastColumn="0" w:oddVBand="0" w:evenVBand="0" w:oddHBand="0" w:evenHBand="1" w:firstRowFirstColumn="0" w:firstRowLastColumn="0" w:lastRowFirstColumn="0" w:lastRowLastColumn="0"/>
          <w:divId w:val="1323462985"/>
        </w:trPr>
        <w:tc>
          <w:tcPr>
            <w:tcW w:w="1985"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7575DDC" w14:textId="77777777" w:rsidR="00E75692" w:rsidRPr="004F20DE" w:rsidRDefault="00E75692" w:rsidP="00EB0B3E">
            <w:pPr>
              <w:jc w:val="left"/>
              <w:rPr>
                <w:sz w:val="18"/>
                <w:szCs w:val="18"/>
                <w:lang w:val="en-GB"/>
              </w:rPr>
            </w:pPr>
          </w:p>
        </w:tc>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DB88BEC" w14:textId="77777777" w:rsidR="00E75692" w:rsidRPr="004F20DE" w:rsidRDefault="00E75692" w:rsidP="00EB0B3E">
            <w:pPr>
              <w:pStyle w:val="NormalWeb"/>
              <w:rPr>
                <w:sz w:val="18"/>
                <w:szCs w:val="18"/>
                <w:lang w:val="en-GB"/>
              </w:rPr>
            </w:pPr>
            <w:r w:rsidRPr="004F20DE">
              <w:rPr>
                <w:sz w:val="18"/>
                <w:szCs w:val="18"/>
                <w:lang w:val="en-GB"/>
              </w:rPr>
              <w:t>2018</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BDCD61F" w14:textId="77777777" w:rsidR="00E75692" w:rsidRPr="004F20DE" w:rsidRDefault="00E75692" w:rsidP="00EB0B3E">
            <w:pPr>
              <w:pStyle w:val="NormalWeb"/>
              <w:rPr>
                <w:sz w:val="18"/>
                <w:szCs w:val="18"/>
                <w:lang w:val="en-GB"/>
              </w:rPr>
            </w:pPr>
            <w:r w:rsidRPr="004F20DE">
              <w:rPr>
                <w:sz w:val="18"/>
                <w:szCs w:val="18"/>
                <w:lang w:val="en-GB"/>
              </w:rPr>
              <w:t>14</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20F20A1" w14:textId="77777777" w:rsidR="00E75692" w:rsidRPr="004F20DE" w:rsidRDefault="00E75692" w:rsidP="00EB0B3E">
            <w:pPr>
              <w:pStyle w:val="NormalWeb"/>
              <w:rPr>
                <w:sz w:val="18"/>
                <w:szCs w:val="18"/>
                <w:lang w:val="en-GB"/>
              </w:rPr>
            </w:pPr>
            <w:r w:rsidRPr="004F20DE">
              <w:rPr>
                <w:sz w:val="18"/>
                <w:szCs w:val="18"/>
                <w:lang w:val="en-GB"/>
              </w:rPr>
              <w:t>6.4</w:t>
            </w:r>
          </w:p>
        </w:tc>
        <w:tc>
          <w:tcPr>
            <w:tcW w:w="186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9639144" w14:textId="77777777" w:rsidR="00E75692" w:rsidRPr="004F20DE" w:rsidRDefault="00E75692" w:rsidP="00EB0B3E">
            <w:pPr>
              <w:pStyle w:val="NormalWeb"/>
              <w:rPr>
                <w:sz w:val="18"/>
                <w:szCs w:val="18"/>
                <w:lang w:val="en-GB"/>
              </w:rPr>
            </w:pPr>
            <w:r w:rsidRPr="004F20DE">
              <w:rPr>
                <w:sz w:val="18"/>
                <w:szCs w:val="18"/>
                <w:lang w:val="en-GB"/>
              </w:rPr>
              <w:t>2.3 (0.9–3.7)</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BC889D6" w14:textId="77777777" w:rsidR="00E75692" w:rsidRPr="004F20DE" w:rsidRDefault="00E75692" w:rsidP="00EB0B3E">
            <w:pPr>
              <w:pStyle w:val="NormalWeb"/>
              <w:rPr>
                <w:sz w:val="18"/>
                <w:szCs w:val="18"/>
                <w:lang w:val="en-GB"/>
              </w:rPr>
            </w:pPr>
            <w:r w:rsidRPr="004F20DE">
              <w:rPr>
                <w:sz w:val="18"/>
                <w:szCs w:val="18"/>
                <w:lang w:val="en-GB"/>
              </w:rPr>
              <w:t>130%</w:t>
            </w:r>
          </w:p>
        </w:tc>
      </w:tr>
      <w:tr w:rsidR="00E75692" w:rsidRPr="004F20DE" w14:paraId="091DCA1E" w14:textId="77777777" w:rsidTr="00E75692">
        <w:trPr>
          <w:divId w:val="1323462985"/>
        </w:trPr>
        <w:tc>
          <w:tcPr>
            <w:tcW w:w="1985"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9DAF6B4" w14:textId="77777777" w:rsidR="00E75692" w:rsidRPr="004F20DE" w:rsidRDefault="00E75692" w:rsidP="00EB0B3E">
            <w:pPr>
              <w:jc w:val="left"/>
              <w:rPr>
                <w:sz w:val="18"/>
                <w:szCs w:val="18"/>
                <w:lang w:val="en-GB"/>
              </w:rPr>
            </w:pPr>
          </w:p>
        </w:tc>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0374DA1" w14:textId="77777777" w:rsidR="00E75692" w:rsidRPr="004F20DE" w:rsidRDefault="00E75692" w:rsidP="00EB0B3E">
            <w:pPr>
              <w:pStyle w:val="NormalWeb"/>
              <w:rPr>
                <w:sz w:val="18"/>
                <w:szCs w:val="18"/>
                <w:lang w:val="en-GB"/>
              </w:rPr>
            </w:pPr>
            <w:r w:rsidRPr="004F20DE">
              <w:rPr>
                <w:sz w:val="18"/>
                <w:szCs w:val="18"/>
                <w:lang w:val="en-GB"/>
              </w:rPr>
              <w:t>2019</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4A9E518" w14:textId="77777777" w:rsidR="00E75692" w:rsidRPr="004F20DE" w:rsidRDefault="00E75692" w:rsidP="00EB0B3E">
            <w:pPr>
              <w:pStyle w:val="NormalWeb"/>
              <w:rPr>
                <w:sz w:val="18"/>
                <w:szCs w:val="18"/>
                <w:lang w:val="en-GB"/>
              </w:rPr>
            </w:pPr>
            <w:r w:rsidRPr="004F20DE">
              <w:rPr>
                <w:sz w:val="18"/>
                <w:szCs w:val="18"/>
                <w:lang w:val="en-GB"/>
              </w:rPr>
              <w:t>8</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4C687C2" w14:textId="77777777" w:rsidR="00E75692" w:rsidRPr="004F20DE" w:rsidRDefault="00E75692" w:rsidP="00EB0B3E">
            <w:pPr>
              <w:pStyle w:val="NormalWeb"/>
              <w:rPr>
                <w:sz w:val="18"/>
                <w:szCs w:val="18"/>
                <w:lang w:val="en-GB"/>
              </w:rPr>
            </w:pPr>
            <w:r w:rsidRPr="004F20DE">
              <w:rPr>
                <w:sz w:val="18"/>
                <w:szCs w:val="18"/>
                <w:lang w:val="en-GB"/>
              </w:rPr>
              <w:t>3.6</w:t>
            </w:r>
          </w:p>
        </w:tc>
        <w:tc>
          <w:tcPr>
            <w:tcW w:w="186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F530699" w14:textId="77777777" w:rsidR="00E75692" w:rsidRPr="004F20DE" w:rsidRDefault="00E75692" w:rsidP="00EB0B3E">
            <w:pPr>
              <w:pStyle w:val="NormalWeb"/>
              <w:rPr>
                <w:sz w:val="18"/>
                <w:szCs w:val="18"/>
                <w:lang w:val="en-GB"/>
              </w:rPr>
            </w:pPr>
            <w:r w:rsidRPr="004F20DE">
              <w:rPr>
                <w:sz w:val="18"/>
                <w:szCs w:val="18"/>
                <w:lang w:val="en-GB"/>
              </w:rPr>
              <w:t>0.6 (0.7–1.9)</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F3115CB" w14:textId="77777777" w:rsidR="00E75692" w:rsidRPr="004F20DE" w:rsidRDefault="00E75692" w:rsidP="00EB0B3E">
            <w:pPr>
              <w:pStyle w:val="NormalWeb"/>
              <w:rPr>
                <w:sz w:val="18"/>
                <w:szCs w:val="18"/>
                <w:lang w:val="en-GB"/>
              </w:rPr>
            </w:pPr>
            <w:r w:rsidRPr="004F20DE">
              <w:rPr>
                <w:sz w:val="18"/>
                <w:szCs w:val="18"/>
                <w:lang w:val="en-GB"/>
              </w:rPr>
              <w:t>-40%</w:t>
            </w:r>
          </w:p>
        </w:tc>
      </w:tr>
      <w:tr w:rsidR="00E75692" w:rsidRPr="004F20DE" w14:paraId="394D72AC" w14:textId="77777777" w:rsidTr="00E75692">
        <w:trPr>
          <w:cnfStyle w:val="000000010000" w:firstRow="0" w:lastRow="0" w:firstColumn="0" w:lastColumn="0" w:oddVBand="0" w:evenVBand="0" w:oddHBand="0" w:evenHBand="1" w:firstRowFirstColumn="0" w:firstRowLastColumn="0" w:lastRowFirstColumn="0" w:lastRowLastColumn="0"/>
          <w:divId w:val="1323462985"/>
        </w:trPr>
        <w:tc>
          <w:tcPr>
            <w:tcW w:w="1985"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6DF8B4F" w14:textId="77777777" w:rsidR="00E75692" w:rsidRPr="004F20DE" w:rsidRDefault="00E75692" w:rsidP="00EB0B3E">
            <w:pPr>
              <w:jc w:val="left"/>
              <w:rPr>
                <w:sz w:val="18"/>
                <w:szCs w:val="18"/>
                <w:lang w:val="en-GB"/>
              </w:rPr>
            </w:pPr>
          </w:p>
        </w:tc>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8F02832" w14:textId="77777777" w:rsidR="00E75692" w:rsidRPr="004F20DE" w:rsidRDefault="00E75692" w:rsidP="00EB0B3E">
            <w:pPr>
              <w:pStyle w:val="NormalWeb"/>
              <w:rPr>
                <w:sz w:val="18"/>
                <w:szCs w:val="18"/>
                <w:lang w:val="en-GB"/>
              </w:rPr>
            </w:pPr>
            <w:r w:rsidRPr="004F20DE">
              <w:rPr>
                <w:sz w:val="18"/>
                <w:szCs w:val="18"/>
                <w:lang w:val="en-GB"/>
              </w:rPr>
              <w:t>2020</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042DF7B" w14:textId="77777777" w:rsidR="00E75692" w:rsidRPr="004F20DE" w:rsidRDefault="00E75692" w:rsidP="00EB0B3E">
            <w:pPr>
              <w:pStyle w:val="NormalWeb"/>
              <w:rPr>
                <w:sz w:val="18"/>
                <w:szCs w:val="18"/>
                <w:lang w:val="en-GB"/>
              </w:rPr>
            </w:pPr>
            <w:r w:rsidRPr="004F20DE">
              <w:rPr>
                <w:sz w:val="18"/>
                <w:szCs w:val="18"/>
                <w:lang w:val="en-GB"/>
              </w:rPr>
              <w:t>5</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08438F0" w14:textId="77777777" w:rsidR="00E75692" w:rsidRPr="004F20DE" w:rsidRDefault="00E75692" w:rsidP="00EB0B3E">
            <w:pPr>
              <w:pStyle w:val="NormalWeb"/>
              <w:rPr>
                <w:sz w:val="18"/>
                <w:szCs w:val="18"/>
                <w:lang w:val="en-GB"/>
              </w:rPr>
            </w:pPr>
            <w:r w:rsidRPr="004F20DE">
              <w:rPr>
                <w:sz w:val="18"/>
                <w:szCs w:val="18"/>
                <w:lang w:val="en-GB"/>
              </w:rPr>
              <w:t>2.3</w:t>
            </w:r>
          </w:p>
        </w:tc>
        <w:tc>
          <w:tcPr>
            <w:tcW w:w="186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B89456D" w14:textId="77777777" w:rsidR="00E75692" w:rsidRPr="004F20DE" w:rsidRDefault="00E75692" w:rsidP="00EB0B3E">
            <w:pPr>
              <w:pStyle w:val="NormalWeb"/>
              <w:rPr>
                <w:sz w:val="18"/>
                <w:szCs w:val="18"/>
                <w:lang w:val="en-GB"/>
              </w:rPr>
            </w:pPr>
            <w:r w:rsidRPr="004F20DE">
              <w:rPr>
                <w:sz w:val="18"/>
                <w:szCs w:val="18"/>
                <w:lang w:val="en-GB"/>
              </w:rPr>
              <w:t>0.6 (0.1–2.3)</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C393259" w14:textId="77777777" w:rsidR="00E75692" w:rsidRPr="004F20DE" w:rsidRDefault="00E75692" w:rsidP="00EB0B3E">
            <w:pPr>
              <w:pStyle w:val="NormalWeb"/>
              <w:rPr>
                <w:sz w:val="18"/>
                <w:szCs w:val="18"/>
                <w:lang w:val="en-GB"/>
              </w:rPr>
            </w:pPr>
            <w:r w:rsidRPr="004F20DE">
              <w:rPr>
                <w:sz w:val="18"/>
                <w:szCs w:val="18"/>
                <w:lang w:val="en-GB"/>
              </w:rPr>
              <w:t>-40%</w:t>
            </w:r>
          </w:p>
        </w:tc>
      </w:tr>
      <w:tr w:rsidR="00E75692" w:rsidRPr="004F20DE" w14:paraId="75D9939E" w14:textId="77777777" w:rsidTr="00E75692">
        <w:trPr>
          <w:divId w:val="1323462985"/>
        </w:trPr>
        <w:tc>
          <w:tcPr>
            <w:tcW w:w="1985"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B351184" w14:textId="77777777" w:rsidR="00E75692" w:rsidRPr="004F20DE" w:rsidRDefault="00E75692" w:rsidP="00EB0B3E">
            <w:pPr>
              <w:jc w:val="left"/>
              <w:rPr>
                <w:sz w:val="18"/>
                <w:szCs w:val="18"/>
                <w:lang w:val="en-GB"/>
              </w:rPr>
            </w:pPr>
          </w:p>
        </w:tc>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DEDD768" w14:textId="77777777" w:rsidR="00E75692" w:rsidRPr="004F20DE" w:rsidRDefault="00E75692" w:rsidP="00EB0B3E">
            <w:pPr>
              <w:pStyle w:val="NormalWeb"/>
              <w:rPr>
                <w:sz w:val="18"/>
                <w:szCs w:val="18"/>
                <w:lang w:val="en-GB"/>
              </w:rPr>
            </w:pPr>
            <w:r w:rsidRPr="004F20DE">
              <w:rPr>
                <w:sz w:val="18"/>
                <w:szCs w:val="18"/>
                <w:lang w:val="en-GB"/>
              </w:rPr>
              <w:t>2021</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86DA4B2" w14:textId="77777777" w:rsidR="00E75692" w:rsidRPr="004F20DE" w:rsidRDefault="00E75692" w:rsidP="00EB0B3E">
            <w:pPr>
              <w:pStyle w:val="NormalWeb"/>
              <w:rPr>
                <w:sz w:val="18"/>
                <w:szCs w:val="18"/>
                <w:lang w:val="en-GB"/>
              </w:rPr>
            </w:pPr>
            <w:r w:rsidRPr="004F20DE">
              <w:rPr>
                <w:sz w:val="18"/>
                <w:szCs w:val="18"/>
                <w:lang w:val="en-GB"/>
              </w:rPr>
              <w:t>9</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1541A82" w14:textId="77777777" w:rsidR="00E75692" w:rsidRPr="004F20DE" w:rsidRDefault="00E75692" w:rsidP="00EB0B3E">
            <w:pPr>
              <w:pStyle w:val="NormalWeb"/>
              <w:rPr>
                <w:sz w:val="18"/>
                <w:szCs w:val="18"/>
                <w:lang w:val="en-GB"/>
              </w:rPr>
            </w:pPr>
            <w:r w:rsidRPr="004F20DE">
              <w:rPr>
                <w:sz w:val="18"/>
                <w:szCs w:val="18"/>
                <w:lang w:val="en-GB"/>
              </w:rPr>
              <w:t>4.1</w:t>
            </w:r>
          </w:p>
        </w:tc>
        <w:tc>
          <w:tcPr>
            <w:tcW w:w="186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289988A" w14:textId="77777777" w:rsidR="00E75692" w:rsidRPr="004F20DE" w:rsidRDefault="00E75692" w:rsidP="00EB0B3E">
            <w:pPr>
              <w:pStyle w:val="NormalWeb"/>
              <w:rPr>
                <w:sz w:val="18"/>
                <w:szCs w:val="18"/>
                <w:lang w:val="en-GB"/>
              </w:rPr>
            </w:pPr>
            <w:r w:rsidRPr="004F20DE">
              <w:rPr>
                <w:sz w:val="18"/>
                <w:szCs w:val="18"/>
                <w:lang w:val="en-GB"/>
              </w:rPr>
              <w:t>1.8 (0.2–3.4)</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3AD9929" w14:textId="77777777" w:rsidR="00E75692" w:rsidRPr="004F20DE" w:rsidRDefault="00E75692" w:rsidP="00EB0B3E">
            <w:pPr>
              <w:pStyle w:val="NormalWeb"/>
              <w:rPr>
                <w:sz w:val="18"/>
                <w:szCs w:val="18"/>
                <w:lang w:val="en-GB"/>
              </w:rPr>
            </w:pPr>
            <w:r w:rsidRPr="004F20DE">
              <w:rPr>
                <w:sz w:val="18"/>
                <w:szCs w:val="18"/>
                <w:lang w:val="en-GB"/>
              </w:rPr>
              <w:t>80%</w:t>
            </w:r>
          </w:p>
        </w:tc>
      </w:tr>
      <w:tr w:rsidR="00E75692" w:rsidRPr="004F20DE" w14:paraId="460AF241" w14:textId="77777777" w:rsidTr="00E75692">
        <w:trPr>
          <w:cnfStyle w:val="000000010000" w:firstRow="0" w:lastRow="0" w:firstColumn="0" w:lastColumn="0" w:oddVBand="0" w:evenVBand="0" w:oddHBand="0" w:evenHBand="1" w:firstRowFirstColumn="0" w:firstRowLastColumn="0" w:lastRowFirstColumn="0" w:lastRowLastColumn="0"/>
          <w:divId w:val="1323462985"/>
        </w:trPr>
        <w:tc>
          <w:tcPr>
            <w:tcW w:w="1985"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7011520" w14:textId="77777777" w:rsidR="00E75692" w:rsidRPr="004F20DE" w:rsidRDefault="00E75692" w:rsidP="00EB0B3E">
            <w:pPr>
              <w:jc w:val="left"/>
              <w:rPr>
                <w:sz w:val="18"/>
                <w:szCs w:val="18"/>
                <w:lang w:val="en-GB"/>
              </w:rPr>
            </w:pPr>
          </w:p>
        </w:tc>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F9448DD" w14:textId="77777777" w:rsidR="00E75692" w:rsidRPr="004F20DE" w:rsidRDefault="00E75692" w:rsidP="00EB0B3E">
            <w:pPr>
              <w:pStyle w:val="NormalWeb"/>
              <w:rPr>
                <w:sz w:val="18"/>
                <w:szCs w:val="18"/>
                <w:lang w:val="en-GB"/>
              </w:rPr>
            </w:pPr>
            <w:r w:rsidRPr="004F20DE">
              <w:rPr>
                <w:sz w:val="18"/>
                <w:szCs w:val="18"/>
                <w:lang w:val="en-GB"/>
              </w:rPr>
              <w:t>2022</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6BC10C4" w14:textId="77777777" w:rsidR="00E75692" w:rsidRPr="004F20DE" w:rsidRDefault="00E75692" w:rsidP="00EB0B3E">
            <w:pPr>
              <w:pStyle w:val="NormalWeb"/>
              <w:rPr>
                <w:sz w:val="18"/>
                <w:szCs w:val="18"/>
                <w:lang w:val="en-GB"/>
              </w:rPr>
            </w:pPr>
            <w:r w:rsidRPr="004F20DE">
              <w:rPr>
                <w:sz w:val="18"/>
                <w:szCs w:val="18"/>
                <w:lang w:val="en-GB"/>
              </w:rPr>
              <w:t>13</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7DBF7CE" w14:textId="77777777" w:rsidR="00E75692" w:rsidRPr="004F20DE" w:rsidRDefault="00E75692" w:rsidP="00EB0B3E">
            <w:pPr>
              <w:pStyle w:val="NormalWeb"/>
              <w:rPr>
                <w:sz w:val="18"/>
                <w:szCs w:val="18"/>
                <w:lang w:val="en-GB"/>
              </w:rPr>
            </w:pPr>
            <w:r w:rsidRPr="004F20DE">
              <w:rPr>
                <w:sz w:val="18"/>
                <w:szCs w:val="18"/>
                <w:lang w:val="en-GB"/>
              </w:rPr>
              <w:t>5.9</w:t>
            </w:r>
          </w:p>
        </w:tc>
        <w:tc>
          <w:tcPr>
            <w:tcW w:w="186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CBE9A69" w14:textId="77777777" w:rsidR="00E75692" w:rsidRPr="004F20DE" w:rsidRDefault="00E75692" w:rsidP="00EB0B3E">
            <w:pPr>
              <w:pStyle w:val="NormalWeb"/>
              <w:rPr>
                <w:sz w:val="18"/>
                <w:szCs w:val="18"/>
                <w:lang w:val="en-GB"/>
              </w:rPr>
            </w:pPr>
            <w:r w:rsidRPr="004F20DE">
              <w:rPr>
                <w:sz w:val="18"/>
                <w:szCs w:val="18"/>
                <w:lang w:val="en-GB"/>
              </w:rPr>
              <w:t>1.4 (0.2-2.7)</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736A2A9" w14:textId="77777777" w:rsidR="00E75692" w:rsidRPr="004F20DE" w:rsidRDefault="00E75692" w:rsidP="00EB0B3E">
            <w:pPr>
              <w:pStyle w:val="NormalWeb"/>
              <w:rPr>
                <w:sz w:val="18"/>
                <w:szCs w:val="18"/>
                <w:lang w:val="en-GB"/>
              </w:rPr>
            </w:pPr>
            <w:r w:rsidRPr="004F20DE">
              <w:rPr>
                <w:sz w:val="18"/>
                <w:szCs w:val="18"/>
                <w:lang w:val="en-GB"/>
              </w:rPr>
              <w:t>40%</w:t>
            </w:r>
          </w:p>
        </w:tc>
      </w:tr>
      <w:tr w:rsidR="00E75692" w:rsidRPr="004F20DE" w14:paraId="0F3490C1" w14:textId="77777777" w:rsidTr="00E75692">
        <w:trPr>
          <w:divId w:val="1323462985"/>
        </w:trPr>
        <w:tc>
          <w:tcPr>
            <w:tcW w:w="1985"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CFC7EAE" w14:textId="77777777" w:rsidR="00E75692" w:rsidRPr="004F20DE" w:rsidRDefault="00E75692" w:rsidP="00EB0B3E">
            <w:pPr>
              <w:pStyle w:val="NormalWeb"/>
              <w:jc w:val="left"/>
              <w:rPr>
                <w:sz w:val="18"/>
                <w:szCs w:val="18"/>
                <w:lang w:val="en-GB"/>
              </w:rPr>
            </w:pPr>
            <w:r w:rsidRPr="004F20DE">
              <w:rPr>
                <w:sz w:val="18"/>
                <w:szCs w:val="18"/>
                <w:lang w:val="en-GB"/>
              </w:rPr>
              <w:t>Five yearly</w:t>
            </w:r>
          </w:p>
        </w:tc>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D94B598" w14:textId="77777777" w:rsidR="00E75692" w:rsidRPr="004F20DE" w:rsidRDefault="00E75692" w:rsidP="00EB0B3E">
            <w:pPr>
              <w:pStyle w:val="NormalWeb"/>
              <w:rPr>
                <w:sz w:val="18"/>
                <w:szCs w:val="18"/>
                <w:lang w:val="en-GB"/>
              </w:rPr>
            </w:pPr>
            <w:r w:rsidRPr="004F20DE">
              <w:rPr>
                <w:sz w:val="18"/>
                <w:szCs w:val="18"/>
                <w:lang w:val="en-GB"/>
              </w:rPr>
              <w:t>Preceding 5 years (2013–2017)</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D0786FE" w14:textId="77777777" w:rsidR="00E75692" w:rsidRPr="004F20DE" w:rsidRDefault="00E75692" w:rsidP="00EB0B3E">
            <w:pPr>
              <w:pStyle w:val="NormalWeb"/>
              <w:rPr>
                <w:sz w:val="18"/>
                <w:szCs w:val="18"/>
                <w:lang w:val="en-GB"/>
              </w:rPr>
            </w:pPr>
            <w:r w:rsidRPr="004F20DE">
              <w:rPr>
                <w:sz w:val="18"/>
                <w:szCs w:val="18"/>
                <w:lang w:val="en-GB"/>
              </w:rPr>
              <w:t>38</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4D2CB5E" w14:textId="77777777" w:rsidR="00E75692" w:rsidRPr="004F20DE" w:rsidRDefault="00E75692" w:rsidP="00EB0B3E">
            <w:pPr>
              <w:pStyle w:val="NormalWeb"/>
              <w:rPr>
                <w:sz w:val="18"/>
                <w:szCs w:val="18"/>
                <w:lang w:val="en-GB"/>
              </w:rPr>
            </w:pPr>
            <w:r w:rsidRPr="004F20DE">
              <w:rPr>
                <w:sz w:val="18"/>
                <w:szCs w:val="18"/>
                <w:lang w:val="en-GB"/>
              </w:rPr>
              <w:t>3.6</w:t>
            </w:r>
          </w:p>
        </w:tc>
        <w:tc>
          <w:tcPr>
            <w:tcW w:w="186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5D089D3" w14:textId="77777777" w:rsidR="00E75692" w:rsidRPr="004F20DE" w:rsidRDefault="00E75692" w:rsidP="00EB0B3E">
            <w:pPr>
              <w:pStyle w:val="NormalWeb"/>
              <w:rPr>
                <w:sz w:val="18"/>
                <w:szCs w:val="18"/>
                <w:lang w:val="en-GB"/>
              </w:rPr>
            </w:pPr>
            <w:r w:rsidRPr="004F20DE">
              <w:rPr>
                <w:sz w:val="18"/>
                <w:szCs w:val="18"/>
                <w:lang w:val="en-GB"/>
              </w:rPr>
              <w:t>—</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C4431BA" w14:textId="77777777" w:rsidR="00E75692" w:rsidRPr="004F20DE" w:rsidRDefault="00E75692" w:rsidP="00EB0B3E">
            <w:pPr>
              <w:pStyle w:val="NormalWeb"/>
              <w:rPr>
                <w:sz w:val="18"/>
                <w:szCs w:val="18"/>
                <w:lang w:val="en-GB"/>
              </w:rPr>
            </w:pPr>
            <w:r w:rsidRPr="004F20DE">
              <w:rPr>
                <w:sz w:val="18"/>
                <w:szCs w:val="18"/>
                <w:lang w:val="en-GB"/>
              </w:rPr>
              <w:t>—</w:t>
            </w:r>
          </w:p>
        </w:tc>
      </w:tr>
      <w:tr w:rsidR="00E75692" w:rsidRPr="004F20DE" w14:paraId="45C19290" w14:textId="77777777" w:rsidTr="00E75692">
        <w:trPr>
          <w:cnfStyle w:val="000000010000" w:firstRow="0" w:lastRow="0" w:firstColumn="0" w:lastColumn="0" w:oddVBand="0" w:evenVBand="0" w:oddHBand="0" w:evenHBand="1" w:firstRowFirstColumn="0" w:firstRowLastColumn="0" w:lastRowFirstColumn="0" w:lastRowLastColumn="0"/>
          <w:divId w:val="1323462985"/>
        </w:trPr>
        <w:tc>
          <w:tcPr>
            <w:tcW w:w="1985"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EA1EA0B" w14:textId="77777777" w:rsidR="00E75692" w:rsidRPr="004F20DE" w:rsidRDefault="00E75692" w:rsidP="00EB0B3E">
            <w:pPr>
              <w:jc w:val="left"/>
              <w:rPr>
                <w:sz w:val="18"/>
                <w:szCs w:val="18"/>
                <w:lang w:val="en-GB"/>
              </w:rPr>
            </w:pPr>
          </w:p>
        </w:tc>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49C8F19" w14:textId="77777777" w:rsidR="00E75692" w:rsidRPr="004F20DE" w:rsidRDefault="00E75692" w:rsidP="00EB0B3E">
            <w:pPr>
              <w:pStyle w:val="NormalWeb"/>
              <w:rPr>
                <w:sz w:val="18"/>
                <w:szCs w:val="18"/>
                <w:lang w:val="en-GB"/>
              </w:rPr>
            </w:pPr>
            <w:r w:rsidRPr="004F20DE">
              <w:rPr>
                <w:sz w:val="18"/>
                <w:szCs w:val="18"/>
                <w:lang w:val="en-GB"/>
              </w:rPr>
              <w:t>Recent 5 years (2018–2022)</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52A8987" w14:textId="77777777" w:rsidR="00E75692" w:rsidRPr="004F20DE" w:rsidRDefault="00E75692" w:rsidP="00EB0B3E">
            <w:pPr>
              <w:pStyle w:val="NormalWeb"/>
              <w:rPr>
                <w:sz w:val="18"/>
                <w:szCs w:val="18"/>
                <w:lang w:val="en-GB"/>
              </w:rPr>
            </w:pPr>
            <w:r w:rsidRPr="004F20DE">
              <w:rPr>
                <w:sz w:val="18"/>
                <w:szCs w:val="18"/>
                <w:lang w:val="en-GB"/>
              </w:rPr>
              <w:t>49</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BEAB28C" w14:textId="77777777" w:rsidR="00E75692" w:rsidRPr="004F20DE" w:rsidRDefault="00E75692" w:rsidP="00EB0B3E">
            <w:pPr>
              <w:pStyle w:val="NormalWeb"/>
              <w:rPr>
                <w:sz w:val="18"/>
                <w:szCs w:val="18"/>
                <w:lang w:val="en-GB"/>
              </w:rPr>
            </w:pPr>
            <w:r w:rsidRPr="004F20DE">
              <w:rPr>
                <w:sz w:val="18"/>
                <w:szCs w:val="18"/>
                <w:lang w:val="en-GB"/>
              </w:rPr>
              <w:t>4.4</w:t>
            </w:r>
          </w:p>
        </w:tc>
        <w:tc>
          <w:tcPr>
            <w:tcW w:w="186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5D068AC" w14:textId="77777777" w:rsidR="00E75692" w:rsidRPr="004F20DE" w:rsidRDefault="00E75692" w:rsidP="00EB0B3E">
            <w:pPr>
              <w:pStyle w:val="NormalWeb"/>
              <w:rPr>
                <w:sz w:val="18"/>
                <w:szCs w:val="18"/>
                <w:lang w:val="en-GB"/>
              </w:rPr>
            </w:pPr>
            <w:r w:rsidRPr="004F20DE">
              <w:rPr>
                <w:sz w:val="18"/>
                <w:szCs w:val="18"/>
                <w:lang w:val="en-GB"/>
              </w:rPr>
              <w:t>1.25 (1.24–1.25)</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74C50B8" w14:textId="77777777" w:rsidR="00E75692" w:rsidRPr="004F20DE" w:rsidRDefault="00E75692" w:rsidP="00EB0B3E">
            <w:pPr>
              <w:pStyle w:val="NormalWeb"/>
              <w:rPr>
                <w:sz w:val="18"/>
                <w:szCs w:val="18"/>
                <w:lang w:val="en-GB"/>
              </w:rPr>
            </w:pPr>
            <w:r w:rsidRPr="004F20DE">
              <w:rPr>
                <w:sz w:val="18"/>
                <w:szCs w:val="18"/>
                <w:lang w:val="en-GB"/>
              </w:rPr>
              <w:t>25%</w:t>
            </w:r>
          </w:p>
        </w:tc>
      </w:tr>
    </w:tbl>
    <w:p w14:paraId="1C0085A3" w14:textId="54977A84" w:rsidR="00E75692" w:rsidRDefault="00E75692" w:rsidP="00E75692">
      <w:pPr>
        <w:pStyle w:val="CDIfootnotes"/>
        <w:divId w:val="1323462985"/>
      </w:pPr>
      <w:r w:rsidRPr="00CF3841">
        <w:t>a</w:t>
      </w:r>
      <w:r w:rsidRPr="00CF3841">
        <w:tab/>
        <w:t>95% CI: 95% confidence interval.</w:t>
      </w:r>
    </w:p>
    <w:p w14:paraId="77E3A504" w14:textId="05E77858" w:rsidR="00317E33" w:rsidRPr="00317E33" w:rsidRDefault="00317E33" w:rsidP="00317E33">
      <w:pPr>
        <w:pStyle w:val="Heading1"/>
        <w:divId w:val="1323462985"/>
      </w:pPr>
      <w:r w:rsidRPr="00317E33">
        <w:t xml:space="preserve">Discussion and conclusion </w:t>
      </w:r>
    </w:p>
    <w:p w14:paraId="733E797E" w14:textId="5093D11B" w:rsidR="00317E33" w:rsidRDefault="00317E33" w:rsidP="00317E33">
      <w:pPr>
        <w:divId w:val="1323462985"/>
      </w:pPr>
      <w:r>
        <w:t xml:space="preserve">Q fever is a significant public health issue for </w:t>
      </w:r>
      <w:proofErr w:type="gramStart"/>
      <w:r>
        <w:t>several</w:t>
      </w:r>
      <w:proofErr w:type="gramEnd"/>
      <w:r>
        <w:t xml:space="preserve"> reasons. Although most cases of Q fever can </w:t>
      </w:r>
      <w:proofErr w:type="gramStart"/>
      <w:r>
        <w:t>be successfully treated</w:t>
      </w:r>
      <w:proofErr w:type="gramEnd"/>
      <w:r>
        <w:t xml:space="preserve"> with a two-week course of doxycycline, chronic cases require complex management and have a profound impact on both the patient and healthcare system.</w:t>
      </w:r>
      <w:r>
        <w:rPr>
          <w:vertAlign w:val="superscript"/>
        </w:rPr>
        <w:t>6</w:t>
      </w:r>
      <w:r>
        <w:t xml:space="preserve"> Furthermore, it is one of the notifiable diseases with an effective vaccine which can significantly reduce the incidence when there is broad uptake across high-risk settings. While Q fever is rarely transmitted between people,</w:t>
      </w:r>
      <w:proofErr w:type="gramStart"/>
      <w:r>
        <w:rPr>
          <w:vertAlign w:val="superscript"/>
        </w:rPr>
        <w:t>14</w:t>
      </w:r>
      <w:proofErr w:type="gramEnd"/>
      <w:r>
        <w:t xml:space="preserve"> clusters of cases may be associated with a common exposure; identifying increasing trends can help to address unmitigated risks and potential areas with indications for vaccination. As residence </w:t>
      </w:r>
      <w:proofErr w:type="gramStart"/>
      <w:r>
        <w:t>in close proximity to</w:t>
      </w:r>
      <w:proofErr w:type="gramEnd"/>
      <w:r>
        <w:t xml:space="preserve"> wildlife such as kangaroos and wallabies is a known risk factor for Q fever, the increase in cases in this instance was deemed to be potentially associated with the local suburb expansion,</w:t>
      </w:r>
      <w:r>
        <w:rPr>
          <w:vertAlign w:val="superscript"/>
        </w:rPr>
        <w:t>15</w:t>
      </w:r>
      <w:r>
        <w:t xml:space="preserve"> as well as with persistent dry and windy conditions which can increase the risk of transmission to</w:t>
      </w:r>
      <w:r w:rsidR="00B0480C">
        <w:t> </w:t>
      </w:r>
      <w:r>
        <w:t xml:space="preserve">humans. </w:t>
      </w:r>
    </w:p>
    <w:p w14:paraId="3EC7DE78" w14:textId="675DADDE" w:rsidR="00317E33" w:rsidRDefault="00317E33" w:rsidP="00317E33">
      <w:pPr>
        <w:divId w:val="1323462985"/>
      </w:pPr>
      <w:r>
        <w:t xml:space="preserve">While this study is limited by the </w:t>
      </w:r>
      <w:proofErr w:type="gramStart"/>
      <w:r>
        <w:t>relatively small</w:t>
      </w:r>
      <w:proofErr w:type="gramEnd"/>
      <w:r>
        <w:t xml:space="preserve"> total number of cases as well as limited specific population data, the overall trend of increasing cases outside of the typical rural locations is notable. Wide Bay was the fastest growing regional Queensland SA4</w:t>
      </w:r>
      <w:r w:rsidR="003D517E">
        <w:rPr>
          <w:rStyle w:val="FootnoteReference"/>
        </w:rPr>
        <w:footnoteReference w:id="2"/>
      </w:r>
      <w:r>
        <w:t xml:space="preserve"> in 2020–2021,</w:t>
      </w:r>
      <w:r>
        <w:rPr>
          <w:vertAlign w:val="superscript"/>
        </w:rPr>
        <w:t>13</w:t>
      </w:r>
      <w:r>
        <w:t xml:space="preserve"> suggesting urban expansion is likely to continue. A continuing trend of a broader section of the population being at risk of Q fever may suggest a need to increase clinical suspicion of the diagnosis, as well as broadening of vaccination recommendations, though economic evaluation should </w:t>
      </w:r>
      <w:proofErr w:type="gramStart"/>
      <w:r>
        <w:t>be considered</w:t>
      </w:r>
      <w:proofErr w:type="gramEnd"/>
      <w:r>
        <w:t xml:space="preserve">. Improving awareness among the community and medical practitioners of the evolving risk factors for Q fever and the role of vaccinations can help to </w:t>
      </w:r>
      <w:proofErr w:type="gramStart"/>
      <w:r>
        <w:t>facilitate</w:t>
      </w:r>
      <w:proofErr w:type="gramEnd"/>
      <w:r>
        <w:t xml:space="preserve"> further disease prevention, and a reduced incidence across the population. </w:t>
      </w:r>
    </w:p>
    <w:p w14:paraId="1D3C91B3" w14:textId="77777777" w:rsidR="005931CC" w:rsidRDefault="005931CC">
      <w:pPr>
        <w:rPr>
          <w:rFonts w:asciiTheme="majorHAnsi" w:eastAsiaTheme="majorEastAsia" w:hAnsiTheme="majorHAnsi" w:cstheme="majorBidi"/>
          <w:b/>
          <w:bCs/>
          <w:sz w:val="32"/>
          <w:szCs w:val="28"/>
        </w:rPr>
      </w:pPr>
      <w:r>
        <w:br w:type="page"/>
      </w:r>
    </w:p>
    <w:p w14:paraId="14AE79A3" w14:textId="130AB7DF" w:rsidR="00317E33" w:rsidRPr="00317E33" w:rsidRDefault="00317E33" w:rsidP="00317E33">
      <w:pPr>
        <w:pStyle w:val="Heading1"/>
        <w:divId w:val="1323462985"/>
      </w:pPr>
      <w:r w:rsidRPr="00317E33">
        <w:lastRenderedPageBreak/>
        <w:t xml:space="preserve">Acknowledgments </w:t>
      </w:r>
    </w:p>
    <w:p w14:paraId="047D261B" w14:textId="3A8BFE6A" w:rsidR="00317E33" w:rsidRDefault="00317E33" w:rsidP="00317E33">
      <w:pPr>
        <w:divId w:val="1323462985"/>
      </w:pPr>
      <w:r>
        <w:t>The authors would like to acknowledge Wide Bay Public Health Unit staff who have interviewed and followed up Q</w:t>
      </w:r>
      <w:r w:rsidR="00C054F1">
        <w:t> </w:t>
      </w:r>
      <w:r>
        <w:t>Fever cases in the region.</w:t>
      </w:r>
    </w:p>
    <w:p w14:paraId="502B7CA6" w14:textId="77777777" w:rsidR="00317E33" w:rsidRPr="00317E33" w:rsidRDefault="00317E33" w:rsidP="00317E33">
      <w:pPr>
        <w:pStyle w:val="Heading1"/>
        <w:divId w:val="1323462985"/>
      </w:pPr>
      <w:r w:rsidRPr="00317E33">
        <w:t xml:space="preserve">Author details </w:t>
      </w:r>
    </w:p>
    <w:p w14:paraId="2F59D7E7" w14:textId="77777777" w:rsidR="00317E33" w:rsidRDefault="00317E33" w:rsidP="00317E33">
      <w:pPr>
        <w:divId w:val="1323462985"/>
      </w:pPr>
      <w:r>
        <w:t>Dr Matthew Roughan</w:t>
      </w:r>
      <w:r>
        <w:rPr>
          <w:vertAlign w:val="superscript"/>
        </w:rPr>
        <w:t xml:space="preserve">1 </w:t>
      </w:r>
    </w:p>
    <w:p w14:paraId="24BC8C77" w14:textId="77777777" w:rsidR="00317E33" w:rsidRDefault="00317E33" w:rsidP="00317E33">
      <w:pPr>
        <w:divId w:val="1323462985"/>
      </w:pPr>
      <w:r>
        <w:t>Dr Emma Hodge</w:t>
      </w:r>
      <w:r>
        <w:rPr>
          <w:vertAlign w:val="superscript"/>
        </w:rPr>
        <w:t xml:space="preserve">1 </w:t>
      </w:r>
    </w:p>
    <w:p w14:paraId="70657902" w14:textId="77777777" w:rsidR="00317E33" w:rsidRDefault="00317E33" w:rsidP="00317E33">
      <w:pPr>
        <w:divId w:val="1323462985"/>
      </w:pPr>
      <w:r>
        <w:t>Dr Arifuzzaman Khan</w:t>
      </w:r>
      <w:r>
        <w:rPr>
          <w:vertAlign w:val="superscript"/>
        </w:rPr>
        <w:t xml:space="preserve">1,2 </w:t>
      </w:r>
    </w:p>
    <w:p w14:paraId="7FE04260" w14:textId="77777777" w:rsidR="00317E33" w:rsidRDefault="00317E33" w:rsidP="00317E33">
      <w:pPr>
        <w:divId w:val="1323462985"/>
      </w:pPr>
      <w:r>
        <w:t>Dr Josette Chor</w:t>
      </w:r>
      <w:r>
        <w:rPr>
          <w:vertAlign w:val="superscript"/>
        </w:rPr>
        <w:t xml:space="preserve">1 </w:t>
      </w:r>
    </w:p>
    <w:p w14:paraId="595F586E" w14:textId="77777777" w:rsidR="00317E33" w:rsidRPr="00317E33" w:rsidRDefault="00317E33" w:rsidP="00317E33">
      <w:pPr>
        <w:pStyle w:val="ListParagraph"/>
        <w:numPr>
          <w:ilvl w:val="0"/>
          <w:numId w:val="9"/>
        </w:numPr>
        <w:divId w:val="1323462985"/>
        <w:rPr>
          <w:rFonts w:eastAsia="Times New Roman"/>
        </w:rPr>
      </w:pPr>
      <w:r w:rsidRPr="00317E33">
        <w:rPr>
          <w:rFonts w:eastAsia="Times New Roman"/>
        </w:rPr>
        <w:t xml:space="preserve">Wide Bay Public Health Unit (Wide Bay Hospital and Health Service) </w:t>
      </w:r>
    </w:p>
    <w:p w14:paraId="39D06208" w14:textId="77777777" w:rsidR="00317E33" w:rsidRPr="00317E33" w:rsidRDefault="00317E33" w:rsidP="00317E33">
      <w:pPr>
        <w:pStyle w:val="ListParagraph"/>
        <w:numPr>
          <w:ilvl w:val="0"/>
          <w:numId w:val="9"/>
        </w:numPr>
        <w:divId w:val="1323462985"/>
        <w:rPr>
          <w:rFonts w:eastAsia="Times New Roman"/>
        </w:rPr>
      </w:pPr>
      <w:r w:rsidRPr="00317E33">
        <w:rPr>
          <w:rFonts w:eastAsia="Times New Roman"/>
        </w:rPr>
        <w:t xml:space="preserve">ORCID-ID (0000-0003-4770-8308) </w:t>
      </w:r>
    </w:p>
    <w:p w14:paraId="0A4DA03B" w14:textId="77777777" w:rsidR="00317E33" w:rsidRPr="00317E33" w:rsidRDefault="00317E33" w:rsidP="005931CC">
      <w:pPr>
        <w:pStyle w:val="Heading2"/>
        <w:spacing w:after="120"/>
        <w:divId w:val="1323462985"/>
      </w:pPr>
      <w:r w:rsidRPr="00317E33">
        <w:t xml:space="preserve">Corresponding author </w:t>
      </w:r>
    </w:p>
    <w:p w14:paraId="5F08AA4F" w14:textId="77777777" w:rsidR="00317E33" w:rsidRDefault="00317E33" w:rsidP="00317E33">
      <w:pPr>
        <w:divId w:val="1323462985"/>
      </w:pPr>
      <w:r>
        <w:t xml:space="preserve">Dr Matthew Roughan </w:t>
      </w:r>
    </w:p>
    <w:p w14:paraId="6A7A7F59" w14:textId="77777777" w:rsidR="00317E33" w:rsidRDefault="00317E33" w:rsidP="00317E33">
      <w:pPr>
        <w:divId w:val="1323462985"/>
      </w:pPr>
      <w:r>
        <w:t xml:space="preserve">Wide Bay Public Health Unit (Wide Bay Hospital and Health Service) </w:t>
      </w:r>
    </w:p>
    <w:p w14:paraId="787473B0" w14:textId="77777777" w:rsidR="00317E33" w:rsidRDefault="00317E33" w:rsidP="00317E33">
      <w:pPr>
        <w:divId w:val="1323462985"/>
      </w:pPr>
      <w:r>
        <w:t>Email: Matthew.roughan@health.qld.gov.au</w:t>
      </w:r>
    </w:p>
    <w:p w14:paraId="26871888" w14:textId="77777777" w:rsidR="00317E33" w:rsidRPr="00317E33" w:rsidRDefault="00317E33" w:rsidP="00317E33">
      <w:pPr>
        <w:pStyle w:val="Heading1"/>
        <w:divId w:val="1323462985"/>
      </w:pPr>
      <w:r w:rsidRPr="00317E33">
        <w:t xml:space="preserve">References </w:t>
      </w:r>
    </w:p>
    <w:p w14:paraId="27C4DAF8" w14:textId="77777777" w:rsidR="00317E33" w:rsidRPr="00317E33" w:rsidRDefault="00317E33" w:rsidP="00317E33">
      <w:pPr>
        <w:pStyle w:val="ListParagraph"/>
        <w:numPr>
          <w:ilvl w:val="0"/>
          <w:numId w:val="10"/>
        </w:numPr>
        <w:divId w:val="1323462985"/>
        <w:rPr>
          <w:rFonts w:eastAsia="Times New Roman"/>
        </w:rPr>
      </w:pPr>
      <w:r w:rsidRPr="00317E33">
        <w:rPr>
          <w:rFonts w:eastAsia="Times New Roman"/>
        </w:rPr>
        <w:t xml:space="preserve">Derrick EH. “Q” fever, a new fever entity: clinical features, </w:t>
      </w:r>
      <w:proofErr w:type="gramStart"/>
      <w:r w:rsidRPr="00317E33">
        <w:rPr>
          <w:rFonts w:eastAsia="Times New Roman"/>
        </w:rPr>
        <w:t>diagnosis</w:t>
      </w:r>
      <w:proofErr w:type="gramEnd"/>
      <w:r w:rsidRPr="00317E33">
        <w:rPr>
          <w:rFonts w:eastAsia="Times New Roman"/>
        </w:rPr>
        <w:t xml:space="preserve"> and laboratory investigation. </w:t>
      </w:r>
      <w:r w:rsidRPr="009F54A9">
        <w:rPr>
          <w:rStyle w:val="Emphasis"/>
          <w:rFonts w:eastAsia="Times New Roman"/>
          <w:b w:val="0"/>
          <w:bCs w:val="0"/>
        </w:rPr>
        <w:t>Med J Aust</w:t>
      </w:r>
      <w:r w:rsidRPr="00317E33">
        <w:rPr>
          <w:rFonts w:eastAsia="Times New Roman"/>
        </w:rPr>
        <w:t xml:space="preserve">. 1937;2(8):281–99. (Reprinted as </w:t>
      </w:r>
      <w:r w:rsidRPr="009F54A9">
        <w:rPr>
          <w:rStyle w:val="Emphasis"/>
          <w:rFonts w:eastAsia="Times New Roman"/>
          <w:b w:val="0"/>
          <w:bCs w:val="0"/>
        </w:rPr>
        <w:t>Rev Infect Dis.</w:t>
      </w:r>
      <w:r w:rsidRPr="00317E33">
        <w:rPr>
          <w:rFonts w:eastAsia="Times New Roman"/>
        </w:rPr>
        <w:t xml:space="preserve"> 1983;5(4):790–</w:t>
      </w:r>
      <w:proofErr w:type="gramStart"/>
      <w:r w:rsidRPr="00317E33">
        <w:rPr>
          <w:rFonts w:eastAsia="Times New Roman"/>
        </w:rPr>
        <w:t>800</w:t>
      </w:r>
      <w:proofErr w:type="gramEnd"/>
      <w:r w:rsidRPr="00317E33">
        <w:rPr>
          <w:rFonts w:eastAsia="Times New Roman"/>
        </w:rPr>
        <w:t xml:space="preserve">. </w:t>
      </w:r>
      <w:proofErr w:type="spellStart"/>
      <w:r w:rsidRPr="00317E33">
        <w:rPr>
          <w:rFonts w:eastAsia="Times New Roman"/>
        </w:rPr>
        <w:t>doi</w:t>
      </w:r>
      <w:proofErr w:type="spellEnd"/>
      <w:r w:rsidRPr="00317E33">
        <w:rPr>
          <w:rFonts w:eastAsia="Times New Roman"/>
        </w:rPr>
        <w:t xml:space="preserve">: https://doi.org/10.1093/clinids/5.4.790.) </w:t>
      </w:r>
    </w:p>
    <w:p w14:paraId="46113376" w14:textId="77777777" w:rsidR="00317E33" w:rsidRPr="00317E33" w:rsidRDefault="00317E33" w:rsidP="00317E33">
      <w:pPr>
        <w:pStyle w:val="ListParagraph"/>
        <w:numPr>
          <w:ilvl w:val="0"/>
          <w:numId w:val="10"/>
        </w:numPr>
        <w:divId w:val="1323462985"/>
        <w:rPr>
          <w:rFonts w:eastAsia="Times New Roman"/>
        </w:rPr>
      </w:pPr>
      <w:r w:rsidRPr="00317E33">
        <w:rPr>
          <w:rFonts w:eastAsia="Times New Roman"/>
        </w:rPr>
        <w:t xml:space="preserve">Gidding HF, Peng CQ, Graves S, Massey PD, Nguyen C, Stenos J et al. Q fever seroprevalence in Australia suggests one in twenty people have </w:t>
      </w:r>
      <w:proofErr w:type="gramStart"/>
      <w:r w:rsidRPr="00317E33">
        <w:rPr>
          <w:rFonts w:eastAsia="Times New Roman"/>
        </w:rPr>
        <w:t>been exposed</w:t>
      </w:r>
      <w:proofErr w:type="gramEnd"/>
      <w:r w:rsidRPr="00317E33">
        <w:rPr>
          <w:rFonts w:eastAsia="Times New Roman"/>
        </w:rPr>
        <w:t xml:space="preserve">. </w:t>
      </w:r>
      <w:r w:rsidRPr="009F54A9">
        <w:rPr>
          <w:rStyle w:val="Emphasis"/>
          <w:rFonts w:eastAsia="Times New Roman"/>
          <w:b w:val="0"/>
          <w:bCs w:val="0"/>
        </w:rPr>
        <w:t>Epidemiol Infect</w:t>
      </w:r>
      <w:r w:rsidRPr="00317E33">
        <w:rPr>
          <w:rFonts w:eastAsia="Times New Roman"/>
        </w:rPr>
        <w:t>. 2020;</w:t>
      </w:r>
      <w:proofErr w:type="gramStart"/>
      <w:r w:rsidRPr="00317E33">
        <w:rPr>
          <w:rFonts w:eastAsia="Times New Roman"/>
        </w:rPr>
        <w:t>148:e</w:t>
      </w:r>
      <w:proofErr w:type="gramEnd"/>
      <w:r w:rsidRPr="00317E33">
        <w:rPr>
          <w:rFonts w:eastAsia="Times New Roman"/>
        </w:rPr>
        <w:t xml:space="preserve">18. </w:t>
      </w:r>
      <w:proofErr w:type="spellStart"/>
      <w:r w:rsidRPr="00317E33">
        <w:rPr>
          <w:rFonts w:eastAsia="Times New Roman"/>
        </w:rPr>
        <w:t>doi</w:t>
      </w:r>
      <w:proofErr w:type="spellEnd"/>
      <w:r w:rsidRPr="00317E33">
        <w:rPr>
          <w:rFonts w:eastAsia="Times New Roman"/>
        </w:rPr>
        <w:t xml:space="preserve">: https://doi.org/10.1017/S0950268820000084. </w:t>
      </w:r>
    </w:p>
    <w:p w14:paraId="1CF007C4" w14:textId="77777777" w:rsidR="00317E33" w:rsidRPr="00317E33" w:rsidRDefault="00317E33" w:rsidP="00317E33">
      <w:pPr>
        <w:pStyle w:val="ListParagraph"/>
        <w:numPr>
          <w:ilvl w:val="0"/>
          <w:numId w:val="10"/>
        </w:numPr>
        <w:divId w:val="1323462985"/>
        <w:rPr>
          <w:rFonts w:eastAsia="Times New Roman"/>
        </w:rPr>
      </w:pPr>
      <w:proofErr w:type="spellStart"/>
      <w:r w:rsidRPr="00317E33">
        <w:rPr>
          <w:rFonts w:eastAsia="Times New Roman"/>
        </w:rPr>
        <w:t>Heymann</w:t>
      </w:r>
      <w:proofErr w:type="spellEnd"/>
      <w:r w:rsidRPr="00317E33">
        <w:rPr>
          <w:rFonts w:eastAsia="Times New Roman"/>
        </w:rPr>
        <w:t xml:space="preserve"> DL, ed. </w:t>
      </w:r>
      <w:r w:rsidRPr="009F54A9">
        <w:rPr>
          <w:rStyle w:val="Emphasis"/>
          <w:rFonts w:eastAsia="Times New Roman"/>
          <w:b w:val="0"/>
          <w:bCs w:val="0"/>
        </w:rPr>
        <w:t>Control of Communicable Diseases Manual: an official report of the American Public Health Association</w:t>
      </w:r>
      <w:r w:rsidRPr="00317E33">
        <w:rPr>
          <w:rFonts w:eastAsia="Times New Roman"/>
        </w:rPr>
        <w:t xml:space="preserve">. 20th ed. Fort Worth: APHA Press, 2015. </w:t>
      </w:r>
    </w:p>
    <w:p w14:paraId="3F66B222" w14:textId="77777777" w:rsidR="00317E33" w:rsidRPr="00317E33" w:rsidRDefault="00317E33" w:rsidP="00317E33">
      <w:pPr>
        <w:pStyle w:val="ListParagraph"/>
        <w:numPr>
          <w:ilvl w:val="0"/>
          <w:numId w:val="10"/>
        </w:numPr>
        <w:divId w:val="1323462985"/>
        <w:rPr>
          <w:rFonts w:eastAsia="Times New Roman"/>
        </w:rPr>
      </w:pPr>
      <w:r w:rsidRPr="00317E33">
        <w:rPr>
          <w:rFonts w:eastAsia="Times New Roman"/>
        </w:rPr>
        <w:t xml:space="preserve">Parker NR, </w:t>
      </w:r>
      <w:proofErr w:type="spellStart"/>
      <w:r w:rsidRPr="00317E33">
        <w:rPr>
          <w:rFonts w:eastAsia="Times New Roman"/>
        </w:rPr>
        <w:t>Barralet</w:t>
      </w:r>
      <w:proofErr w:type="spellEnd"/>
      <w:r w:rsidRPr="00317E33">
        <w:rPr>
          <w:rFonts w:eastAsia="Times New Roman"/>
        </w:rPr>
        <w:t xml:space="preserve"> JH, Bell AM. Q fever. </w:t>
      </w:r>
      <w:r w:rsidRPr="009F54A9">
        <w:rPr>
          <w:rStyle w:val="Emphasis"/>
          <w:rFonts w:eastAsia="Times New Roman"/>
          <w:b w:val="0"/>
          <w:bCs w:val="0"/>
        </w:rPr>
        <w:t>Lancet</w:t>
      </w:r>
      <w:r w:rsidRPr="00317E33">
        <w:rPr>
          <w:rFonts w:eastAsia="Times New Roman"/>
        </w:rPr>
        <w:t xml:space="preserve">. 2006;367(9511):679–88. </w:t>
      </w:r>
      <w:proofErr w:type="spellStart"/>
      <w:r w:rsidRPr="00317E33">
        <w:rPr>
          <w:rFonts w:eastAsia="Times New Roman"/>
        </w:rPr>
        <w:t>doi</w:t>
      </w:r>
      <w:proofErr w:type="spellEnd"/>
      <w:r w:rsidRPr="00317E33">
        <w:rPr>
          <w:rFonts w:eastAsia="Times New Roman"/>
        </w:rPr>
        <w:t xml:space="preserve">: https://doi.org/10.1016/S0140-6736(06)68266-4. </w:t>
      </w:r>
    </w:p>
    <w:p w14:paraId="61CCAA93" w14:textId="77777777" w:rsidR="00317E33" w:rsidRPr="00317E33" w:rsidRDefault="00317E33" w:rsidP="00317E33">
      <w:pPr>
        <w:pStyle w:val="ListParagraph"/>
        <w:numPr>
          <w:ilvl w:val="0"/>
          <w:numId w:val="10"/>
        </w:numPr>
        <w:divId w:val="1323462985"/>
        <w:rPr>
          <w:rFonts w:eastAsia="Times New Roman"/>
        </w:rPr>
      </w:pPr>
      <w:r w:rsidRPr="00317E33">
        <w:rPr>
          <w:rFonts w:eastAsia="Times New Roman"/>
        </w:rPr>
        <w:t xml:space="preserve">Gidding HF, Faddy HM, </w:t>
      </w:r>
      <w:proofErr w:type="spellStart"/>
      <w:r w:rsidRPr="00317E33">
        <w:rPr>
          <w:rFonts w:eastAsia="Times New Roman"/>
        </w:rPr>
        <w:t>Durrheim</w:t>
      </w:r>
      <w:proofErr w:type="spellEnd"/>
      <w:r w:rsidRPr="00317E33">
        <w:rPr>
          <w:rFonts w:eastAsia="Times New Roman"/>
        </w:rPr>
        <w:t xml:space="preserve"> DN, Graves SR, Nguyen C, Hutchinson P et al. Seroprevalence of Q fever among metropolitan and non-metropolitan blood donors in New South Wales and Queensland, 2014–2015. </w:t>
      </w:r>
      <w:r w:rsidRPr="009F54A9">
        <w:rPr>
          <w:rStyle w:val="Emphasis"/>
          <w:rFonts w:eastAsia="Times New Roman"/>
          <w:b w:val="0"/>
          <w:bCs w:val="0"/>
        </w:rPr>
        <w:t>Med J Aust</w:t>
      </w:r>
      <w:r w:rsidRPr="00317E33">
        <w:rPr>
          <w:rFonts w:eastAsia="Times New Roman"/>
        </w:rPr>
        <w:t xml:space="preserve">. 2019;210(7):309–15. </w:t>
      </w:r>
      <w:proofErr w:type="spellStart"/>
      <w:r w:rsidRPr="00317E33">
        <w:rPr>
          <w:rFonts w:eastAsia="Times New Roman"/>
        </w:rPr>
        <w:t>doi</w:t>
      </w:r>
      <w:proofErr w:type="spellEnd"/>
      <w:r w:rsidRPr="00317E33">
        <w:rPr>
          <w:rFonts w:eastAsia="Times New Roman"/>
        </w:rPr>
        <w:t xml:space="preserve">: https://doi.org/10.5694/mja2.13004. </w:t>
      </w:r>
    </w:p>
    <w:p w14:paraId="03B8BCA5" w14:textId="77777777" w:rsidR="00317E33" w:rsidRPr="00317E33" w:rsidRDefault="00317E33" w:rsidP="00317E33">
      <w:pPr>
        <w:pStyle w:val="ListParagraph"/>
        <w:numPr>
          <w:ilvl w:val="0"/>
          <w:numId w:val="10"/>
        </w:numPr>
        <w:divId w:val="1323462985"/>
        <w:rPr>
          <w:rFonts w:eastAsia="Times New Roman"/>
        </w:rPr>
      </w:pPr>
      <w:r w:rsidRPr="00317E33">
        <w:rPr>
          <w:rFonts w:eastAsia="Times New Roman"/>
        </w:rPr>
        <w:t xml:space="preserve">Patil SM, </w:t>
      </w:r>
      <w:proofErr w:type="spellStart"/>
      <w:r w:rsidRPr="00317E33">
        <w:rPr>
          <w:rFonts w:eastAsia="Times New Roman"/>
        </w:rPr>
        <w:t>Regunath</w:t>
      </w:r>
      <w:proofErr w:type="spellEnd"/>
      <w:r w:rsidRPr="00317E33">
        <w:rPr>
          <w:rFonts w:eastAsia="Times New Roman"/>
        </w:rPr>
        <w:t xml:space="preserve"> H. Q Fever. [Internet.] Treasure Island, Florida: </w:t>
      </w:r>
      <w:proofErr w:type="spellStart"/>
      <w:r w:rsidRPr="00317E33">
        <w:rPr>
          <w:rFonts w:eastAsia="Times New Roman"/>
        </w:rPr>
        <w:t>StatPearls</w:t>
      </w:r>
      <w:proofErr w:type="spellEnd"/>
      <w:r w:rsidRPr="00317E33">
        <w:rPr>
          <w:rFonts w:eastAsia="Times New Roman"/>
        </w:rPr>
        <w:t xml:space="preserve">; 18 November 2022. Available from: https://www.statpearls.com/ArticleLibrary/viewarticle/28128. </w:t>
      </w:r>
    </w:p>
    <w:p w14:paraId="6129C75A" w14:textId="77777777" w:rsidR="00317E33" w:rsidRPr="00317E33" w:rsidRDefault="00317E33" w:rsidP="00317E33">
      <w:pPr>
        <w:pStyle w:val="ListParagraph"/>
        <w:numPr>
          <w:ilvl w:val="0"/>
          <w:numId w:val="10"/>
        </w:numPr>
        <w:divId w:val="1323462985"/>
        <w:rPr>
          <w:rFonts w:eastAsia="Times New Roman"/>
        </w:rPr>
      </w:pPr>
      <w:proofErr w:type="spellStart"/>
      <w:r w:rsidRPr="00317E33">
        <w:rPr>
          <w:rFonts w:eastAsia="Times New Roman"/>
        </w:rPr>
        <w:t>Kampschreur</w:t>
      </w:r>
      <w:proofErr w:type="spellEnd"/>
      <w:r w:rsidRPr="00317E33">
        <w:rPr>
          <w:rFonts w:eastAsia="Times New Roman"/>
        </w:rPr>
        <w:t xml:space="preserve"> LM, </w:t>
      </w:r>
      <w:proofErr w:type="spellStart"/>
      <w:r w:rsidRPr="00317E33">
        <w:rPr>
          <w:rFonts w:eastAsia="Times New Roman"/>
        </w:rPr>
        <w:t>Wegdam-Blans</w:t>
      </w:r>
      <w:proofErr w:type="spellEnd"/>
      <w:r w:rsidRPr="00317E33">
        <w:rPr>
          <w:rFonts w:eastAsia="Times New Roman"/>
        </w:rPr>
        <w:t xml:space="preserve"> MC, </w:t>
      </w:r>
      <w:proofErr w:type="spellStart"/>
      <w:r w:rsidRPr="00317E33">
        <w:rPr>
          <w:rFonts w:eastAsia="Times New Roman"/>
        </w:rPr>
        <w:t>Wever</w:t>
      </w:r>
      <w:proofErr w:type="spellEnd"/>
      <w:r w:rsidRPr="00317E33">
        <w:rPr>
          <w:rFonts w:eastAsia="Times New Roman"/>
        </w:rPr>
        <w:t xml:space="preserve"> PC, Renders NH, </w:t>
      </w:r>
      <w:proofErr w:type="spellStart"/>
      <w:r w:rsidRPr="00317E33">
        <w:rPr>
          <w:rFonts w:eastAsia="Times New Roman"/>
        </w:rPr>
        <w:t>Delsing</w:t>
      </w:r>
      <w:proofErr w:type="spellEnd"/>
      <w:r w:rsidRPr="00317E33">
        <w:rPr>
          <w:rFonts w:eastAsia="Times New Roman"/>
        </w:rPr>
        <w:t xml:space="preserve"> CE, </w:t>
      </w:r>
      <w:proofErr w:type="spellStart"/>
      <w:r w:rsidRPr="00317E33">
        <w:rPr>
          <w:rFonts w:eastAsia="Times New Roman"/>
        </w:rPr>
        <w:t>Sprong</w:t>
      </w:r>
      <w:proofErr w:type="spellEnd"/>
      <w:r w:rsidRPr="00317E33">
        <w:rPr>
          <w:rFonts w:eastAsia="Times New Roman"/>
        </w:rPr>
        <w:t xml:space="preserve"> T et al. Chronic Q fever diagnosis— consensus guideline versus expert opinion. </w:t>
      </w:r>
      <w:proofErr w:type="spellStart"/>
      <w:r w:rsidRPr="009F54A9">
        <w:rPr>
          <w:rStyle w:val="Emphasis"/>
          <w:rFonts w:eastAsia="Times New Roman"/>
          <w:b w:val="0"/>
          <w:bCs w:val="0"/>
        </w:rPr>
        <w:t>Emerg</w:t>
      </w:r>
      <w:proofErr w:type="spellEnd"/>
      <w:r w:rsidRPr="009F54A9">
        <w:rPr>
          <w:rStyle w:val="Emphasis"/>
          <w:rFonts w:eastAsia="Times New Roman"/>
          <w:b w:val="0"/>
          <w:bCs w:val="0"/>
        </w:rPr>
        <w:t xml:space="preserve"> Infect Dis</w:t>
      </w:r>
      <w:r w:rsidRPr="00317E33">
        <w:rPr>
          <w:rFonts w:eastAsia="Times New Roman"/>
        </w:rPr>
        <w:t xml:space="preserve">. 2015;21(7):1183–8. </w:t>
      </w:r>
      <w:proofErr w:type="spellStart"/>
      <w:r w:rsidRPr="00317E33">
        <w:rPr>
          <w:rFonts w:eastAsia="Times New Roman"/>
        </w:rPr>
        <w:t>doi</w:t>
      </w:r>
      <w:proofErr w:type="spellEnd"/>
      <w:r w:rsidRPr="00317E33">
        <w:rPr>
          <w:rFonts w:eastAsia="Times New Roman"/>
        </w:rPr>
        <w:t xml:space="preserve">: https://doi.org/10.3201/eid2107.130955. </w:t>
      </w:r>
    </w:p>
    <w:p w14:paraId="1AD1B77E" w14:textId="77777777" w:rsidR="00317E33" w:rsidRPr="00317E33" w:rsidRDefault="00317E33" w:rsidP="00317E33">
      <w:pPr>
        <w:pStyle w:val="ListParagraph"/>
        <w:numPr>
          <w:ilvl w:val="0"/>
          <w:numId w:val="10"/>
        </w:numPr>
        <w:divId w:val="1323462985"/>
        <w:rPr>
          <w:rFonts w:eastAsia="Times New Roman"/>
        </w:rPr>
      </w:pPr>
      <w:r w:rsidRPr="00317E33">
        <w:rPr>
          <w:rFonts w:eastAsia="Times New Roman"/>
        </w:rPr>
        <w:t xml:space="preserve">Australian Government Department of Health and Aged Care. </w:t>
      </w:r>
      <w:r w:rsidRPr="009F54A9">
        <w:rPr>
          <w:rStyle w:val="Emphasis"/>
          <w:rFonts w:eastAsia="Times New Roman"/>
          <w:b w:val="0"/>
          <w:bCs w:val="0"/>
        </w:rPr>
        <w:t>Q fever – CDNA National Guidelines for Public Health Units</w:t>
      </w:r>
      <w:r w:rsidRPr="00317E33">
        <w:rPr>
          <w:rFonts w:eastAsia="Times New Roman"/>
        </w:rPr>
        <w:t xml:space="preserve">. Canberra: Australian Government Department of Health and Aged Care, </w:t>
      </w:r>
      <w:r w:rsidRPr="00317E33">
        <w:rPr>
          <w:rFonts w:eastAsia="Times New Roman"/>
        </w:rPr>
        <w:lastRenderedPageBreak/>
        <w:t xml:space="preserve">Communicable Diseases Network Australia; 27 November 2018. Available from: https://www.health.gov.au/resources/publications/q-fever-cdna-national-guidelines-for-public-health-units. </w:t>
      </w:r>
    </w:p>
    <w:p w14:paraId="7A79108C" w14:textId="77777777" w:rsidR="00317E33" w:rsidRPr="00317E33" w:rsidRDefault="00317E33" w:rsidP="00317E33">
      <w:pPr>
        <w:pStyle w:val="ListParagraph"/>
        <w:numPr>
          <w:ilvl w:val="0"/>
          <w:numId w:val="10"/>
        </w:numPr>
        <w:divId w:val="1323462985"/>
        <w:rPr>
          <w:rFonts w:eastAsia="Times New Roman"/>
        </w:rPr>
      </w:pPr>
      <w:r w:rsidRPr="00317E33">
        <w:rPr>
          <w:rFonts w:eastAsia="Times New Roman"/>
        </w:rPr>
        <w:t xml:space="preserve">Queensland Government Department of Health (Queensland Health). Notifiable conditions annual reporting. [Webpage.] Brisbane: Queensland Health; 2022. Available from: https://www.health.qld.gov.au/clinical-practice/guidelines-procedures/diseases-infection/surveillance/reports/notifiable/annual. </w:t>
      </w:r>
    </w:p>
    <w:p w14:paraId="117CB868" w14:textId="77777777" w:rsidR="00317E33" w:rsidRPr="00317E33" w:rsidRDefault="00317E33" w:rsidP="00317E33">
      <w:pPr>
        <w:pStyle w:val="ListParagraph"/>
        <w:numPr>
          <w:ilvl w:val="0"/>
          <w:numId w:val="10"/>
        </w:numPr>
        <w:divId w:val="1323462985"/>
        <w:rPr>
          <w:rFonts w:eastAsia="Times New Roman"/>
        </w:rPr>
      </w:pPr>
      <w:r w:rsidRPr="00317E33">
        <w:rPr>
          <w:rFonts w:eastAsia="Times New Roman"/>
        </w:rPr>
        <w:t xml:space="preserve">Queensland Health. Notifiable conditions weekly totals. [Webpage.] Brisbane: Queensland Health; 2022. Available from: https://www.health.qld.gov.au/clinical-practice/guidelines-procedures/diseases-infection/surveillance/reports/notifiable/weekly. </w:t>
      </w:r>
    </w:p>
    <w:p w14:paraId="78BB36D5" w14:textId="77777777" w:rsidR="00317E33" w:rsidRPr="00317E33" w:rsidRDefault="00317E33" w:rsidP="00317E33">
      <w:pPr>
        <w:pStyle w:val="ListParagraph"/>
        <w:numPr>
          <w:ilvl w:val="0"/>
          <w:numId w:val="10"/>
        </w:numPr>
        <w:divId w:val="1323462985"/>
        <w:rPr>
          <w:rFonts w:eastAsia="Times New Roman"/>
        </w:rPr>
      </w:pPr>
      <w:r w:rsidRPr="00317E33">
        <w:rPr>
          <w:rFonts w:eastAsia="Times New Roman"/>
        </w:rPr>
        <w:t xml:space="preserve">Australian Government Department of Health and Aged Care. Modified Monash Model. [Webpage.] Canberra: Australian Government Department of Health and Aged Care; 14 December 2021. Available from: https://www.health.gov.au/topics/rural-health-workforce/classifications/mmm. </w:t>
      </w:r>
    </w:p>
    <w:p w14:paraId="41338D67" w14:textId="77777777" w:rsidR="00317E33" w:rsidRPr="00317E33" w:rsidRDefault="00317E33" w:rsidP="00317E33">
      <w:pPr>
        <w:pStyle w:val="ListParagraph"/>
        <w:numPr>
          <w:ilvl w:val="0"/>
          <w:numId w:val="10"/>
        </w:numPr>
        <w:divId w:val="1323462985"/>
        <w:rPr>
          <w:rFonts w:eastAsia="Times New Roman"/>
        </w:rPr>
      </w:pPr>
      <w:r w:rsidRPr="00317E33">
        <w:rPr>
          <w:rFonts w:eastAsia="Times New Roman"/>
        </w:rPr>
        <w:t xml:space="preserve">Queensland Government Statistician’s Office (QGSO). Population Estimates 2023. Estimated resident population by SA1 (ABS consultancy) (table). [Webpage.] Brisbane: QGSO; 20 April 2023. Available from: https://www.qgso.qld.gov.au/statistics/theme/population/population-estimates/regions#current-release-estimated-resident-population-abs-consultancy. </w:t>
      </w:r>
    </w:p>
    <w:p w14:paraId="71C4845A" w14:textId="77777777" w:rsidR="00317E33" w:rsidRPr="00317E33" w:rsidRDefault="00317E33" w:rsidP="00317E33">
      <w:pPr>
        <w:pStyle w:val="ListParagraph"/>
        <w:numPr>
          <w:ilvl w:val="0"/>
          <w:numId w:val="10"/>
        </w:numPr>
        <w:divId w:val="1323462985"/>
        <w:rPr>
          <w:rFonts w:eastAsia="Times New Roman"/>
        </w:rPr>
      </w:pPr>
      <w:r w:rsidRPr="00317E33">
        <w:rPr>
          <w:rFonts w:eastAsia="Times New Roman"/>
        </w:rPr>
        <w:t xml:space="preserve">QGSO. </w:t>
      </w:r>
      <w:r w:rsidRPr="009F54A9">
        <w:rPr>
          <w:rStyle w:val="Emphasis"/>
          <w:rFonts w:eastAsia="Times New Roman"/>
          <w:b w:val="0"/>
          <w:bCs w:val="0"/>
        </w:rPr>
        <w:t>Population growth highlights and trends, Queensland regions, 2022 edition</w:t>
      </w:r>
      <w:r w:rsidRPr="00317E33">
        <w:rPr>
          <w:rFonts w:eastAsia="Times New Roman"/>
        </w:rPr>
        <w:t xml:space="preserve">. Brisbane: Queensland Government, QGSO; 29 March 2022. Available from: https://www.qgso.qld.gov.au/issues/3061/population-growth-highlights-trends-qld-regions-2022-edn.pdf. </w:t>
      </w:r>
    </w:p>
    <w:p w14:paraId="1B166C08" w14:textId="77777777" w:rsidR="00317E33" w:rsidRPr="00317E33" w:rsidRDefault="00317E33" w:rsidP="00317E33">
      <w:pPr>
        <w:pStyle w:val="ListParagraph"/>
        <w:numPr>
          <w:ilvl w:val="0"/>
          <w:numId w:val="10"/>
        </w:numPr>
        <w:divId w:val="1323462985"/>
        <w:rPr>
          <w:rFonts w:eastAsia="Times New Roman"/>
        </w:rPr>
      </w:pPr>
      <w:r w:rsidRPr="00317E33">
        <w:rPr>
          <w:rFonts w:eastAsia="Times New Roman"/>
        </w:rPr>
        <w:t xml:space="preserve">Miceli MH, </w:t>
      </w:r>
      <w:proofErr w:type="spellStart"/>
      <w:r w:rsidRPr="00317E33">
        <w:rPr>
          <w:rFonts w:eastAsia="Times New Roman"/>
        </w:rPr>
        <w:t>Veryser</w:t>
      </w:r>
      <w:proofErr w:type="spellEnd"/>
      <w:r w:rsidRPr="00317E33">
        <w:rPr>
          <w:rFonts w:eastAsia="Times New Roman"/>
        </w:rPr>
        <w:t xml:space="preserve"> AK, Anderson AD, </w:t>
      </w:r>
      <w:proofErr w:type="spellStart"/>
      <w:r w:rsidRPr="00317E33">
        <w:rPr>
          <w:rFonts w:eastAsia="Times New Roman"/>
        </w:rPr>
        <w:t>Hofinger</w:t>
      </w:r>
      <w:proofErr w:type="spellEnd"/>
      <w:r w:rsidRPr="00317E33">
        <w:rPr>
          <w:rFonts w:eastAsia="Times New Roman"/>
        </w:rPr>
        <w:t xml:space="preserve"> D, Lee SA, </w:t>
      </w:r>
      <w:proofErr w:type="spellStart"/>
      <w:r w:rsidRPr="00317E33">
        <w:rPr>
          <w:rFonts w:eastAsia="Times New Roman"/>
        </w:rPr>
        <w:t>Tancik</w:t>
      </w:r>
      <w:proofErr w:type="spellEnd"/>
      <w:r w:rsidRPr="00317E33">
        <w:rPr>
          <w:rFonts w:eastAsia="Times New Roman"/>
        </w:rPr>
        <w:t xml:space="preserve"> C. A case of person-to-person transmission of Q fever from an </w:t>
      </w:r>
      <w:proofErr w:type="gramStart"/>
      <w:r w:rsidRPr="00317E33">
        <w:rPr>
          <w:rFonts w:eastAsia="Times New Roman"/>
        </w:rPr>
        <w:t>active duty</w:t>
      </w:r>
      <w:proofErr w:type="gramEnd"/>
      <w:r w:rsidRPr="00317E33">
        <w:rPr>
          <w:rFonts w:eastAsia="Times New Roman"/>
        </w:rPr>
        <w:t xml:space="preserve"> serviceman to his spouse. </w:t>
      </w:r>
      <w:r w:rsidRPr="009F54A9">
        <w:rPr>
          <w:rStyle w:val="Emphasis"/>
          <w:rFonts w:eastAsia="Times New Roman"/>
          <w:b w:val="0"/>
          <w:bCs w:val="0"/>
        </w:rPr>
        <w:t>Vector Borne Zoonotic Dis</w:t>
      </w:r>
      <w:r w:rsidRPr="00317E33">
        <w:rPr>
          <w:rFonts w:eastAsia="Times New Roman"/>
        </w:rPr>
        <w:t xml:space="preserve">. 2010;10(5):539–41. </w:t>
      </w:r>
      <w:proofErr w:type="spellStart"/>
      <w:r w:rsidRPr="00317E33">
        <w:rPr>
          <w:rFonts w:eastAsia="Times New Roman"/>
        </w:rPr>
        <w:t>doi</w:t>
      </w:r>
      <w:proofErr w:type="spellEnd"/>
      <w:r w:rsidRPr="00317E33">
        <w:rPr>
          <w:rFonts w:eastAsia="Times New Roman"/>
        </w:rPr>
        <w:t xml:space="preserve">: https://doi.org/10.1089/vbz.2009.0101. </w:t>
      </w:r>
    </w:p>
    <w:p w14:paraId="463B21C8" w14:textId="77777777" w:rsidR="00317E33" w:rsidRPr="00317E33" w:rsidRDefault="00317E33" w:rsidP="00317E33">
      <w:pPr>
        <w:pStyle w:val="ListParagraph"/>
        <w:numPr>
          <w:ilvl w:val="0"/>
          <w:numId w:val="10"/>
        </w:numPr>
        <w:divId w:val="1323462985"/>
        <w:rPr>
          <w:rFonts w:eastAsia="Times New Roman"/>
        </w:rPr>
      </w:pPr>
      <w:proofErr w:type="spellStart"/>
      <w:r w:rsidRPr="00317E33">
        <w:rPr>
          <w:rFonts w:eastAsia="Times New Roman"/>
        </w:rPr>
        <w:t>Proboste</w:t>
      </w:r>
      <w:proofErr w:type="spellEnd"/>
      <w:r w:rsidRPr="00317E33">
        <w:rPr>
          <w:rFonts w:eastAsia="Times New Roman"/>
        </w:rPr>
        <w:t xml:space="preserve"> T, Clark NJ, Tozer S, Wood C, Lambert SB, Soares </w:t>
      </w:r>
      <w:proofErr w:type="spellStart"/>
      <w:r w:rsidRPr="00317E33">
        <w:rPr>
          <w:rFonts w:eastAsia="Times New Roman"/>
        </w:rPr>
        <w:t>Magalhães</w:t>
      </w:r>
      <w:proofErr w:type="spellEnd"/>
      <w:r w:rsidRPr="00317E33">
        <w:rPr>
          <w:rFonts w:eastAsia="Times New Roman"/>
        </w:rPr>
        <w:t xml:space="preserve"> RJ. Profiling risk factors for household and community spatiotemporal clusters of Q fever notifications in Queensland between 2002 and 2017. </w:t>
      </w:r>
      <w:r w:rsidRPr="009F54A9">
        <w:rPr>
          <w:rStyle w:val="Emphasis"/>
          <w:rFonts w:eastAsia="Times New Roman"/>
          <w:b w:val="0"/>
          <w:bCs w:val="0"/>
        </w:rPr>
        <w:t>Pathogens</w:t>
      </w:r>
      <w:r w:rsidRPr="00317E33">
        <w:rPr>
          <w:rFonts w:eastAsia="Times New Roman"/>
        </w:rPr>
        <w:t xml:space="preserve">. 2022;11(8):830. </w:t>
      </w:r>
      <w:proofErr w:type="spellStart"/>
      <w:r w:rsidRPr="00317E33">
        <w:rPr>
          <w:rFonts w:eastAsia="Times New Roman"/>
        </w:rPr>
        <w:t>doi</w:t>
      </w:r>
      <w:proofErr w:type="spellEnd"/>
      <w:r w:rsidRPr="00317E33">
        <w:rPr>
          <w:rFonts w:eastAsia="Times New Roman"/>
        </w:rPr>
        <w:t>: https://doi.org/10.3390/pathogens11080830.</w:t>
      </w:r>
    </w:p>
    <w:p w14:paraId="4F5C808E" w14:textId="77777777" w:rsidR="008B5348" w:rsidRDefault="008B5348">
      <w:pPr>
        <w:rPr>
          <w:rStyle w:val="A10"/>
        </w:rPr>
        <w:sectPr w:rsidR="008B5348" w:rsidSect="00A30C37">
          <w:headerReference w:type="default" r:id="rId11"/>
          <w:footerReference w:type="default" r:id="rId12"/>
          <w:footerReference w:type="first" r:id="rId13"/>
          <w:footnotePr>
            <w:numFmt w:val="lowerRoman"/>
          </w:footnotePr>
          <w:pgSz w:w="11906" w:h="16838"/>
          <w:pgMar w:top="720" w:right="720" w:bottom="1134" w:left="720" w:header="709" w:footer="284" w:gutter="0"/>
          <w:cols w:space="708"/>
          <w:titlePg/>
          <w:docGrid w:linePitch="360"/>
        </w:sectPr>
      </w:pPr>
    </w:p>
    <w:p w14:paraId="2ABC9A02"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206D1113"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1334D149" w14:textId="77777777" w:rsidR="000A5F42" w:rsidRPr="000606CC" w:rsidRDefault="000A5F42" w:rsidP="000A5F42">
      <w:pPr>
        <w:pStyle w:val="NoSpacing"/>
        <w:rPr>
          <w:rStyle w:val="URI"/>
          <w:rFonts w:cstheme="minorHAnsi"/>
          <w:sz w:val="20"/>
          <w:szCs w:val="18"/>
        </w:rPr>
      </w:pPr>
    </w:p>
    <w:p w14:paraId="6C4D86A7"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w:t>
      </w:r>
      <w:r w:rsidR="001723AC">
        <w:rPr>
          <w:rStyle w:val="Strong"/>
          <w:rFonts w:cs="Calibri"/>
          <w:b w:val="0"/>
          <w:bCs w:val="0"/>
          <w:sz w:val="20"/>
          <w:szCs w:val="18"/>
        </w:rPr>
        <w:t xml:space="preserve">Department of </w:t>
      </w:r>
      <w:proofErr w:type="gramStart"/>
      <w:r w:rsidR="001723AC">
        <w:rPr>
          <w:rStyle w:val="Strong"/>
          <w:rFonts w:cs="Calibri"/>
          <w:b w:val="0"/>
          <w:bCs w:val="0"/>
          <w:sz w:val="20"/>
          <w:szCs w:val="18"/>
        </w:rPr>
        <w:t>Health</w:t>
      </w:r>
      <w:proofErr w:type="gramEnd"/>
      <w:r w:rsidR="001723AC">
        <w:rPr>
          <w:rStyle w:val="Strong"/>
          <w:rFonts w:cs="Calibri"/>
          <w:b w:val="0"/>
          <w:bCs w:val="0"/>
          <w:sz w:val="20"/>
          <w:szCs w:val="18"/>
        </w:rPr>
        <w:t xml:space="preserve"> and Aged Care</w:t>
      </w:r>
      <w:r w:rsidRPr="000606CC">
        <w:rPr>
          <w:rStyle w:val="Strong"/>
          <w:rFonts w:cs="Calibri"/>
          <w:b w:val="0"/>
          <w:bCs w:val="0"/>
          <w:sz w:val="20"/>
          <w:szCs w:val="18"/>
        </w:rPr>
        <w:t xml:space="preserve">. The journal aims to </w:t>
      </w:r>
      <w:proofErr w:type="gramStart"/>
      <w:r w:rsidRPr="000606CC">
        <w:rPr>
          <w:rStyle w:val="Strong"/>
          <w:rFonts w:cs="Calibri"/>
          <w:b w:val="0"/>
          <w:bCs w:val="0"/>
          <w:sz w:val="20"/>
          <w:szCs w:val="18"/>
        </w:rPr>
        <w:t>disseminate</w:t>
      </w:r>
      <w:proofErr w:type="gramEnd"/>
      <w:r w:rsidRPr="000606CC">
        <w:rPr>
          <w:rStyle w:val="Strong"/>
          <w:rFonts w:cs="Calibri"/>
          <w:b w:val="0"/>
          <w:bCs w:val="0"/>
          <w:sz w:val="20"/>
          <w:szCs w:val="18"/>
        </w:rPr>
        <w:t xml:space="preserve"> information on the epidemiology, surveillance, prevention and control of communicable diseases of relevance to Australia.</w:t>
      </w:r>
    </w:p>
    <w:p w14:paraId="7533AA27" w14:textId="77777777" w:rsidR="000A5F42" w:rsidRPr="000606CC" w:rsidRDefault="000A5F42" w:rsidP="000A5F42">
      <w:pPr>
        <w:pStyle w:val="NoSpacing"/>
        <w:rPr>
          <w:rStyle w:val="Strong"/>
          <w:rFonts w:cstheme="minorHAnsi"/>
          <w:sz w:val="20"/>
          <w:szCs w:val="18"/>
        </w:rPr>
      </w:pPr>
    </w:p>
    <w:p w14:paraId="5A13932D"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8B62FF">
        <w:rPr>
          <w:rFonts w:cstheme="minorHAnsi"/>
          <w:sz w:val="20"/>
          <w:szCs w:val="18"/>
        </w:rPr>
        <w:t>Christina Bareja</w:t>
      </w:r>
    </w:p>
    <w:p w14:paraId="3C020CAD"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35AD0ED5"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4B1ECDE1"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00CF75DF" w:rsidRPr="00CF75DF">
        <w:rPr>
          <w:rFonts w:cstheme="minorHAnsi"/>
          <w:sz w:val="20"/>
          <w:szCs w:val="18"/>
        </w:rPr>
        <w:t xml:space="preserve">David </w:t>
      </w:r>
      <w:proofErr w:type="spellStart"/>
      <w:r w:rsidR="00CF75DF" w:rsidRPr="00CF75DF">
        <w:rPr>
          <w:rFonts w:cstheme="minorHAnsi"/>
          <w:sz w:val="20"/>
          <w:szCs w:val="18"/>
        </w:rPr>
        <w:t>Durrheim</w:t>
      </w:r>
      <w:proofErr w:type="spellEnd"/>
      <w:r w:rsidR="00CF75DF" w:rsidRPr="00CF75DF">
        <w:rPr>
          <w:rFonts w:cstheme="minorHAnsi"/>
          <w:sz w:val="20"/>
          <w:szCs w:val="18"/>
        </w:rPr>
        <w:t xml:space="preserve">, Mark Ferson, Clare Huppatz, John Kaldor, Martyn Kirk, Meru </w:t>
      </w:r>
      <w:proofErr w:type="gramStart"/>
      <w:r w:rsidR="00CF75DF" w:rsidRPr="00CF75DF">
        <w:rPr>
          <w:rFonts w:cstheme="minorHAnsi"/>
          <w:sz w:val="20"/>
          <w:szCs w:val="18"/>
        </w:rPr>
        <w:t>Sheel</w:t>
      </w:r>
      <w:proofErr w:type="gramEnd"/>
      <w:r w:rsidR="00CF75DF" w:rsidRPr="00CF75DF">
        <w:rPr>
          <w:rFonts w:cstheme="minorHAnsi"/>
          <w:sz w:val="20"/>
          <w:szCs w:val="18"/>
        </w:rPr>
        <w:t xml:space="preserve"> and Steph</w:t>
      </w:r>
      <w:r w:rsidR="00CF75DF">
        <w:rPr>
          <w:rFonts w:cstheme="minorHAnsi"/>
          <w:sz w:val="20"/>
          <w:szCs w:val="18"/>
        </w:rPr>
        <w:t> </w:t>
      </w:r>
      <w:r w:rsidR="00CF75DF" w:rsidRPr="00CF75DF">
        <w:rPr>
          <w:rFonts w:cstheme="minorHAnsi"/>
          <w:sz w:val="20"/>
          <w:szCs w:val="18"/>
        </w:rPr>
        <w:t>Williams</w:t>
      </w:r>
    </w:p>
    <w:p w14:paraId="77CD1C08" w14:textId="77777777" w:rsidR="000A5F42" w:rsidRPr="000606CC" w:rsidRDefault="000A5F42" w:rsidP="000A5F42">
      <w:pPr>
        <w:pStyle w:val="NoSpacing"/>
        <w:rPr>
          <w:rStyle w:val="Strong"/>
          <w:rFonts w:cstheme="minorHAnsi"/>
          <w:sz w:val="20"/>
          <w:szCs w:val="18"/>
        </w:rPr>
      </w:pPr>
    </w:p>
    <w:p w14:paraId="12B9634F" w14:textId="1F985C62"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4"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6D237FAD" w14:textId="77777777" w:rsidR="000A5F42" w:rsidRPr="000606CC" w:rsidRDefault="000A5F42" w:rsidP="000A5F42">
      <w:pPr>
        <w:pStyle w:val="NoSpacing"/>
        <w:rPr>
          <w:rStyle w:val="Strong"/>
          <w:rFonts w:cstheme="minorHAnsi"/>
          <w:sz w:val="20"/>
          <w:szCs w:val="18"/>
        </w:rPr>
      </w:pPr>
    </w:p>
    <w:p w14:paraId="05E5EF9C"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 xml:space="preserve">CDI </w:t>
      </w:r>
      <w:proofErr w:type="gramStart"/>
      <w:r w:rsidR="00E54BBD">
        <w:rPr>
          <w:rFonts w:cstheme="minorHAnsi"/>
          <w:sz w:val="20"/>
          <w:szCs w:val="18"/>
        </w:rPr>
        <w:t>is produced</w:t>
      </w:r>
      <w:proofErr w:type="gramEnd"/>
      <w:r w:rsidR="00E54BBD">
        <w:rPr>
          <w:rFonts w:cstheme="minorHAnsi"/>
          <w:sz w:val="20"/>
          <w:szCs w:val="18"/>
        </w:rPr>
        <w:t xml:space="preserve">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Australian Government Department of Health</w:t>
      </w:r>
      <w:r w:rsidR="00AE0209">
        <w:rPr>
          <w:rFonts w:cstheme="minorHAnsi"/>
          <w:sz w:val="20"/>
          <w:szCs w:val="18"/>
        </w:rPr>
        <w:t xml:space="preserve"> and Aged Care</w:t>
      </w:r>
      <w:r w:rsidR="00E54BBD" w:rsidRPr="00E54BBD">
        <w:rPr>
          <w:rFonts w:cstheme="minorHAnsi"/>
          <w:sz w:val="20"/>
          <w:szCs w:val="18"/>
        </w:rPr>
        <w:t>, GPO Box 9848, (MDP 6) CANBERRA ACT 2601</w:t>
      </w:r>
    </w:p>
    <w:p w14:paraId="6125EC8A" w14:textId="77777777" w:rsidR="000A5F42" w:rsidRPr="000606CC" w:rsidRDefault="000A5F42" w:rsidP="000A5F42">
      <w:pPr>
        <w:pStyle w:val="NoSpacing"/>
        <w:rPr>
          <w:rStyle w:val="Strong"/>
          <w:rFonts w:cstheme="minorHAnsi"/>
          <w:sz w:val="20"/>
          <w:szCs w:val="18"/>
        </w:rPr>
      </w:pPr>
    </w:p>
    <w:p w14:paraId="06F0652B" w14:textId="1E69571B"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5"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4F65DFD6" w14:textId="77777777" w:rsidR="000A5F42" w:rsidRPr="000606CC" w:rsidRDefault="000A5F42" w:rsidP="000A5F42">
      <w:pPr>
        <w:pStyle w:val="NoSpacing"/>
        <w:rPr>
          <w:rStyle w:val="Strong"/>
          <w:rFonts w:cstheme="minorHAnsi"/>
          <w:sz w:val="20"/>
          <w:szCs w:val="18"/>
        </w:rPr>
      </w:pPr>
    </w:p>
    <w:p w14:paraId="1248FDF2" w14:textId="7B7F2E3C"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w:t>
      </w:r>
      <w:proofErr w:type="gramStart"/>
      <w:r w:rsidRPr="000606CC">
        <w:rPr>
          <w:rFonts w:cstheme="minorHAnsi"/>
          <w:sz w:val="20"/>
          <w:szCs w:val="18"/>
        </w:rPr>
        <w:t>regarding</w:t>
      </w:r>
      <w:proofErr w:type="gramEnd"/>
      <w:r w:rsidRPr="000606CC">
        <w:rPr>
          <w:rFonts w:cstheme="minorHAnsi"/>
          <w:sz w:val="20"/>
          <w:szCs w:val="18"/>
        </w:rPr>
        <w:t xml:space="preserve"> CDI can be found at: </w:t>
      </w:r>
      <w:hyperlink r:id="rId16"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1542E14B" w14:textId="36CCF8F8"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w:t>
      </w:r>
      <w:proofErr w:type="gramStart"/>
      <w:r w:rsidRPr="000606CC">
        <w:rPr>
          <w:rFonts w:cstheme="minorHAnsi"/>
          <w:sz w:val="20"/>
          <w:szCs w:val="18"/>
        </w:rPr>
        <w:t>be directed</w:t>
      </w:r>
      <w:proofErr w:type="gramEnd"/>
      <w:r w:rsidRPr="000606CC">
        <w:rPr>
          <w:rFonts w:cstheme="minorHAnsi"/>
          <w:sz w:val="20"/>
          <w:szCs w:val="18"/>
        </w:rPr>
        <w:t xml:space="preserve"> to: </w:t>
      </w:r>
      <w:hyperlink r:id="rId17" w:history="1">
        <w:r w:rsidRPr="000606CC">
          <w:rPr>
            <w:rStyle w:val="Hyperlink"/>
            <w:rFonts w:cstheme="minorHAnsi"/>
            <w:sz w:val="20"/>
            <w:szCs w:val="18"/>
          </w:rPr>
          <w:t>cdi.editor@health.gov.au</w:t>
        </w:r>
      </w:hyperlink>
      <w:r w:rsidRPr="000606CC">
        <w:rPr>
          <w:rFonts w:cstheme="minorHAnsi"/>
          <w:sz w:val="20"/>
          <w:szCs w:val="18"/>
        </w:rPr>
        <w:t>.</w:t>
      </w:r>
    </w:p>
    <w:p w14:paraId="41C9AC73" w14:textId="77777777" w:rsidR="000A5F42" w:rsidRPr="000606CC" w:rsidRDefault="000A5F42" w:rsidP="000A5F42">
      <w:pPr>
        <w:pStyle w:val="NoSpacing"/>
        <w:pBdr>
          <w:bottom w:val="single" w:sz="6" w:space="1" w:color="auto"/>
        </w:pBdr>
        <w:rPr>
          <w:rStyle w:val="Strong"/>
          <w:rFonts w:cstheme="minorHAnsi"/>
          <w:sz w:val="12"/>
          <w:szCs w:val="18"/>
        </w:rPr>
      </w:pPr>
    </w:p>
    <w:p w14:paraId="70E98613" w14:textId="77777777" w:rsidR="000A5F42" w:rsidRPr="000606CC" w:rsidRDefault="000A5F42" w:rsidP="000A5F42">
      <w:pPr>
        <w:pStyle w:val="NoSpacing"/>
        <w:rPr>
          <w:rFonts w:cstheme="minorHAnsi"/>
          <w:sz w:val="20"/>
          <w:szCs w:val="18"/>
        </w:rPr>
      </w:pPr>
    </w:p>
    <w:p w14:paraId="49C97FFC"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w:t>
      </w:r>
      <w:proofErr w:type="gramStart"/>
      <w:r w:rsidRPr="000606CC">
        <w:rPr>
          <w:rFonts w:cstheme="minorHAnsi"/>
          <w:sz w:val="20"/>
          <w:szCs w:val="18"/>
        </w:rPr>
        <w:t>is indexed</w:t>
      </w:r>
      <w:proofErr w:type="gramEnd"/>
      <w:r w:rsidRPr="000606CC">
        <w:rPr>
          <w:rFonts w:cstheme="minorHAnsi"/>
          <w:sz w:val="20"/>
          <w:szCs w:val="18"/>
        </w:rPr>
        <w:t xml:space="preserve">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523FD4C4" w14:textId="77777777" w:rsidR="000A5F42" w:rsidRPr="000606CC" w:rsidRDefault="000A5F42" w:rsidP="000A5F42">
      <w:pPr>
        <w:pStyle w:val="NoSpacing"/>
        <w:rPr>
          <w:rFonts w:cstheme="minorHAnsi"/>
          <w:sz w:val="20"/>
          <w:szCs w:val="18"/>
        </w:rPr>
      </w:pPr>
    </w:p>
    <w:p w14:paraId="75D24475"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1E9933DE"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170AD8">
        <w:rPr>
          <w:rFonts w:cstheme="minorHAnsi"/>
          <w:sz w:val="20"/>
          <w:szCs w:val="18"/>
        </w:rPr>
        <w:t>2023</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 xml:space="preserve">Commonwealth of Australia as represented by the </w:t>
      </w:r>
      <w:r w:rsidR="001723AC">
        <w:rPr>
          <w:rFonts w:cstheme="minorHAnsi"/>
          <w:sz w:val="20"/>
          <w:szCs w:val="18"/>
        </w:rPr>
        <w:t>Department of Health and Aged Care</w:t>
      </w:r>
    </w:p>
    <w:p w14:paraId="76678CC2" w14:textId="55B633D0"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8"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7D8FE8C2" w14:textId="77777777" w:rsidR="000A5F42" w:rsidRPr="000606CC" w:rsidRDefault="000A5F42" w:rsidP="000A5F42">
      <w:pPr>
        <w:pStyle w:val="NoSpacing"/>
        <w:rPr>
          <w:rFonts w:cstheme="minorHAnsi"/>
          <w:sz w:val="20"/>
          <w:szCs w:val="18"/>
        </w:rPr>
      </w:pPr>
    </w:p>
    <w:p w14:paraId="14E1451A"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2124BC35" w14:textId="232DB35F"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9"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1954F4DA"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w:t>
      </w:r>
      <w:r w:rsidR="001723AC">
        <w:rPr>
          <w:rFonts w:cstheme="minorHAnsi"/>
          <w:sz w:val="20"/>
          <w:szCs w:val="18"/>
        </w:rPr>
        <w:t>Department of Health and Aged Care</w:t>
      </w:r>
      <w:r w:rsidRPr="000606CC">
        <w:rPr>
          <w:rFonts w:cstheme="minorHAnsi"/>
          <w:sz w:val="20"/>
          <w:szCs w:val="18"/>
        </w:rPr>
        <w:t xml:space="preserve">’s logo) and </w:t>
      </w:r>
      <w:proofErr w:type="gramStart"/>
      <w:r w:rsidRPr="000606CC">
        <w:rPr>
          <w:rFonts w:cstheme="minorHAnsi"/>
          <w:sz w:val="20"/>
          <w:szCs w:val="18"/>
        </w:rPr>
        <w:t>trademarks;</w:t>
      </w:r>
      <w:proofErr w:type="gramEnd"/>
    </w:p>
    <w:p w14:paraId="6B42207D"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62E55EAF"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146E4268"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64F659A9" w14:textId="77777777" w:rsidR="000A5F42" w:rsidRPr="000606CC" w:rsidRDefault="000A5F42" w:rsidP="000A5F42">
      <w:pPr>
        <w:pStyle w:val="NoSpacing"/>
        <w:rPr>
          <w:rStyle w:val="Strong"/>
          <w:rFonts w:cstheme="minorHAnsi"/>
          <w:sz w:val="20"/>
          <w:szCs w:val="18"/>
        </w:rPr>
      </w:pPr>
    </w:p>
    <w:p w14:paraId="59DA85FB"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 xml:space="preserve">Opinions expressed in Communicable Diseases Intelligence are those of the authors and not necessarily those of the Australian Government </w:t>
      </w:r>
      <w:r w:rsidR="001723AC">
        <w:rPr>
          <w:rFonts w:cstheme="minorHAnsi"/>
          <w:sz w:val="20"/>
          <w:szCs w:val="18"/>
        </w:rPr>
        <w:t>Department of Health and Aged Care</w:t>
      </w:r>
      <w:r w:rsidRPr="000606CC">
        <w:rPr>
          <w:rFonts w:cstheme="minorHAnsi"/>
          <w:sz w:val="20"/>
          <w:szCs w:val="18"/>
        </w:rPr>
        <w:t xml:space="preserve"> or the Communicable Diseases Network Australia. Data may be subject to revision.</w:t>
      </w:r>
    </w:p>
    <w:p w14:paraId="2F52C301" w14:textId="77777777" w:rsidR="000A5F42" w:rsidRPr="000606CC" w:rsidRDefault="000A5F42" w:rsidP="000A5F42">
      <w:pPr>
        <w:pStyle w:val="NoSpacing"/>
        <w:rPr>
          <w:rStyle w:val="Strong"/>
          <w:rFonts w:cstheme="minorHAnsi"/>
          <w:sz w:val="20"/>
          <w:szCs w:val="18"/>
        </w:rPr>
      </w:pPr>
    </w:p>
    <w:p w14:paraId="150FC885" w14:textId="1FC0A844"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w:t>
      </w:r>
      <w:r w:rsidR="001723AC">
        <w:rPr>
          <w:rFonts w:cstheme="minorHAnsi"/>
          <w:sz w:val="20"/>
          <w:szCs w:val="18"/>
        </w:rPr>
        <w:t>Department of Health and Aged Care</w:t>
      </w:r>
      <w:r w:rsidRPr="000606CC">
        <w:rPr>
          <w:rFonts w:cstheme="minorHAnsi"/>
          <w:sz w:val="20"/>
          <w:szCs w:val="18"/>
        </w:rPr>
        <w:t xml:space="preserve">, GPO Box 9848, Canberra ACT 2601, or via e-mail to: </w:t>
      </w:r>
      <w:hyperlink r:id="rId20"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198C50EA" w14:textId="77777777" w:rsidR="000A5F42" w:rsidRPr="000606CC" w:rsidRDefault="000A5F42" w:rsidP="000A5F42">
      <w:pPr>
        <w:pStyle w:val="NoSpacing"/>
        <w:rPr>
          <w:rStyle w:val="URI"/>
          <w:rFonts w:cstheme="minorHAnsi"/>
          <w:sz w:val="20"/>
          <w:szCs w:val="18"/>
        </w:rPr>
      </w:pPr>
    </w:p>
    <w:p w14:paraId="3708D622" w14:textId="3CA6F9F3"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1" w:tooltip="Communicable Diseases Network Australia website" w:history="1">
        <w:r w:rsidRPr="000606CC">
          <w:rPr>
            <w:rStyle w:val="Hyperlink"/>
            <w:rFonts w:cstheme="minorHAnsi"/>
            <w:sz w:val="20"/>
            <w:szCs w:val="18"/>
          </w:rPr>
          <w:t>http://www.health.gov.au/cdna</w:t>
        </w:r>
      </w:hyperlink>
    </w:p>
    <w:sectPr w:rsidR="000A5F42" w:rsidRPr="000606CC" w:rsidSect="002B75A9">
      <w:headerReference w:type="default" r:id="rId22"/>
      <w:footnotePr>
        <w:numFmt w:val="lowerRoman"/>
      </w:footnotePr>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D5C5E" w14:textId="77777777" w:rsidR="00170AD8" w:rsidRDefault="00170AD8" w:rsidP="00E54DBA">
      <w:r>
        <w:separator/>
      </w:r>
    </w:p>
    <w:p w14:paraId="063D5493" w14:textId="77777777" w:rsidR="00170AD8" w:rsidRDefault="00170AD8"/>
    <w:p w14:paraId="79E23762" w14:textId="77777777" w:rsidR="00170AD8" w:rsidRDefault="00170AD8" w:rsidP="008714B0"/>
  </w:endnote>
  <w:endnote w:type="continuationSeparator" w:id="0">
    <w:p w14:paraId="4C41AB9E" w14:textId="77777777" w:rsidR="00170AD8" w:rsidRDefault="00170AD8" w:rsidP="00E54DBA">
      <w:r>
        <w:continuationSeparator/>
      </w:r>
    </w:p>
    <w:p w14:paraId="0E61A98A" w14:textId="77777777" w:rsidR="00170AD8" w:rsidRDefault="00170AD8"/>
    <w:p w14:paraId="53B1BE24" w14:textId="77777777" w:rsidR="00170AD8" w:rsidRDefault="00170AD8"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20B0503030403090204"/>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1275C" w14:textId="37979175"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9F54A9">
      <w:rPr>
        <w:i/>
        <w:sz w:val="18"/>
      </w:rPr>
      <w:t>Commun</w:t>
    </w:r>
    <w:proofErr w:type="spellEnd"/>
    <w:r w:rsidR="00CE342B" w:rsidRPr="009F54A9">
      <w:rPr>
        <w:i/>
        <w:sz w:val="18"/>
      </w:rPr>
      <w:t xml:space="preserve"> Dis </w:t>
    </w:r>
    <w:proofErr w:type="spellStart"/>
    <w:r w:rsidR="00CE342B" w:rsidRPr="009F54A9">
      <w:rPr>
        <w:i/>
        <w:sz w:val="18"/>
      </w:rPr>
      <w:t>Intell</w:t>
    </w:r>
    <w:proofErr w:type="spellEnd"/>
    <w:r w:rsidR="00CE342B" w:rsidRPr="009F54A9">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170AD8">
      <w:rPr>
        <w:sz w:val="18"/>
      </w:rPr>
      <w:t>2023</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170AD8">
      <w:rPr>
        <w:sz w:val="18"/>
      </w:rPr>
      <w:t>47</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6845C1">
      <w:rPr>
        <w:sz w:val="18"/>
      </w:rPr>
      <w:t>https://doi.org/10.33321/cdi.2023.47.36</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816695">
      <w:rPr>
        <w:sz w:val="18"/>
      </w:rPr>
      <w:t>26/06/2023</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15C06" w14:textId="3D7134B3"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9F54A9">
      <w:rPr>
        <w:i/>
        <w:sz w:val="18"/>
      </w:rPr>
      <w:t>Commun</w:t>
    </w:r>
    <w:proofErr w:type="spellEnd"/>
    <w:r w:rsidR="00A164D5" w:rsidRPr="009F54A9">
      <w:rPr>
        <w:i/>
        <w:sz w:val="18"/>
      </w:rPr>
      <w:t xml:space="preserve"> Dis </w:t>
    </w:r>
    <w:proofErr w:type="spellStart"/>
    <w:r w:rsidR="00A164D5" w:rsidRPr="009F54A9">
      <w:rPr>
        <w:i/>
        <w:sz w:val="18"/>
      </w:rPr>
      <w:t>Intell</w:t>
    </w:r>
    <w:proofErr w:type="spellEnd"/>
    <w:r w:rsidR="00A164D5" w:rsidRPr="009F54A9">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170AD8">
      <w:rPr>
        <w:sz w:val="18"/>
      </w:rPr>
      <w:t>2023</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170AD8">
      <w:rPr>
        <w:sz w:val="18"/>
      </w:rPr>
      <w:t>47</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6845C1">
      <w:rPr>
        <w:sz w:val="18"/>
      </w:rPr>
      <w:t>https://doi.org/10.33321/cdi.2023.47.36</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816695">
      <w:rPr>
        <w:sz w:val="18"/>
      </w:rPr>
      <w:t>26/06/2023</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BA7DF" w14:textId="77777777" w:rsidR="00170AD8" w:rsidRPr="00B91FB5" w:rsidRDefault="00170AD8" w:rsidP="00B91FB5">
      <w:pPr>
        <w:spacing w:after="0" w:line="240" w:lineRule="auto"/>
        <w:rPr>
          <w:sz w:val="18"/>
          <w:szCs w:val="18"/>
        </w:rPr>
      </w:pPr>
      <w:r w:rsidRPr="00B91FB5">
        <w:rPr>
          <w:sz w:val="18"/>
          <w:szCs w:val="18"/>
        </w:rPr>
        <w:separator/>
      </w:r>
    </w:p>
  </w:footnote>
  <w:footnote w:type="continuationSeparator" w:id="0">
    <w:p w14:paraId="0A1D267D" w14:textId="77777777" w:rsidR="00170AD8" w:rsidRDefault="00170AD8" w:rsidP="00E54DBA">
      <w:r>
        <w:continuationSeparator/>
      </w:r>
    </w:p>
  </w:footnote>
  <w:footnote w:type="continuationNotice" w:id="1">
    <w:p w14:paraId="6DAB3B7B" w14:textId="77777777" w:rsidR="00170AD8" w:rsidRPr="00224EFF" w:rsidRDefault="00170AD8" w:rsidP="00224EFF">
      <w:pPr>
        <w:pStyle w:val="Footer"/>
      </w:pPr>
    </w:p>
  </w:footnote>
  <w:footnote w:id="2">
    <w:p w14:paraId="0FE41A1C" w14:textId="2E69533A" w:rsidR="003D517E" w:rsidRDefault="003D517E">
      <w:pPr>
        <w:pStyle w:val="FootnoteText"/>
      </w:pPr>
      <w:r>
        <w:rPr>
          <w:rStyle w:val="FootnoteReference"/>
        </w:rPr>
        <w:footnoteRef/>
      </w:r>
      <w:r>
        <w:t xml:space="preserve"> </w:t>
      </w:r>
      <w:r w:rsidRPr="003D517E">
        <w:t>SA4: Statistical Area 4, the largest type of sub-State spatial unit defined under the Australian Statistical Geography Standard.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9EBB6" w14:textId="0C4937D7" w:rsidR="00257484" w:rsidRPr="00A153B6" w:rsidRDefault="00816695"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037690">
          <w:t>Short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6DD74" w14:textId="77777777" w:rsidR="008B5348" w:rsidRPr="000A5F42" w:rsidRDefault="008B5348" w:rsidP="009D797A">
    <w:pPr>
      <w:pStyle w:val="Header"/>
      <w:spacing w:after="0" w:line="240" w:lineRule="auto"/>
      <w:jc w:val="center"/>
      <w:rPr>
        <w:b/>
      </w:rPr>
    </w:pPr>
    <w:r w:rsidRPr="00E810C5">
      <w:rPr>
        <w:rFonts w:cs="Myriad Pro"/>
        <w:noProof/>
        <w:color w:val="211D1E"/>
        <w:sz w:val="16"/>
      </w:rPr>
      <w:drawing>
        <wp:inline distT="0" distB="0" distL="0" distR="0" wp14:anchorId="73778752" wp14:editId="4B8F5212">
          <wp:extent cx="1971924" cy="593062"/>
          <wp:effectExtent l="0" t="0" r="0" b="0"/>
          <wp:docPr id="1" name="Picture 1" descr="Australian Government -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 Department of Health and Aged Care"/>
                  <pic:cNvPicPr/>
                </pic:nvPicPr>
                <pic:blipFill rotWithShape="1">
                  <a:blip r:embed="rId1">
                    <a:extLst>
                      <a:ext uri="{28A0092B-C50C-407E-A947-70E740481C1C}">
                        <a14:useLocalDpi xmlns:a14="http://schemas.microsoft.com/office/drawing/2010/main" val="0"/>
                      </a:ext>
                    </a:extLst>
                  </a:blip>
                  <a:srcRect t="11900" b="7160"/>
                  <a:stretch/>
                </pic:blipFill>
                <pic:spPr bwMode="auto">
                  <a:xfrm>
                    <a:off x="0" y="0"/>
                    <a:ext cx="2009585" cy="6043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25CBA"/>
    <w:multiLevelType w:val="multilevel"/>
    <w:tmpl w:val="370AD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99C4D1E"/>
    <w:multiLevelType w:val="multilevel"/>
    <w:tmpl w:val="5BDA2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F0D5335"/>
    <w:multiLevelType w:val="hybridMultilevel"/>
    <w:tmpl w:val="A43C25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0A15695"/>
    <w:multiLevelType w:val="hybridMultilevel"/>
    <w:tmpl w:val="C012E4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8"/>
  </w:num>
  <w:num w:numId="6">
    <w:abstractNumId w:val="9"/>
  </w:num>
  <w:num w:numId="7">
    <w:abstractNumId w:val="3"/>
  </w:num>
  <w:num w:numId="8">
    <w:abstractNumId w:val="0"/>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noPunctuationKerning/>
  <w:characterSpacingControl w:val="doNotCompress"/>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AD8"/>
    <w:rsid w:val="00000B5B"/>
    <w:rsid w:val="00001611"/>
    <w:rsid w:val="000104A8"/>
    <w:rsid w:val="0001246E"/>
    <w:rsid w:val="000124B1"/>
    <w:rsid w:val="00016FE6"/>
    <w:rsid w:val="00031064"/>
    <w:rsid w:val="00031692"/>
    <w:rsid w:val="00032531"/>
    <w:rsid w:val="000325A0"/>
    <w:rsid w:val="00037690"/>
    <w:rsid w:val="00045532"/>
    <w:rsid w:val="000471BF"/>
    <w:rsid w:val="00047B68"/>
    <w:rsid w:val="00052600"/>
    <w:rsid w:val="0005643C"/>
    <w:rsid w:val="0006264A"/>
    <w:rsid w:val="00073D77"/>
    <w:rsid w:val="00081655"/>
    <w:rsid w:val="000864E0"/>
    <w:rsid w:val="000969B3"/>
    <w:rsid w:val="000A5F42"/>
    <w:rsid w:val="000D4B4D"/>
    <w:rsid w:val="00113D58"/>
    <w:rsid w:val="001200CB"/>
    <w:rsid w:val="001378A3"/>
    <w:rsid w:val="00155582"/>
    <w:rsid w:val="00161590"/>
    <w:rsid w:val="00170AD8"/>
    <w:rsid w:val="00171CC0"/>
    <w:rsid w:val="001723AC"/>
    <w:rsid w:val="00175494"/>
    <w:rsid w:val="00175629"/>
    <w:rsid w:val="001830EC"/>
    <w:rsid w:val="00183534"/>
    <w:rsid w:val="0018758E"/>
    <w:rsid w:val="001A4A96"/>
    <w:rsid w:val="001A5D05"/>
    <w:rsid w:val="001A796C"/>
    <w:rsid w:val="001B2614"/>
    <w:rsid w:val="001B37B8"/>
    <w:rsid w:val="001B552F"/>
    <w:rsid w:val="001C0893"/>
    <w:rsid w:val="001C1303"/>
    <w:rsid w:val="001C70B2"/>
    <w:rsid w:val="001D37C7"/>
    <w:rsid w:val="001D6888"/>
    <w:rsid w:val="001E4E1D"/>
    <w:rsid w:val="00224EFF"/>
    <w:rsid w:val="002276DC"/>
    <w:rsid w:val="00227E00"/>
    <w:rsid w:val="002307CB"/>
    <w:rsid w:val="00231046"/>
    <w:rsid w:val="00234F21"/>
    <w:rsid w:val="00242659"/>
    <w:rsid w:val="002428F7"/>
    <w:rsid w:val="0024315F"/>
    <w:rsid w:val="0024631C"/>
    <w:rsid w:val="00246FD8"/>
    <w:rsid w:val="00252C9A"/>
    <w:rsid w:val="00256309"/>
    <w:rsid w:val="00257484"/>
    <w:rsid w:val="00260636"/>
    <w:rsid w:val="00275C5C"/>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17E33"/>
    <w:rsid w:val="00324F7E"/>
    <w:rsid w:val="003323BC"/>
    <w:rsid w:val="00346D42"/>
    <w:rsid w:val="00346E11"/>
    <w:rsid w:val="003601C0"/>
    <w:rsid w:val="003635F5"/>
    <w:rsid w:val="00372A88"/>
    <w:rsid w:val="00381A0F"/>
    <w:rsid w:val="003A1B3A"/>
    <w:rsid w:val="003A40F5"/>
    <w:rsid w:val="003B5B8C"/>
    <w:rsid w:val="003C7841"/>
    <w:rsid w:val="003D517E"/>
    <w:rsid w:val="003D79B1"/>
    <w:rsid w:val="003E74EE"/>
    <w:rsid w:val="003F0552"/>
    <w:rsid w:val="003F3BC2"/>
    <w:rsid w:val="003F725B"/>
    <w:rsid w:val="00401ED1"/>
    <w:rsid w:val="0040224C"/>
    <w:rsid w:val="00413EE1"/>
    <w:rsid w:val="004164BB"/>
    <w:rsid w:val="0042000E"/>
    <w:rsid w:val="00421ECE"/>
    <w:rsid w:val="00422FEB"/>
    <w:rsid w:val="0042435E"/>
    <w:rsid w:val="004315F5"/>
    <w:rsid w:val="00433456"/>
    <w:rsid w:val="00433DFA"/>
    <w:rsid w:val="00435D67"/>
    <w:rsid w:val="00464A58"/>
    <w:rsid w:val="00473D2D"/>
    <w:rsid w:val="004A2125"/>
    <w:rsid w:val="004A38F6"/>
    <w:rsid w:val="004B4EB6"/>
    <w:rsid w:val="004C083C"/>
    <w:rsid w:val="004C67C6"/>
    <w:rsid w:val="004D29DE"/>
    <w:rsid w:val="00510EAC"/>
    <w:rsid w:val="00542A57"/>
    <w:rsid w:val="00565974"/>
    <w:rsid w:val="005732C0"/>
    <w:rsid w:val="0057336D"/>
    <w:rsid w:val="0057489A"/>
    <w:rsid w:val="00574ACF"/>
    <w:rsid w:val="00581588"/>
    <w:rsid w:val="0058540B"/>
    <w:rsid w:val="00587C87"/>
    <w:rsid w:val="00590B80"/>
    <w:rsid w:val="005931CC"/>
    <w:rsid w:val="005B0CEF"/>
    <w:rsid w:val="005B3134"/>
    <w:rsid w:val="005B4E61"/>
    <w:rsid w:val="005B595A"/>
    <w:rsid w:val="005B66C2"/>
    <w:rsid w:val="005C66A6"/>
    <w:rsid w:val="005D2465"/>
    <w:rsid w:val="005E33DD"/>
    <w:rsid w:val="005E4229"/>
    <w:rsid w:val="005E5181"/>
    <w:rsid w:val="005E540E"/>
    <w:rsid w:val="005E55FB"/>
    <w:rsid w:val="005F16BB"/>
    <w:rsid w:val="00606564"/>
    <w:rsid w:val="00607115"/>
    <w:rsid w:val="00620768"/>
    <w:rsid w:val="0062594B"/>
    <w:rsid w:val="00631406"/>
    <w:rsid w:val="006324FF"/>
    <w:rsid w:val="006351D6"/>
    <w:rsid w:val="00636E0D"/>
    <w:rsid w:val="0064142F"/>
    <w:rsid w:val="00643CB4"/>
    <w:rsid w:val="00656427"/>
    <w:rsid w:val="00660255"/>
    <w:rsid w:val="00663EA5"/>
    <w:rsid w:val="00670C60"/>
    <w:rsid w:val="006845C1"/>
    <w:rsid w:val="006971F3"/>
    <w:rsid w:val="006C74A3"/>
    <w:rsid w:val="006D1381"/>
    <w:rsid w:val="006D31BC"/>
    <w:rsid w:val="006E7943"/>
    <w:rsid w:val="006F24EA"/>
    <w:rsid w:val="00704CA9"/>
    <w:rsid w:val="0071048D"/>
    <w:rsid w:val="00710F86"/>
    <w:rsid w:val="007111A8"/>
    <w:rsid w:val="00723B5F"/>
    <w:rsid w:val="00731BC3"/>
    <w:rsid w:val="00741192"/>
    <w:rsid w:val="00743A33"/>
    <w:rsid w:val="00746080"/>
    <w:rsid w:val="0075144A"/>
    <w:rsid w:val="00786329"/>
    <w:rsid w:val="00792C7D"/>
    <w:rsid w:val="00794A4D"/>
    <w:rsid w:val="007A5234"/>
    <w:rsid w:val="007B7854"/>
    <w:rsid w:val="007C56A1"/>
    <w:rsid w:val="007C6454"/>
    <w:rsid w:val="007E01E0"/>
    <w:rsid w:val="007E5CA0"/>
    <w:rsid w:val="007F0B93"/>
    <w:rsid w:val="007F2ECA"/>
    <w:rsid w:val="00802960"/>
    <w:rsid w:val="00811708"/>
    <w:rsid w:val="00816695"/>
    <w:rsid w:val="00816B90"/>
    <w:rsid w:val="00817799"/>
    <w:rsid w:val="00822F5F"/>
    <w:rsid w:val="00824FD3"/>
    <w:rsid w:val="00826589"/>
    <w:rsid w:val="00834BCC"/>
    <w:rsid w:val="00844D7A"/>
    <w:rsid w:val="00850D54"/>
    <w:rsid w:val="00852E2B"/>
    <w:rsid w:val="008714B0"/>
    <w:rsid w:val="008754CA"/>
    <w:rsid w:val="00876331"/>
    <w:rsid w:val="00880726"/>
    <w:rsid w:val="008A3544"/>
    <w:rsid w:val="008B48B8"/>
    <w:rsid w:val="008B5348"/>
    <w:rsid w:val="008B58F8"/>
    <w:rsid w:val="008B62FF"/>
    <w:rsid w:val="008C0712"/>
    <w:rsid w:val="008C4520"/>
    <w:rsid w:val="008C5F09"/>
    <w:rsid w:val="008D470F"/>
    <w:rsid w:val="008E1F8F"/>
    <w:rsid w:val="008E4768"/>
    <w:rsid w:val="008E761E"/>
    <w:rsid w:val="008F77B3"/>
    <w:rsid w:val="009008F5"/>
    <w:rsid w:val="00904CC1"/>
    <w:rsid w:val="009066AF"/>
    <w:rsid w:val="00912050"/>
    <w:rsid w:val="00912E48"/>
    <w:rsid w:val="00912E68"/>
    <w:rsid w:val="0092746F"/>
    <w:rsid w:val="00935DC9"/>
    <w:rsid w:val="009446C0"/>
    <w:rsid w:val="009450DD"/>
    <w:rsid w:val="0096082E"/>
    <w:rsid w:val="00961347"/>
    <w:rsid w:val="00967410"/>
    <w:rsid w:val="00967D73"/>
    <w:rsid w:val="0098119A"/>
    <w:rsid w:val="00984AAF"/>
    <w:rsid w:val="00991B09"/>
    <w:rsid w:val="00993CB2"/>
    <w:rsid w:val="009A5166"/>
    <w:rsid w:val="009A76F8"/>
    <w:rsid w:val="009B2B83"/>
    <w:rsid w:val="009C49F8"/>
    <w:rsid w:val="009D77CC"/>
    <w:rsid w:val="009D797A"/>
    <w:rsid w:val="009E2423"/>
    <w:rsid w:val="009E55D7"/>
    <w:rsid w:val="009F4150"/>
    <w:rsid w:val="009F54A9"/>
    <w:rsid w:val="009F5665"/>
    <w:rsid w:val="009F5DAD"/>
    <w:rsid w:val="00A01070"/>
    <w:rsid w:val="00A01BCA"/>
    <w:rsid w:val="00A10458"/>
    <w:rsid w:val="00A153B6"/>
    <w:rsid w:val="00A164D5"/>
    <w:rsid w:val="00A273C3"/>
    <w:rsid w:val="00A30C37"/>
    <w:rsid w:val="00A36C65"/>
    <w:rsid w:val="00A41BBE"/>
    <w:rsid w:val="00A443E3"/>
    <w:rsid w:val="00A45BDD"/>
    <w:rsid w:val="00A46A0A"/>
    <w:rsid w:val="00A553F8"/>
    <w:rsid w:val="00A6708F"/>
    <w:rsid w:val="00A71BF6"/>
    <w:rsid w:val="00A72AF9"/>
    <w:rsid w:val="00A86F9A"/>
    <w:rsid w:val="00AA35E6"/>
    <w:rsid w:val="00AA50B6"/>
    <w:rsid w:val="00AA708A"/>
    <w:rsid w:val="00AB3472"/>
    <w:rsid w:val="00AD0762"/>
    <w:rsid w:val="00AE0209"/>
    <w:rsid w:val="00AE3DCF"/>
    <w:rsid w:val="00AE4452"/>
    <w:rsid w:val="00AE7C38"/>
    <w:rsid w:val="00B01F99"/>
    <w:rsid w:val="00B02B37"/>
    <w:rsid w:val="00B0480C"/>
    <w:rsid w:val="00B05276"/>
    <w:rsid w:val="00B132DB"/>
    <w:rsid w:val="00B31427"/>
    <w:rsid w:val="00B33861"/>
    <w:rsid w:val="00B40DE2"/>
    <w:rsid w:val="00B50210"/>
    <w:rsid w:val="00B50D8D"/>
    <w:rsid w:val="00B53955"/>
    <w:rsid w:val="00B53BFC"/>
    <w:rsid w:val="00B63C79"/>
    <w:rsid w:val="00B6408A"/>
    <w:rsid w:val="00B6478A"/>
    <w:rsid w:val="00B70398"/>
    <w:rsid w:val="00B714B8"/>
    <w:rsid w:val="00B82C2C"/>
    <w:rsid w:val="00B8720B"/>
    <w:rsid w:val="00B876EF"/>
    <w:rsid w:val="00B91FB5"/>
    <w:rsid w:val="00BA4697"/>
    <w:rsid w:val="00BB5378"/>
    <w:rsid w:val="00BC0BD3"/>
    <w:rsid w:val="00BD0107"/>
    <w:rsid w:val="00BE0C33"/>
    <w:rsid w:val="00BE262C"/>
    <w:rsid w:val="00BE2CCA"/>
    <w:rsid w:val="00BE46FF"/>
    <w:rsid w:val="00BE4C25"/>
    <w:rsid w:val="00BE6C3D"/>
    <w:rsid w:val="00C054F1"/>
    <w:rsid w:val="00C07606"/>
    <w:rsid w:val="00C12542"/>
    <w:rsid w:val="00C130EE"/>
    <w:rsid w:val="00C24725"/>
    <w:rsid w:val="00C30BA9"/>
    <w:rsid w:val="00C3541E"/>
    <w:rsid w:val="00C36A8F"/>
    <w:rsid w:val="00C42834"/>
    <w:rsid w:val="00C42FFA"/>
    <w:rsid w:val="00C507D8"/>
    <w:rsid w:val="00C51F5A"/>
    <w:rsid w:val="00C57018"/>
    <w:rsid w:val="00C62EAC"/>
    <w:rsid w:val="00C63F9F"/>
    <w:rsid w:val="00C76803"/>
    <w:rsid w:val="00C7723C"/>
    <w:rsid w:val="00C838F5"/>
    <w:rsid w:val="00C841C0"/>
    <w:rsid w:val="00CA1AF4"/>
    <w:rsid w:val="00CA6068"/>
    <w:rsid w:val="00CB15E1"/>
    <w:rsid w:val="00CB3D46"/>
    <w:rsid w:val="00CD1A87"/>
    <w:rsid w:val="00CD2A28"/>
    <w:rsid w:val="00CD35F3"/>
    <w:rsid w:val="00CD5C93"/>
    <w:rsid w:val="00CE342B"/>
    <w:rsid w:val="00CF320C"/>
    <w:rsid w:val="00CF3A4B"/>
    <w:rsid w:val="00CF4001"/>
    <w:rsid w:val="00CF75DF"/>
    <w:rsid w:val="00D05837"/>
    <w:rsid w:val="00D12D8A"/>
    <w:rsid w:val="00D13E0C"/>
    <w:rsid w:val="00D25896"/>
    <w:rsid w:val="00D373A1"/>
    <w:rsid w:val="00D37C0F"/>
    <w:rsid w:val="00D45661"/>
    <w:rsid w:val="00D45943"/>
    <w:rsid w:val="00D47D22"/>
    <w:rsid w:val="00D51865"/>
    <w:rsid w:val="00D51D0C"/>
    <w:rsid w:val="00D74140"/>
    <w:rsid w:val="00DA6E56"/>
    <w:rsid w:val="00DA78DD"/>
    <w:rsid w:val="00DB1C65"/>
    <w:rsid w:val="00DC24E5"/>
    <w:rsid w:val="00DC6705"/>
    <w:rsid w:val="00DD2DE8"/>
    <w:rsid w:val="00DE38B4"/>
    <w:rsid w:val="00DE5D02"/>
    <w:rsid w:val="00DF2102"/>
    <w:rsid w:val="00E005A9"/>
    <w:rsid w:val="00E065BA"/>
    <w:rsid w:val="00E1166E"/>
    <w:rsid w:val="00E24DC0"/>
    <w:rsid w:val="00E2519C"/>
    <w:rsid w:val="00E25F2A"/>
    <w:rsid w:val="00E41455"/>
    <w:rsid w:val="00E42AD2"/>
    <w:rsid w:val="00E50856"/>
    <w:rsid w:val="00E538CC"/>
    <w:rsid w:val="00E54BBD"/>
    <w:rsid w:val="00E54DBA"/>
    <w:rsid w:val="00E63D7C"/>
    <w:rsid w:val="00E640D5"/>
    <w:rsid w:val="00E66E2E"/>
    <w:rsid w:val="00E67691"/>
    <w:rsid w:val="00E75692"/>
    <w:rsid w:val="00E92237"/>
    <w:rsid w:val="00E951EF"/>
    <w:rsid w:val="00EA275E"/>
    <w:rsid w:val="00EA3D54"/>
    <w:rsid w:val="00EA56D9"/>
    <w:rsid w:val="00EA5CE3"/>
    <w:rsid w:val="00EB51C1"/>
    <w:rsid w:val="00EB5AE1"/>
    <w:rsid w:val="00EB5E0B"/>
    <w:rsid w:val="00EC2171"/>
    <w:rsid w:val="00ED442D"/>
    <w:rsid w:val="00ED70C2"/>
    <w:rsid w:val="00EE18FF"/>
    <w:rsid w:val="00EE3E29"/>
    <w:rsid w:val="00EE489F"/>
    <w:rsid w:val="00F0647F"/>
    <w:rsid w:val="00F10CE3"/>
    <w:rsid w:val="00F12006"/>
    <w:rsid w:val="00F13443"/>
    <w:rsid w:val="00F14F3B"/>
    <w:rsid w:val="00F16362"/>
    <w:rsid w:val="00F207C7"/>
    <w:rsid w:val="00F36B6D"/>
    <w:rsid w:val="00F43FA3"/>
    <w:rsid w:val="00F55648"/>
    <w:rsid w:val="00F70046"/>
    <w:rsid w:val="00F748C2"/>
    <w:rsid w:val="00F74958"/>
    <w:rsid w:val="00F76C5C"/>
    <w:rsid w:val="00F81EF3"/>
    <w:rsid w:val="00F84496"/>
    <w:rsid w:val="00F85DCB"/>
    <w:rsid w:val="00F86F9C"/>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A058A8"/>
  <w15:docId w15:val="{3FBD5F32-6463-4DD7-B4F1-035D59CB9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5E5181"/>
    <w:pPr>
      <w:spacing w:after="0" w:line="240" w:lineRule="auto"/>
      <w:jc w:val="center"/>
    </w:pPr>
    <w:rPr>
      <w:rFonts w:ascii="Calibri" w:hAnsi="Calibri"/>
      <w:color w:val="000000" w:themeColor="text1"/>
    </w:rPr>
    <w:tblPr>
      <w:tblStyleRowBandSize w:val="1"/>
      <w:tblCellMar>
        <w:top w:w="57" w:type="dxa"/>
        <w:left w:w="57" w:type="dxa"/>
        <w:bottom w:w="57" w:type="dxa"/>
        <w:right w:w="57" w:type="dxa"/>
      </w:tblCellMar>
    </w:tblPr>
    <w:tcPr>
      <w:vAlign w:val="center"/>
    </w:tcPr>
    <w:tblStylePr w:type="firstRow">
      <w:pPr>
        <w:jc w:val="center"/>
      </w:pPr>
      <w:rPr>
        <w:rFonts w:asciiTheme="minorHAnsi" w:hAnsiTheme="minorHAnsi"/>
        <w:b/>
        <w:color w:val="FFFFFF" w:themeColor="background1"/>
        <w:sz w:val="22"/>
      </w:rPr>
      <w:tblPr/>
      <w:tcPr>
        <w:tcBorders>
          <w:insideH w:val="single" w:sz="4" w:space="0" w:color="F7ECDD"/>
          <w:insideV w:val="single" w:sz="4" w:space="0" w:color="F7ECDD"/>
        </w:tcBorders>
        <w:shd w:val="clear" w:color="auto" w:fill="404040" w:themeFill="text1" w:themeFillTint="BF"/>
      </w:tcPr>
    </w:tblStylePr>
    <w:tblStylePr w:type="lastRow">
      <w:rPr>
        <w:b/>
      </w:rPr>
      <w:tblPr/>
      <w:tcPr>
        <w:shd w:val="clear" w:color="auto" w:fill="F7ECDD"/>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UnresolvedMention">
    <w:name w:val="Unresolved Mention"/>
    <w:basedOn w:val="DefaultParagraphFont"/>
    <w:uiPriority w:val="99"/>
    <w:semiHidden/>
    <w:unhideWhenUsed/>
    <w:rsid w:val="00B50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1323462985">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creativecommons.org/licenses/by-nc-nd/4.0/legalcode" TargetMode="External"/><Relationship Id="rId3" Type="http://schemas.openxmlformats.org/officeDocument/2006/relationships/numbering" Target="numbering.xml"/><Relationship Id="rId21" Type="http://schemas.openxmlformats.org/officeDocument/2006/relationships/hyperlink" Target="http://www.health.gov.au/cdna"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cdi.editor@health.gov.au" TargetMode="External"/><Relationship Id="rId2" Type="http://schemas.openxmlformats.org/officeDocument/2006/relationships/customXml" Target="../customXml/item2.xml"/><Relationship Id="rId16" Type="http://schemas.openxmlformats.org/officeDocument/2006/relationships/hyperlink" Target="http://health.gov.au/cdi" TargetMode="External"/><Relationship Id="rId20" Type="http://schemas.openxmlformats.org/officeDocument/2006/relationships/hyperlink" Target="mailto:copyright@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cdi.editor@health.gov.au"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www.itsanhonour.gov.au/" TargetMode="External"/><Relationship Id="rId4" Type="http://schemas.openxmlformats.org/officeDocument/2006/relationships/styles" Target="styles.xml"/><Relationship Id="rId9" Type="http://schemas.openxmlformats.org/officeDocument/2006/relationships/hyperlink" Target="http://health.gov.au/cdi" TargetMode="External"/><Relationship Id="rId14" Type="http://schemas.openxmlformats.org/officeDocument/2006/relationships/hyperlink" Target="http://www.health.gov.au/cdi"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3\template-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template-2023.dotx</Template>
  <TotalTime>13</TotalTime>
  <Pages>8</Pages>
  <Words>2992</Words>
  <Characters>18548</Characters>
  <Application>Microsoft Office Word</Application>
  <DocSecurity>0</DocSecurity>
  <Lines>154</Lines>
  <Paragraphs>42</Paragraphs>
  <ScaleCrop>false</ScaleCrop>
  <HeadingPairs>
    <vt:vector size="2" baseType="variant">
      <vt:variant>
        <vt:lpstr>Title</vt:lpstr>
      </vt:variant>
      <vt:variant>
        <vt:i4>1</vt:i4>
      </vt:variant>
    </vt:vector>
  </HeadingPairs>
  <TitlesOfParts>
    <vt:vector size="1" baseType="lpstr">
      <vt:lpstr>Communicable Diseases Intelligence - Evolving epidemiology of Q fever in Wide Bay</vt:lpstr>
    </vt:vector>
  </TitlesOfParts>
  <Company>Australian Government, Department of Health</Company>
  <LinksUpToDate>false</LinksUpToDate>
  <CharactersWithSpaces>21498</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Evolving epidemiology of Q fever in Wide Bay</dc:title>
  <dc:subject>Analysis of Q fever cases in the Wide Bay region throughout 2022 revealed an even distribution between residents of rural areas and more urban centres, with a number lacking traditional occupational exposures. This may reflect a broader trend associated with increasing land development in the region, and may suggest a requirement to increase awareness of this disease and its prevention among a broader population.</dc:subject>
  <dc:creator>Matthew Roughan; Emma Hodge; Arifuzzaman Khan; Josette Chor</dc:creator>
  <cp:keywords>Keywords: Q fever; zoonoses; rural health; vaccination; urbanisation</cp:keywords>
  <dc:description>© Commonwealth of Australia CC BY-NC-ND ISSN: 2209-6051 (Online)</dc:description>
  <cp:lastModifiedBy>YOUSEFI, Kasra</cp:lastModifiedBy>
  <cp:revision>9</cp:revision>
  <cp:lastPrinted>2018-05-10T02:19:00Z</cp:lastPrinted>
  <dcterms:created xsi:type="dcterms:W3CDTF">2023-06-14T04:32:00Z</dcterms:created>
  <dcterms:modified xsi:type="dcterms:W3CDTF">2023-06-21T04:20:00Z</dcterms:modified>
  <cp:category>Short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2023</vt:lpwstr>
  </property>
  <property fmtid="{D5CDD505-2E9C-101B-9397-08002B2CF9AE}" pid="3" name="Vol">
    <vt:i4>47</vt:i4>
  </property>
  <property fmtid="{D5CDD505-2E9C-101B-9397-08002B2CF9AE}" pid="4" name="ePubDate">
    <vt:lpwstr>26/06/2023</vt:lpwstr>
  </property>
  <property fmtid="{D5CDD505-2E9C-101B-9397-08002B2CF9AE}" pid="5" name="DOI">
    <vt:lpwstr>https://doi.org/10.33321/cdi.2023.47.36</vt:lpwstr>
  </property>
</Properties>
</file>