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7A63" w14:textId="6E45776D" w:rsidR="00B50D8D" w:rsidRPr="00341720" w:rsidRDefault="000C6285" w:rsidP="00341720">
      <w:pPr>
        <w:pStyle w:val="CDIDOIInformation"/>
      </w:pPr>
      <w:r>
        <w:fldChar w:fldCharType="begin"/>
      </w:r>
      <w:r>
        <w:instrText xml:space="preserve"> DOCPROPERTY  Year  \* MERGEFORMAT </w:instrText>
      </w:r>
      <w:r>
        <w:fldChar w:fldCharType="separate"/>
      </w:r>
      <w:r w:rsidR="00832FD3">
        <w:t>2024</w:t>
      </w:r>
      <w:r>
        <w:fldChar w:fldCharType="end"/>
      </w:r>
      <w:r w:rsidR="00A623E8" w:rsidRPr="00341720">
        <w:t xml:space="preserve"> • </w:t>
      </w:r>
      <w:r w:rsidR="00B50D8D" w:rsidRPr="00341720">
        <w:t xml:space="preserve">Volume </w:t>
      </w:r>
      <w:fldSimple w:instr=" DOCPROPERTY  Vol  \* MERGEFORMAT ">
        <w:r w:rsidR="00832FD3">
          <w:t>48</w:t>
        </w:r>
      </w:fldSimple>
      <w:r w:rsidR="00725C33" w:rsidRPr="00341720">
        <w:t xml:space="preserve"> </w:t>
      </w:r>
      <w:r w:rsidR="008E3F81" w:rsidRPr="00341720">
        <w:t>•</w:t>
      </w:r>
      <w:r w:rsidR="00725C33" w:rsidRPr="00341720">
        <w:t xml:space="preserve"> </w:t>
      </w:r>
      <w:fldSimple w:instr=" DOCPROPERTY  DOI  \* MERGEFORMAT ">
        <w:r w:rsidR="006C0D9D">
          <w:t>https://doi.org/10.33321/cdi.2024.48.28</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6C0D9D">
          <w:t>21/08/2024</w:t>
        </w:r>
      </w:fldSimple>
    </w:p>
    <w:p w14:paraId="161E15AA" w14:textId="36C0A1DB" w:rsidR="00E30C30" w:rsidRPr="0037146D" w:rsidRDefault="006C0D9D" w:rsidP="0037146D">
      <w:pPr>
        <w:pStyle w:val="Title"/>
        <w:divId w:val="935526654"/>
      </w:pPr>
      <w:r w:rsidRPr="006C0D9D">
        <w:t xml:space="preserve">Differential COVID-19 case ascertainment by age and vaccination status in Victoria, Australia: a </w:t>
      </w:r>
      <w:proofErr w:type="spellStart"/>
      <w:r w:rsidRPr="006C0D9D">
        <w:t>serosurveillance</w:t>
      </w:r>
      <w:proofErr w:type="spellEnd"/>
      <w:r w:rsidRPr="006C0D9D">
        <w:t xml:space="preserve"> and record linkage </w:t>
      </w:r>
      <w:proofErr w:type="gramStart"/>
      <w:r w:rsidRPr="006C0D9D">
        <w:t>study</w:t>
      </w:r>
      <w:proofErr w:type="gramEnd"/>
    </w:p>
    <w:p w14:paraId="1B31CB3D" w14:textId="607E418F" w:rsidR="007A33B9" w:rsidRPr="0037146D" w:rsidRDefault="006C0D9D" w:rsidP="0037146D">
      <w:pPr>
        <w:pStyle w:val="Subtitle"/>
        <w:divId w:val="935526654"/>
      </w:pPr>
      <w:r w:rsidRPr="006C0D9D">
        <w:t xml:space="preserve">Joshua </w:t>
      </w:r>
      <w:proofErr w:type="spellStart"/>
      <w:r w:rsidRPr="006C0D9D">
        <w:t>Szanyi</w:t>
      </w:r>
      <w:proofErr w:type="spellEnd"/>
      <w:r w:rsidRPr="006C0D9D">
        <w:t xml:space="preserve">, David J Price, Kylie S Carville, Mitch Batty, Sarah </w:t>
      </w:r>
      <w:proofErr w:type="spellStart"/>
      <w:r w:rsidRPr="006C0D9D">
        <w:t>Yallop</w:t>
      </w:r>
      <w:proofErr w:type="spellEnd"/>
      <w:r w:rsidRPr="006C0D9D">
        <w:t>, Suellen Nicholson, Theo</w:t>
      </w:r>
      <w:r>
        <w:t> </w:t>
      </w:r>
      <w:proofErr w:type="spellStart"/>
      <w:r w:rsidRPr="006C0D9D">
        <w:t>Karapanagiotidis</w:t>
      </w:r>
      <w:proofErr w:type="spellEnd"/>
      <w:r w:rsidRPr="006C0D9D">
        <w:t>, Stacey Rowe, Sheena Sullivan, Vinay Menon, Daniel West, Lakshmi</w:t>
      </w:r>
      <w:r>
        <w:t> </w:t>
      </w:r>
      <w:r w:rsidRPr="006C0D9D">
        <w:t>Manoharan, Eliza Copsey, Suman S Majumdar, Brett Sutton, Deborah A Williamson, Jodie</w:t>
      </w:r>
      <w:r>
        <w:t> </w:t>
      </w:r>
      <w:proofErr w:type="spellStart"/>
      <w:r w:rsidRPr="006C0D9D">
        <w:t>McVernon</w:t>
      </w:r>
      <w:proofErr w:type="spellEnd"/>
    </w:p>
    <w:p w14:paraId="604EAAA4" w14:textId="77777777" w:rsidR="0037146D" w:rsidRDefault="0037146D" w:rsidP="0037146D">
      <w:pPr>
        <w:pStyle w:val="Heading1"/>
        <w:divId w:val="935526654"/>
        <w:rPr>
          <w:lang w:val="en-GB"/>
        </w:rPr>
      </w:pPr>
      <w:r>
        <w:rPr>
          <w:lang w:val="en-GB"/>
        </w:rPr>
        <w:t>Abstract</w:t>
      </w:r>
    </w:p>
    <w:p w14:paraId="44F53A5B" w14:textId="45D4DA2B" w:rsidR="00065A6B" w:rsidRDefault="006C0D9D" w:rsidP="00065A6B">
      <w:pPr>
        <w:pStyle w:val="CDIBoxHeadingGreen"/>
        <w:divId w:val="935526654"/>
        <w:rPr>
          <w:lang w:val="en-GB"/>
        </w:rPr>
      </w:pPr>
      <w:r>
        <w:rPr>
          <w:lang w:val="en-GB"/>
        </w:rPr>
        <w:t>Objectives</w:t>
      </w:r>
    </w:p>
    <w:p w14:paraId="0ECC9AAA" w14:textId="46D64590" w:rsidR="00065A6B" w:rsidRDefault="006C0D9D" w:rsidP="00065A6B">
      <w:pPr>
        <w:pStyle w:val="CDIBoxTextGreen"/>
        <w:divId w:val="935526654"/>
        <w:rPr>
          <w:lang w:val="en-GB"/>
        </w:rPr>
      </w:pPr>
      <w:r w:rsidRPr="006C0D9D">
        <w:rPr>
          <w:lang w:val="en-GB"/>
        </w:rPr>
        <w:t xml:space="preserve">To compare serological evidence of prior severe acute respiratory syndrome coronavirus 2 (SARS-CoV-2) infection with linked coronavirus disease 2019 (COVID-19) case notification data in Victoria, Australia, and to determine </w:t>
      </w:r>
      <w:r w:rsidRPr="006C0D9D">
        <w:rPr>
          <w:i/>
          <w:iCs/>
          <w:lang w:val="en-GB"/>
        </w:rPr>
        <w:t>in vitro</w:t>
      </w:r>
      <w:r w:rsidRPr="006C0D9D">
        <w:rPr>
          <w:lang w:val="en-GB"/>
        </w:rPr>
        <w:t xml:space="preserve"> SARS-CoV-2 neutralisation activity based on prior infection and vaccination history.</w:t>
      </w:r>
    </w:p>
    <w:p w14:paraId="6EFA7687" w14:textId="62EAB28D" w:rsidR="006C0D9D" w:rsidRDefault="006C0D9D" w:rsidP="006C0D9D">
      <w:pPr>
        <w:pStyle w:val="CDIBoxHeadingGreen"/>
        <w:divId w:val="935526654"/>
        <w:rPr>
          <w:lang w:val="en-GB"/>
        </w:rPr>
      </w:pPr>
      <w:r w:rsidRPr="006C0D9D">
        <w:rPr>
          <w:lang w:val="en-GB"/>
        </w:rPr>
        <w:t xml:space="preserve">Design, setting, </w:t>
      </w:r>
      <w:proofErr w:type="gramStart"/>
      <w:r w:rsidRPr="006C0D9D">
        <w:rPr>
          <w:lang w:val="en-GB"/>
        </w:rPr>
        <w:t>participants</w:t>
      </w:r>
      <w:proofErr w:type="gramEnd"/>
    </w:p>
    <w:p w14:paraId="7611ECB5" w14:textId="66FA8968" w:rsidR="006C0D9D" w:rsidRDefault="006C0D9D" w:rsidP="00065A6B">
      <w:pPr>
        <w:pStyle w:val="CDIBoxTextGreen"/>
        <w:divId w:val="935526654"/>
        <w:rPr>
          <w:lang w:val="en-GB"/>
        </w:rPr>
      </w:pPr>
      <w:r w:rsidRPr="006C0D9D">
        <w:rPr>
          <w:lang w:val="en-GB"/>
        </w:rPr>
        <w:t xml:space="preserve">Four cross-sectional serological surveys were conducted between 30 June and 31 October 2022 (a period of Omicron BA.4/BA.5 dominance) using 1,974 residual serum samples obtained from the Victorian Infectious Diseases Reference Laboratory. Serological results were linked to COVID-19 case notification and vaccination data. Surrogate virus neutralisation testing was performed to obtain </w:t>
      </w:r>
      <w:r w:rsidRPr="006C0D9D">
        <w:rPr>
          <w:i/>
          <w:iCs/>
          <w:lang w:val="en-GB"/>
        </w:rPr>
        <w:t>in vitro</w:t>
      </w:r>
      <w:r w:rsidRPr="006C0D9D">
        <w:rPr>
          <w:lang w:val="en-GB"/>
        </w:rPr>
        <w:t xml:space="preserve"> inhibition estimates by anti-nucleocapsid serostatus and COVID-19 vaccination history.</w:t>
      </w:r>
    </w:p>
    <w:p w14:paraId="71792EA4" w14:textId="659EE65F" w:rsidR="006C0D9D" w:rsidRDefault="006C0D9D" w:rsidP="006C0D9D">
      <w:pPr>
        <w:pStyle w:val="CDIBoxHeadingGreen"/>
        <w:divId w:val="935526654"/>
        <w:rPr>
          <w:lang w:val="en-GB"/>
        </w:rPr>
      </w:pPr>
      <w:r>
        <w:rPr>
          <w:lang w:val="en-GB"/>
        </w:rPr>
        <w:t>Main outcome measures</w:t>
      </w:r>
    </w:p>
    <w:p w14:paraId="23C5D2E0" w14:textId="1443FA12" w:rsidR="006C0D9D" w:rsidRDefault="006C0D9D" w:rsidP="00065A6B">
      <w:pPr>
        <w:pStyle w:val="CDIBoxTextGreen"/>
        <w:divId w:val="935526654"/>
        <w:rPr>
          <w:lang w:val="en-GB"/>
        </w:rPr>
      </w:pPr>
      <w:r w:rsidRPr="006C0D9D">
        <w:rPr>
          <w:lang w:val="en-GB"/>
        </w:rPr>
        <w:t xml:space="preserve">Adjusted anti-SARS-CoV-2 spike and nucleocapsid seropositivity by sex, </w:t>
      </w:r>
      <w:proofErr w:type="gramStart"/>
      <w:r w:rsidRPr="006C0D9D">
        <w:rPr>
          <w:lang w:val="en-GB"/>
        </w:rPr>
        <w:t>age</w:t>
      </w:r>
      <w:proofErr w:type="gramEnd"/>
      <w:r w:rsidRPr="006C0D9D">
        <w:rPr>
          <w:lang w:val="en-GB"/>
        </w:rPr>
        <w:t xml:space="preserve"> and region of residence; adjusted proportion of cases notified by anti-nucleocapsid serostatus, age and number of COVID-19 </w:t>
      </w:r>
      <w:r w:rsidRPr="006C0D9D">
        <w:rPr>
          <w:lang w:val="en-GB"/>
        </w:rPr>
        <w:lastRenderedPageBreak/>
        <w:t xml:space="preserve">vaccination doses received; adjusted percentage </w:t>
      </w:r>
      <w:r w:rsidRPr="006C0D9D">
        <w:rPr>
          <w:i/>
          <w:iCs/>
          <w:lang w:val="en-GB"/>
        </w:rPr>
        <w:t>in vitro</w:t>
      </w:r>
      <w:r w:rsidRPr="006C0D9D">
        <w:rPr>
          <w:lang w:val="en-GB"/>
        </w:rPr>
        <w:t xml:space="preserve"> inhibition against wildtype and Omicron BA.4/BA.5 SARS-CoV-2 variants by anti-nucleocapsid serostatus and COVID-19 vaccination history.</w:t>
      </w:r>
    </w:p>
    <w:p w14:paraId="2CBA4CFA" w14:textId="17842FF3" w:rsidR="006C0D9D" w:rsidRDefault="00B4315F" w:rsidP="00B4315F">
      <w:pPr>
        <w:pStyle w:val="CDIBoxHeadingGreen"/>
        <w:divId w:val="935526654"/>
        <w:rPr>
          <w:lang w:val="en-GB"/>
        </w:rPr>
      </w:pPr>
      <w:r>
        <w:rPr>
          <w:lang w:val="en-GB"/>
        </w:rPr>
        <w:t>Results</w:t>
      </w:r>
    </w:p>
    <w:p w14:paraId="6B60A254" w14:textId="001644AD" w:rsidR="00B4315F" w:rsidRDefault="00B4315F" w:rsidP="00065A6B">
      <w:pPr>
        <w:pStyle w:val="CDIBoxTextGreen"/>
        <w:divId w:val="935526654"/>
        <w:rPr>
          <w:lang w:val="en-GB"/>
        </w:rPr>
      </w:pPr>
      <w:r w:rsidRPr="00B4315F">
        <w:rPr>
          <w:lang w:val="en-GB"/>
        </w:rPr>
        <w:t xml:space="preserve">The prevalence of anti-SARS-CoV-2 nucleocapsid antibodies was inversely proportional to age. In October 2022, prevalence was 84% (95% confidence interval [95% CI]: 75–93%) among 18–29-year-olds, compared to 39% (95% CI: 27–52%) among ≥ 80-year-olds. In most age groups, approximately 40% of COVID-19 cases appear to have been notified via existing surveillance mechanisms. Case notification was highest among individuals older than 80 years and people who had received COVID-19 vaccine booster doses. </w:t>
      </w:r>
      <w:r w:rsidRPr="00B4315F">
        <w:rPr>
          <w:i/>
          <w:iCs/>
          <w:lang w:val="en-GB"/>
        </w:rPr>
        <w:t>In vitro</w:t>
      </w:r>
      <w:r w:rsidRPr="00B4315F">
        <w:rPr>
          <w:lang w:val="en-GB"/>
        </w:rPr>
        <w:t xml:space="preserve"> neutralisation of Omicron BA.4/BA.5 sub-variants was highest for individuals with evidence of both prior infection and booster vaccination.</w:t>
      </w:r>
    </w:p>
    <w:p w14:paraId="70BEEF44" w14:textId="052346EB" w:rsidR="00B4315F" w:rsidRDefault="00B4315F" w:rsidP="00B4315F">
      <w:pPr>
        <w:pStyle w:val="CDIBoxHeadingGreen"/>
        <w:divId w:val="935526654"/>
        <w:rPr>
          <w:lang w:val="en-GB"/>
        </w:rPr>
      </w:pPr>
      <w:r>
        <w:rPr>
          <w:lang w:val="en-GB"/>
        </w:rPr>
        <w:t>Conclusions</w:t>
      </w:r>
    </w:p>
    <w:p w14:paraId="050A11B7" w14:textId="23303EA6" w:rsidR="00B4315F" w:rsidRDefault="00B4315F" w:rsidP="00620509">
      <w:pPr>
        <w:pStyle w:val="CDIBoxTextGreen"/>
        <w:divId w:val="935526654"/>
        <w:rPr>
          <w:lang w:val="en-GB"/>
        </w:rPr>
      </w:pPr>
      <w:r w:rsidRPr="00B4315F">
        <w:rPr>
          <w:lang w:val="en-GB"/>
        </w:rPr>
        <w:t>Under-notification of SARS-CoV-2 infections in the Victorian population is not uniform across age and vaccination strata. Seroprevalence data that give insights into case notification behaviour provide additional context for the interpretation of existing COVID-19 surveillance information.</w:t>
      </w:r>
    </w:p>
    <w:p w14:paraId="73379767" w14:textId="4715A79F" w:rsidR="00620509" w:rsidRDefault="00620509" w:rsidP="00620509">
      <w:pPr>
        <w:divId w:val="935526654"/>
        <w:rPr>
          <w:lang w:val="en-GB"/>
        </w:rPr>
      </w:pPr>
      <w:r w:rsidRPr="0037146D">
        <w:rPr>
          <w:lang w:val="en-GB"/>
        </w:rPr>
        <w:t xml:space="preserve">Keywords: </w:t>
      </w:r>
      <w:r w:rsidR="00B4315F" w:rsidRPr="00B4315F">
        <w:rPr>
          <w:lang w:val="en-GB"/>
        </w:rPr>
        <w:t xml:space="preserve">COVID-19; SARS-CoV-2; </w:t>
      </w:r>
      <w:proofErr w:type="spellStart"/>
      <w:r w:rsidR="00B4315F" w:rsidRPr="00B4315F">
        <w:rPr>
          <w:lang w:val="en-GB"/>
        </w:rPr>
        <w:t>serosurveillance</w:t>
      </w:r>
      <w:proofErr w:type="spellEnd"/>
      <w:r w:rsidR="00B4315F" w:rsidRPr="00B4315F">
        <w:rPr>
          <w:lang w:val="en-GB"/>
        </w:rPr>
        <w:t>; seroprevalence; antibody; vaccination; testing</w:t>
      </w:r>
    </w:p>
    <w:p w14:paraId="531FB508" w14:textId="77777777" w:rsidR="00470C19" w:rsidRDefault="00470C19" w:rsidP="00470C19">
      <w:pPr>
        <w:pStyle w:val="Heading1"/>
        <w:divId w:val="935526654"/>
      </w:pPr>
      <w:r>
        <w:t>Introduction</w:t>
      </w:r>
    </w:p>
    <w:p w14:paraId="31103409" w14:textId="2A1FDE4C" w:rsidR="00B4315F" w:rsidRPr="00B4315F" w:rsidRDefault="00B4315F" w:rsidP="00B4315F">
      <w:pPr>
        <w:divId w:val="935526654"/>
        <w:rPr>
          <w:lang w:val="en-GB"/>
        </w:rPr>
      </w:pPr>
      <w:r w:rsidRPr="00B4315F">
        <w:rPr>
          <w:lang w:val="en-GB"/>
        </w:rPr>
        <w:t>Diagnostic testing and notification of positive tests to public health authorities do not capture all severe acute respiratory syndrome coronavirus 2 (SARS-CoV-2) infections that have occurred in a population,</w:t>
      </w:r>
      <w:r w:rsidRPr="00B4315F">
        <w:rPr>
          <w:vertAlign w:val="superscript"/>
          <w:lang w:val="en-GB"/>
        </w:rPr>
        <w:t>1</w:t>
      </w:r>
      <w:r w:rsidRPr="00B4315F">
        <w:rPr>
          <w:lang w:val="en-GB"/>
        </w:rPr>
        <w:t xml:space="preserve"> due to variability in test-seeking and reporting behaviour, assay sensitivity,</w:t>
      </w:r>
      <w:r w:rsidRPr="00B4315F">
        <w:rPr>
          <w:vertAlign w:val="superscript"/>
          <w:lang w:val="en-GB"/>
        </w:rPr>
        <w:t>2</w:t>
      </w:r>
      <w:r w:rsidRPr="00B4315F">
        <w:rPr>
          <w:lang w:val="en-GB"/>
        </w:rPr>
        <w:t xml:space="preserve"> fluctuations in access to testing, and the presence of asymptomatic infections. Seroprevalence studies thus provide an additional source of evidence to inform estimation of population exposure to SARS-CoV-2 infection, and by extension, case ascertainment and population-level immunity to coronavirus disease 2019 (COVID-19). This information can then, for example, assist in forecasting the impact of future outbreaks, planning healthcare resourcing, and estimating the likely burden of long COVID. Such studies generally include testing for anti-spike antibodies (anti-S; induced by both previous infection and vaccination) and anti-nucleocapsid antibodies (anti-N; these are not induced by vaccines that target the spike protein and therefore indicate prior infection in the Australian context).</w:t>
      </w:r>
      <w:r w:rsidRPr="00B4315F">
        <w:rPr>
          <w:vertAlign w:val="superscript"/>
          <w:lang w:val="en-GB"/>
        </w:rPr>
        <w:t>1,</w:t>
      </w:r>
      <w:proofErr w:type="gramStart"/>
      <w:r w:rsidRPr="00B4315F">
        <w:rPr>
          <w:vertAlign w:val="superscript"/>
          <w:lang w:val="en-GB"/>
        </w:rPr>
        <w:t>3</w:t>
      </w:r>
      <w:proofErr w:type="gramEnd"/>
    </w:p>
    <w:p w14:paraId="55A90DAB" w14:textId="7F179612" w:rsidR="00B4315F" w:rsidRPr="00B4315F" w:rsidRDefault="00B4315F" w:rsidP="00B4315F">
      <w:pPr>
        <w:divId w:val="935526654"/>
        <w:rPr>
          <w:lang w:val="en-GB"/>
        </w:rPr>
      </w:pPr>
      <w:r w:rsidRPr="00B4315F">
        <w:rPr>
          <w:lang w:val="en-GB"/>
        </w:rPr>
        <w:t>Victoria (and the rest of Australia) experienced relatively minimal SARS-CoV-2 transmission in 2020 and 2021 compared to many other jurisdictions globally. This was followed by widespread transmission of the Omicron BA.1 and BA.2 sub-variants from late 2021, then sustained community transmission of the Omicron BA.4 and BA.5 sub-variants which were first detected in Australia in April 2022. By mid-2022 most COVID-19 diagnostic testing in the state was being conducted via rapid antigen test (RAT), but polymerase chain reaction (PCR) testing was still available.</w:t>
      </w:r>
      <w:r w:rsidRPr="00B4315F">
        <w:rPr>
          <w:vertAlign w:val="superscript"/>
          <w:lang w:val="en-GB"/>
        </w:rPr>
        <w:t>4</w:t>
      </w:r>
      <w:r w:rsidRPr="00B4315F">
        <w:rPr>
          <w:lang w:val="en-GB"/>
        </w:rPr>
        <w:t xml:space="preserve"> Between January 2022 and 12 October 2022 (encompassing most of the study period), individuals returning a positive RAT were required to report this result to the Victorian State Government Department of Health.</w:t>
      </w:r>
      <w:r>
        <w:rPr>
          <w:lang w:val="en-GB"/>
        </w:rPr>
        <w:t xml:space="preserve"> </w:t>
      </w:r>
      <w:r w:rsidRPr="00B4315F">
        <w:rPr>
          <w:lang w:val="en-GB"/>
        </w:rPr>
        <w:t>Thereafter, reporting was recommended rather than required. As of 31 October 2022, over 2.6 million positive SARS-CoV-2 tests had been notified in Victoria since the start of the COVID-19 pandemic.</w:t>
      </w:r>
      <w:r w:rsidRPr="00B4315F">
        <w:rPr>
          <w:vertAlign w:val="superscript"/>
          <w:lang w:val="en-GB"/>
        </w:rPr>
        <w:t>5</w:t>
      </w:r>
    </w:p>
    <w:p w14:paraId="517E2F23" w14:textId="77777777" w:rsidR="00B4315F" w:rsidRPr="00B4315F" w:rsidRDefault="00B4315F" w:rsidP="00B4315F">
      <w:pPr>
        <w:divId w:val="935526654"/>
        <w:rPr>
          <w:lang w:val="en-GB"/>
        </w:rPr>
      </w:pPr>
      <w:r w:rsidRPr="00B4315F">
        <w:rPr>
          <w:lang w:val="en-GB"/>
        </w:rPr>
        <w:lastRenderedPageBreak/>
        <w:t xml:space="preserve">Recent COVID-19 </w:t>
      </w:r>
      <w:proofErr w:type="spellStart"/>
      <w:r w:rsidRPr="00B4315F">
        <w:rPr>
          <w:lang w:val="en-GB"/>
        </w:rPr>
        <w:t>serosurveillance</w:t>
      </w:r>
      <w:proofErr w:type="spellEnd"/>
      <w:r w:rsidRPr="00B4315F">
        <w:rPr>
          <w:lang w:val="en-GB"/>
        </w:rPr>
        <w:t xml:space="preserve"> studies using donor blood sera</w:t>
      </w:r>
      <w:r w:rsidRPr="00B4315F">
        <w:rPr>
          <w:vertAlign w:val="superscript"/>
          <w:lang w:val="en-GB"/>
        </w:rPr>
        <w:t>6–8</w:t>
      </w:r>
      <w:r w:rsidRPr="00B4315F">
        <w:rPr>
          <w:lang w:val="en-GB"/>
        </w:rPr>
        <w:t xml:space="preserve"> showed an increase in anti-N seroprevalence in Victoria from 23% in early 2022 to 67% in August 2022,</w:t>
      </w:r>
      <w:r w:rsidRPr="00B4315F">
        <w:rPr>
          <w:vertAlign w:val="superscript"/>
          <w:lang w:val="en-GB"/>
        </w:rPr>
        <w:t>8</w:t>
      </w:r>
      <w:r w:rsidRPr="00B4315F">
        <w:rPr>
          <w:lang w:val="en-GB"/>
        </w:rPr>
        <w:t xml:space="preserve"> consistent with extensive transmission of SARS-CoV-2 Omicron sub-variants during this period. However, these results were not linked to COVID-19 case notification and vaccination data. Analysis of population seroprevalence linked to notification, vaccination, and functional antibody data may provide actionable insights into contemporary trends in case detection and signal alterations in cohort or population-level susceptibility over time due to waning immunity. These are key components informing pandemic policymaking, such as approaches to vaccination and targeting high-risk subgroups for diagnostic testing.</w:t>
      </w:r>
    </w:p>
    <w:p w14:paraId="70E33FA2" w14:textId="77777777" w:rsidR="00B4315F" w:rsidRPr="00B4315F" w:rsidRDefault="00B4315F" w:rsidP="00B4315F">
      <w:pPr>
        <w:divId w:val="935526654"/>
        <w:rPr>
          <w:lang w:val="en-GB"/>
        </w:rPr>
      </w:pPr>
      <w:r w:rsidRPr="00B4315F">
        <w:rPr>
          <w:lang w:val="en-GB"/>
        </w:rPr>
        <w:t xml:space="preserve">The aim of this study was therefore to pilot a SARS-CoV-2 </w:t>
      </w:r>
      <w:proofErr w:type="spellStart"/>
      <w:r w:rsidRPr="00B4315F">
        <w:rPr>
          <w:lang w:val="en-GB"/>
        </w:rPr>
        <w:t>serosurveillance</w:t>
      </w:r>
      <w:proofErr w:type="spellEnd"/>
      <w:r w:rsidRPr="00B4315F">
        <w:rPr>
          <w:lang w:val="en-GB"/>
        </w:rPr>
        <w:t xml:space="preserve"> platform in Victoria that was linked to COVID-19 case notification and vaccination data. Specifically, this study aimed to: (a) determine the seroprevalence of anti-S and anti-N antibodies in Victoria using residual sera; (b) estimate COVID-19 case ascertainment in Victoria through linkage of serological data with COVID-19 vaccination and case notification data; and (c) determine </w:t>
      </w:r>
      <w:r w:rsidRPr="00B4315F">
        <w:rPr>
          <w:i/>
          <w:iCs/>
          <w:lang w:val="en-GB"/>
        </w:rPr>
        <w:t>in vitro</w:t>
      </w:r>
      <w:r w:rsidRPr="00B4315F">
        <w:rPr>
          <w:lang w:val="en-GB"/>
        </w:rPr>
        <w:t xml:space="preserve"> viral neutralisation activity for a subset of individuals stratified by past exposure phenotype.</w:t>
      </w:r>
    </w:p>
    <w:p w14:paraId="3C780B39" w14:textId="77777777" w:rsidR="00470C19" w:rsidRDefault="00470C19" w:rsidP="00470C19">
      <w:pPr>
        <w:pStyle w:val="Heading1"/>
        <w:divId w:val="935526654"/>
        <w:rPr>
          <w:lang w:val="en-GB"/>
        </w:rPr>
      </w:pPr>
      <w:r>
        <w:rPr>
          <w:lang w:val="en-GB"/>
        </w:rPr>
        <w:t>Methods</w:t>
      </w:r>
    </w:p>
    <w:p w14:paraId="645361D3" w14:textId="73130899" w:rsidR="00470C19" w:rsidRDefault="00B4315F" w:rsidP="00B4315F">
      <w:pPr>
        <w:pStyle w:val="Heading2"/>
        <w:divId w:val="935526654"/>
        <w:rPr>
          <w:lang w:val="en-GB"/>
        </w:rPr>
      </w:pPr>
      <w:r>
        <w:rPr>
          <w:lang w:val="en-GB"/>
        </w:rPr>
        <w:t xml:space="preserve">Sample </w:t>
      </w:r>
      <w:proofErr w:type="gramStart"/>
      <w:r>
        <w:rPr>
          <w:lang w:val="en-GB"/>
        </w:rPr>
        <w:t>selection</w:t>
      </w:r>
      <w:proofErr w:type="gramEnd"/>
    </w:p>
    <w:p w14:paraId="1F7574AB" w14:textId="77777777" w:rsidR="00B4315F" w:rsidRPr="00B4315F" w:rsidRDefault="00B4315F" w:rsidP="00B4315F">
      <w:pPr>
        <w:divId w:val="935526654"/>
        <w:rPr>
          <w:lang w:val="en-GB"/>
        </w:rPr>
      </w:pPr>
      <w:r w:rsidRPr="00B4315F">
        <w:rPr>
          <w:lang w:val="en-GB"/>
        </w:rPr>
        <w:t>Approximately 500 residual serum samples per month from pathology testing submitted to the Victorian Infectious Diseases Reference Laboratory (VIDRL) for other diagnostic purposes were retrieved for serological analysis from 30 June to 31 October 2022. Samples were included if they were from individuals aged 18 years or older. Samples were excluded if their postcode was outside Victoria, if they were referred from sexual health clinics or for HIV or viral hepatitis testing, and if they had returned a positive result for another notifiable disease. A list of samples meeting the inclusion and exclusion criteria was reviewed each month, in date order, until approximately 500 samples with sufficient volume from the survey period were retrieved.</w:t>
      </w:r>
    </w:p>
    <w:p w14:paraId="7959B793" w14:textId="7B5FDF3F" w:rsidR="00B4315F" w:rsidRDefault="00B4315F" w:rsidP="00B4315F">
      <w:pPr>
        <w:pStyle w:val="Heading2"/>
        <w:divId w:val="935526654"/>
        <w:rPr>
          <w:lang w:val="en-GB"/>
        </w:rPr>
      </w:pPr>
      <w:r w:rsidRPr="00B4315F">
        <w:rPr>
          <w:lang w:val="en-GB"/>
        </w:rPr>
        <w:t>Serological assays</w:t>
      </w:r>
    </w:p>
    <w:p w14:paraId="5B5FB638" w14:textId="77777777" w:rsidR="00B4315F" w:rsidRPr="00B4315F" w:rsidRDefault="00B4315F" w:rsidP="00B4315F">
      <w:pPr>
        <w:divId w:val="935526654"/>
        <w:rPr>
          <w:lang w:val="en-GB"/>
        </w:rPr>
      </w:pPr>
      <w:r w:rsidRPr="00B4315F">
        <w:rPr>
          <w:lang w:val="en-GB"/>
        </w:rPr>
        <w:t xml:space="preserve">Roche </w:t>
      </w:r>
      <w:proofErr w:type="spellStart"/>
      <w:r w:rsidRPr="00B4315F">
        <w:rPr>
          <w:lang w:val="en-GB"/>
        </w:rPr>
        <w:t>Elecsys</w:t>
      </w:r>
      <w:proofErr w:type="spellEnd"/>
      <w:r w:rsidRPr="00B4315F">
        <w:rPr>
          <w:lang w:val="en-GB"/>
        </w:rPr>
        <w:t xml:space="preserve"> anti-SARS-CoV-2 nucleocapsid (N) and spike (S) assays (automated semi-quantitative electro-chemiluminescence immunoassays; Roche Diagnostics GmbH, Mannheim, Germany) were used for the detection of total antibody against SARS-CoV-2 antigens in serum. In these assays, a biotinylated recombinant SARS-CoV-2 antigen (N or S) and a ruthenium-labelled recombinant SARS-CoV-2 antigen are bound by antibodies present in the sample and captured on a streptavidin coated microparticle bead forming a sandwich complex. The microparticle bead is in turn magnetically captured onto an electrode, then washed; application of voltage to the electrode induces a chemiluminescence signal. Signal intensity is proportional to the amount of antibody bound to the SARS-CoV-2 antigen. Results are reported as positive or negative relative to a control sample. All samples were tested according to the manufacturer’s instructions for use.</w:t>
      </w:r>
    </w:p>
    <w:p w14:paraId="5ED6517E" w14:textId="31CF3061" w:rsidR="00B4315F" w:rsidRDefault="00B4315F" w:rsidP="00B4315F">
      <w:pPr>
        <w:pStyle w:val="Heading2"/>
        <w:divId w:val="935526654"/>
        <w:rPr>
          <w:lang w:val="en-GB"/>
        </w:rPr>
      </w:pPr>
      <w:r w:rsidRPr="00B4315F">
        <w:rPr>
          <w:lang w:val="en-GB"/>
        </w:rPr>
        <w:lastRenderedPageBreak/>
        <w:t>Neutralisation assays</w:t>
      </w:r>
    </w:p>
    <w:p w14:paraId="50ADDAF7" w14:textId="77777777" w:rsidR="00B4315F" w:rsidRPr="00B4315F" w:rsidRDefault="00B4315F" w:rsidP="00B4315F">
      <w:pPr>
        <w:divId w:val="935526654"/>
        <w:rPr>
          <w:lang w:val="en-GB"/>
        </w:rPr>
      </w:pPr>
      <w:r w:rsidRPr="00B4315F">
        <w:rPr>
          <w:lang w:val="en-GB"/>
        </w:rPr>
        <w:t xml:space="preserve">Neutralising activity was assessed using the </w:t>
      </w:r>
      <w:proofErr w:type="spellStart"/>
      <w:r w:rsidRPr="00B4315F">
        <w:rPr>
          <w:lang w:val="en-GB"/>
        </w:rPr>
        <w:t>GenScript</w:t>
      </w:r>
      <w:proofErr w:type="spellEnd"/>
      <w:r w:rsidRPr="00B4315F">
        <w:rPr>
          <w:lang w:val="en-GB"/>
        </w:rPr>
        <w:t xml:space="preserve"> SARS-CoV-2 Surrogate Virus Neutralization Test (</w:t>
      </w:r>
      <w:proofErr w:type="spellStart"/>
      <w:r w:rsidRPr="00B4315F">
        <w:rPr>
          <w:lang w:val="en-GB"/>
        </w:rPr>
        <w:t>sVNT</w:t>
      </w:r>
      <w:proofErr w:type="spellEnd"/>
      <w:r w:rsidRPr="00B4315F">
        <w:rPr>
          <w:lang w:val="en-GB"/>
        </w:rPr>
        <w:t xml:space="preserve">; </w:t>
      </w:r>
      <w:proofErr w:type="spellStart"/>
      <w:r w:rsidRPr="00B4315F">
        <w:rPr>
          <w:lang w:val="en-GB"/>
        </w:rPr>
        <w:t>GenScript</w:t>
      </w:r>
      <w:proofErr w:type="spellEnd"/>
      <w:r w:rsidRPr="00B4315F">
        <w:rPr>
          <w:lang w:val="en-GB"/>
        </w:rPr>
        <w:t xml:space="preserve"> USA, Inc., Piscataway, NJ, USA), a competitive blocking enzyme-linked immunosorbent assay designed to mimic the </w:t>
      </w:r>
      <w:r w:rsidRPr="00B4315F">
        <w:rPr>
          <w:i/>
          <w:iCs/>
          <w:lang w:val="en-GB"/>
        </w:rPr>
        <w:t>in vivo</w:t>
      </w:r>
      <w:r w:rsidRPr="00B4315F">
        <w:rPr>
          <w:lang w:val="en-GB"/>
        </w:rPr>
        <w:t xml:space="preserve"> virus neutralisation process.</w:t>
      </w:r>
      <w:r w:rsidRPr="00B4315F">
        <w:rPr>
          <w:vertAlign w:val="superscript"/>
          <w:lang w:val="en-GB"/>
        </w:rPr>
        <w:t>9</w:t>
      </w:r>
      <w:r w:rsidRPr="00B4315F">
        <w:rPr>
          <w:lang w:val="en-GB"/>
        </w:rPr>
        <w:t xml:space="preserve"> The assay detects levels of neutralising antibodies against SARS-CoV-2 that inhibit the interaction between the viral spike receptor binding domain (S-RBD) and the human angiotensin converting enzyme 2 (hACE2) cell surface receptor. Firstly, serum samples are incubated with a recombinant SARS-CoV-2 S-RBD reporter fragment (for this study, </w:t>
      </w:r>
      <w:proofErr w:type="gramStart"/>
      <w:r w:rsidRPr="00B4315F">
        <w:rPr>
          <w:lang w:val="en-GB"/>
        </w:rPr>
        <w:t>wildtype</w:t>
      </w:r>
      <w:proofErr w:type="gramEnd"/>
      <w:r w:rsidRPr="00B4315F">
        <w:rPr>
          <w:lang w:val="en-GB"/>
        </w:rPr>
        <w:t xml:space="preserve"> and Omicron BA.4/BA.5 conjugates were used) and any neutralising antibody present in the sample will bind, forming an antibody-RBD complex. Following incubation in a microtiter plate coated with hACE2, the incubated samples are washed to remove non-specific interactions. Lastly, a colorimetric substrate is </w:t>
      </w:r>
      <w:proofErr w:type="gramStart"/>
      <w:r w:rsidRPr="00B4315F">
        <w:rPr>
          <w:lang w:val="en-GB"/>
        </w:rPr>
        <w:t>added</w:t>
      </w:r>
      <w:proofErr w:type="gramEnd"/>
      <w:r w:rsidRPr="00B4315F">
        <w:rPr>
          <w:lang w:val="en-GB"/>
        </w:rPr>
        <w:t xml:space="preserve"> and the results are read spectrophotometrically. Colour intensity is inversely proportional to the neutralizing antibody titre and results are presented as percentage inhibition as per the manufacturer’s instructions for use (with &lt; 20% inhibition defined as seronegative and ≥ 20% inhibition defined as seropositive).</w:t>
      </w:r>
    </w:p>
    <w:p w14:paraId="5005A4EF" w14:textId="55D5392B" w:rsidR="00B4315F" w:rsidRDefault="00B4315F" w:rsidP="00B4315F">
      <w:pPr>
        <w:pStyle w:val="Heading2"/>
        <w:divId w:val="935526654"/>
        <w:rPr>
          <w:lang w:val="en-GB"/>
        </w:rPr>
      </w:pPr>
      <w:r w:rsidRPr="00B4315F">
        <w:rPr>
          <w:lang w:val="en-GB"/>
        </w:rPr>
        <w:t>Anti-spike and anti-nucleocapsid antibody seroprevalence</w:t>
      </w:r>
    </w:p>
    <w:p w14:paraId="7B331594" w14:textId="77777777" w:rsidR="00B4315F" w:rsidRPr="00B4315F" w:rsidRDefault="00B4315F" w:rsidP="00B4315F">
      <w:pPr>
        <w:divId w:val="935526654"/>
        <w:rPr>
          <w:lang w:val="en-GB"/>
        </w:rPr>
      </w:pPr>
      <w:r w:rsidRPr="00B4315F">
        <w:rPr>
          <w:lang w:val="en-GB"/>
        </w:rPr>
        <w:t>Logistic regression models were constructed with antibody seropositivity as the dependent variable and age, sex, region of residence and sample collection time point as independent variables, using weights calculated on 2021 census data for the Victorian population aged 18 years and over obtained from the Australian Bureau of Statistics (ABS).</w:t>
      </w:r>
      <w:r w:rsidRPr="00B4315F">
        <w:rPr>
          <w:vertAlign w:val="superscript"/>
          <w:lang w:val="en-GB"/>
        </w:rPr>
        <w:t>10</w:t>
      </w:r>
      <w:r w:rsidRPr="00B4315F">
        <w:rPr>
          <w:lang w:val="en-GB"/>
        </w:rPr>
        <w:t xml:space="preserve"> An interaction term between sample collection time point and age, sex or region of residence was added to each model depending on the demographic variable of interest to allow for the generation of sample collection time-point-specific estimates of anti-N and anti-S seropositivity with 95% confidence intervals within each demographic group. Estimates were not adjusted for assay sensitivity or specificity.</w:t>
      </w:r>
    </w:p>
    <w:p w14:paraId="49509126" w14:textId="2FCB209D" w:rsidR="00B4315F" w:rsidRDefault="00B4315F" w:rsidP="00B4315F">
      <w:pPr>
        <w:pStyle w:val="Heading2"/>
        <w:divId w:val="935526654"/>
        <w:rPr>
          <w:lang w:val="en-GB"/>
        </w:rPr>
      </w:pPr>
      <w:r w:rsidRPr="00B4315F">
        <w:rPr>
          <w:lang w:val="en-GB"/>
        </w:rPr>
        <w:t>Data linkage and linked data analysis</w:t>
      </w:r>
    </w:p>
    <w:p w14:paraId="18E419B2" w14:textId="77777777" w:rsidR="00B4315F" w:rsidRPr="00B4315F" w:rsidRDefault="00B4315F" w:rsidP="00B4315F">
      <w:pPr>
        <w:divId w:val="935526654"/>
        <w:rPr>
          <w:lang w:val="en-GB"/>
        </w:rPr>
      </w:pPr>
      <w:r w:rsidRPr="00B4315F">
        <w:rPr>
          <w:lang w:val="en-GB"/>
        </w:rPr>
        <w:t>COVID-19 case notification and vaccination data were linked to serological results via the Victorian Department of Health’s Transmission and Response Epidemiology Victoria (</w:t>
      </w:r>
      <w:proofErr w:type="spellStart"/>
      <w:r w:rsidRPr="00B4315F">
        <w:rPr>
          <w:lang w:val="en-GB"/>
        </w:rPr>
        <w:t>TREVi</w:t>
      </w:r>
      <w:proofErr w:type="spellEnd"/>
      <w:r w:rsidRPr="00B4315F">
        <w:rPr>
          <w:lang w:val="en-GB"/>
        </w:rPr>
        <w:t>) database and the Australian Immunisation Register (AIR) respectively. Reporting of COVID-19 vaccinations to the AIR was mandated from 20 February 2021 onwards.</w:t>
      </w:r>
    </w:p>
    <w:p w14:paraId="01BA7E36" w14:textId="4C5B79B1" w:rsidR="00B4315F" w:rsidRPr="00B4315F" w:rsidRDefault="00B4315F" w:rsidP="00B4315F">
      <w:pPr>
        <w:divId w:val="935526654"/>
        <w:rPr>
          <w:lang w:val="en-GB"/>
        </w:rPr>
      </w:pPr>
      <w:r w:rsidRPr="00B4315F">
        <w:rPr>
          <w:lang w:val="en-GB"/>
        </w:rPr>
        <w:t>Linkage was performed using a multi-stage deterministic linkage approach based on permutations of participants’ dates of birth, first names, and surnames. Data were de-identified prior to analysis. Standard definitions used by the Victorian Department of Health were applied to ensure that two notifications received within a short interval were not classified as two infection events. Estimates, in age and vaccination strata, of the proportions of individuals with a case notification by anti-N serostatus and of seropositive individuals with a case notification, were adjusted for age, sex and region of residence using logistic regression models weighted based on ABS data for the Victorian population aged ≥ 18 years.</w:t>
      </w:r>
      <w:r w:rsidRPr="00B4315F">
        <w:rPr>
          <w:vertAlign w:val="superscript"/>
          <w:lang w:val="en-GB"/>
        </w:rPr>
        <w:t>10</w:t>
      </w:r>
    </w:p>
    <w:p w14:paraId="594200D1" w14:textId="7ED63CEB" w:rsidR="00B4315F" w:rsidRDefault="00B4315F" w:rsidP="00B4315F">
      <w:pPr>
        <w:pStyle w:val="Heading2"/>
        <w:divId w:val="935526654"/>
        <w:rPr>
          <w:lang w:val="en-GB"/>
        </w:rPr>
      </w:pPr>
      <w:r w:rsidRPr="00B4315F">
        <w:rPr>
          <w:lang w:val="en-GB"/>
        </w:rPr>
        <w:lastRenderedPageBreak/>
        <w:t>Neutralising antibody responses</w:t>
      </w:r>
    </w:p>
    <w:p w14:paraId="16E913AC" w14:textId="77777777" w:rsidR="00B4315F" w:rsidRPr="00B4315F" w:rsidRDefault="00B4315F" w:rsidP="00B4315F">
      <w:pPr>
        <w:divId w:val="935526654"/>
        <w:rPr>
          <w:lang w:val="en-GB"/>
        </w:rPr>
      </w:pPr>
      <w:r w:rsidRPr="00B4315F">
        <w:rPr>
          <w:lang w:val="en-GB"/>
        </w:rPr>
        <w:t>For each survey, 100 samples were randomly selected (equally across age quartiles) for surrogate virus neutralisation testing as described above. Adjusted estimates of percentage inhibition by anti-N seropositivity and vaccination status were generated via beta regression models, controlling for age, sex, and area of residence, and using weights calculated from ABS data on the Victorian population aged ≥ 18 years.</w:t>
      </w:r>
      <w:r w:rsidRPr="00B4315F">
        <w:rPr>
          <w:vertAlign w:val="superscript"/>
          <w:lang w:val="en-GB"/>
        </w:rPr>
        <w:t>10</w:t>
      </w:r>
    </w:p>
    <w:p w14:paraId="26CDE189" w14:textId="7973AD47" w:rsidR="00B4315F" w:rsidRDefault="00B4315F" w:rsidP="00B4315F">
      <w:pPr>
        <w:pStyle w:val="Heading2"/>
        <w:divId w:val="935526654"/>
        <w:rPr>
          <w:lang w:val="en-GB"/>
        </w:rPr>
      </w:pPr>
      <w:r w:rsidRPr="00B4315F">
        <w:rPr>
          <w:lang w:val="en-GB"/>
        </w:rPr>
        <w:t>Sensitivity analyses</w:t>
      </w:r>
    </w:p>
    <w:p w14:paraId="268A5F43" w14:textId="77777777" w:rsidR="006B480D" w:rsidRPr="006B480D" w:rsidRDefault="006B480D" w:rsidP="006B480D">
      <w:pPr>
        <w:divId w:val="935526654"/>
        <w:rPr>
          <w:lang w:val="en-GB"/>
        </w:rPr>
      </w:pPr>
      <w:r w:rsidRPr="006B480D">
        <w:rPr>
          <w:lang w:val="en-GB"/>
        </w:rPr>
        <w:t xml:space="preserve">For samples unable to be linked to a COVID-19 vaccination record, it was not possible to determine whether they were truly unvaccinated or whether linkage for these individuals failed. Accordingly, a sensitivity analysis was performed in which unlinked individuals were randomly assigned </w:t>
      </w:r>
      <w:proofErr w:type="gramStart"/>
      <w:r w:rsidRPr="006B480D">
        <w:rPr>
          <w:lang w:val="en-GB"/>
        </w:rPr>
        <w:t>a number of</w:t>
      </w:r>
      <w:proofErr w:type="gramEnd"/>
      <w:r w:rsidRPr="006B480D">
        <w:rPr>
          <w:lang w:val="en-GB"/>
        </w:rPr>
        <w:t xml:space="preserve"> vaccination doses based on their age and the overall distribution of vaccination dose uptake by age in the Victorian population as of 1 September 2022 (Appendix A, Table A.1).</w:t>
      </w:r>
      <w:r w:rsidRPr="006B480D">
        <w:rPr>
          <w:vertAlign w:val="superscript"/>
          <w:lang w:val="en-GB"/>
        </w:rPr>
        <w:t>11</w:t>
      </w:r>
      <w:r w:rsidRPr="006B480D">
        <w:rPr>
          <w:lang w:val="en-GB"/>
        </w:rPr>
        <w:t xml:space="preserve"> Individuals who had been successfully linked to vaccination data retained their original number of vaccine doses. Ten iterations of vaccine dose allocations were performed, with the primary regression analyses repeated on the data set at each iteration. The ten sets of regression outputs were then pooled using Rubin’s rules to obtain the results.</w:t>
      </w:r>
    </w:p>
    <w:p w14:paraId="7FC43FED" w14:textId="3B77DE41" w:rsidR="00B4315F" w:rsidRDefault="00B4315F" w:rsidP="00B4315F">
      <w:pPr>
        <w:pStyle w:val="Heading2"/>
        <w:divId w:val="935526654"/>
        <w:rPr>
          <w:lang w:val="en-GB"/>
        </w:rPr>
      </w:pPr>
      <w:r w:rsidRPr="00B4315F">
        <w:rPr>
          <w:lang w:val="en-GB"/>
        </w:rPr>
        <w:t>Ethical considerations</w:t>
      </w:r>
    </w:p>
    <w:p w14:paraId="0509007E" w14:textId="09B07306" w:rsidR="006B480D" w:rsidRPr="006B480D" w:rsidRDefault="006B480D" w:rsidP="006B480D">
      <w:pPr>
        <w:divId w:val="935526654"/>
        <w:rPr>
          <w:lang w:val="en-GB"/>
        </w:rPr>
      </w:pPr>
      <w:r w:rsidRPr="006B480D">
        <w:rPr>
          <w:lang w:val="en-GB"/>
        </w:rPr>
        <w:t xml:space="preserve">Serological testing was completed under a legal direction by the Victorian Chief Health Officer under the </w:t>
      </w:r>
      <w:r w:rsidRPr="006B480D">
        <w:rPr>
          <w:i/>
          <w:iCs/>
          <w:lang w:val="en-GB"/>
        </w:rPr>
        <w:t>Public Health and Wellbeing Act (2008)</w:t>
      </w:r>
      <w:r w:rsidRPr="006B480D">
        <w:rPr>
          <w:lang w:val="en-GB"/>
        </w:rPr>
        <w:t>.</w:t>
      </w:r>
      <w:r w:rsidRPr="006B480D">
        <w:rPr>
          <w:vertAlign w:val="superscript"/>
          <w:lang w:val="en-GB"/>
        </w:rPr>
        <w:footnoteReference w:id="2"/>
      </w:r>
      <w:r w:rsidRPr="006B480D">
        <w:rPr>
          <w:lang w:val="en-GB"/>
        </w:rPr>
        <w:t xml:space="preserve"> Data linkage was completed by the Victorian Department of Health under the </w:t>
      </w:r>
      <w:r w:rsidRPr="006B480D">
        <w:rPr>
          <w:i/>
          <w:iCs/>
          <w:lang w:val="en-GB"/>
        </w:rPr>
        <w:t>Public Health and Wellbeing Act (2008)</w:t>
      </w:r>
      <w:r w:rsidRPr="006B480D">
        <w:rPr>
          <w:lang w:val="en-GB"/>
        </w:rPr>
        <w:t xml:space="preserve"> and the </w:t>
      </w:r>
      <w:r w:rsidRPr="006B480D">
        <w:rPr>
          <w:i/>
          <w:iCs/>
          <w:lang w:val="en-GB"/>
        </w:rPr>
        <w:t>Health Records Act (2001)</w:t>
      </w:r>
      <w:r w:rsidRPr="006B480D">
        <w:rPr>
          <w:lang w:val="en-GB"/>
        </w:rPr>
        <w:t>.</w:t>
      </w:r>
      <w:r w:rsidRPr="006B480D">
        <w:rPr>
          <w:vertAlign w:val="superscript"/>
          <w:lang w:val="en-GB"/>
        </w:rPr>
        <w:footnoteReference w:id="3"/>
      </w:r>
      <w:r w:rsidRPr="006B480D">
        <w:rPr>
          <w:lang w:val="en-GB"/>
        </w:rPr>
        <w:t xml:space="preserve"> Ethical approval was obtained from the Royal Melbourne Hospital Human Research Ethics Committee (reference number: HREC/88386/MH-2022).</w:t>
      </w:r>
    </w:p>
    <w:p w14:paraId="6DDCBD82" w14:textId="77777777" w:rsidR="00470C19" w:rsidRDefault="00470C19" w:rsidP="00470C19">
      <w:pPr>
        <w:pStyle w:val="Heading1"/>
        <w:divId w:val="935526654"/>
        <w:rPr>
          <w:lang w:val="en-GB"/>
        </w:rPr>
      </w:pPr>
      <w:r>
        <w:rPr>
          <w:lang w:val="en-GB"/>
        </w:rPr>
        <w:t>Results</w:t>
      </w:r>
    </w:p>
    <w:p w14:paraId="431D76D7" w14:textId="77777777" w:rsidR="006B480D" w:rsidRDefault="006B480D" w:rsidP="006B480D">
      <w:pPr>
        <w:divId w:val="935526654"/>
        <w:rPr>
          <w:lang w:val="en-GB"/>
        </w:rPr>
        <w:sectPr w:rsidR="006B480D" w:rsidSect="006B480D">
          <w:headerReference w:type="even" r:id="rId9"/>
          <w:headerReference w:type="default" r:id="rId10"/>
          <w:footerReference w:type="even" r:id="rId11"/>
          <w:footerReference w:type="default" r:id="rId12"/>
          <w:headerReference w:type="first" r:id="rId13"/>
          <w:footerReference w:type="first" r:id="rId14"/>
          <w:footnotePr>
            <w:numFmt w:val="lowerRoman"/>
          </w:footnotePr>
          <w:type w:val="continuous"/>
          <w:pgSz w:w="11907" w:h="16840" w:code="9"/>
          <w:pgMar w:top="1304" w:right="1134" w:bottom="1304" w:left="1134" w:header="709" w:footer="527" w:gutter="0"/>
          <w:cols w:space="708"/>
          <w:titlePg/>
          <w:docGrid w:linePitch="360"/>
        </w:sectPr>
      </w:pPr>
      <w:r w:rsidRPr="006B480D">
        <w:rPr>
          <w:lang w:val="en-GB"/>
        </w:rPr>
        <w:t>Following the removal of samples from the same individual collected at multiple time points (n = 20; only latest sample retained), 1,974 samples were included in the analysis. Demographic characteristics, serostatus, vaccination status, and COVID-19 case notifications for individuals included in the cohort at each monthly collection point are summarised in Table 1 (see also Appendix A, Figure A.1). Of those individuals included in the cohort, 15.5% (n = 305) were not linked to a record in the vaccination database and 70.1% (n = 1,384) were not linked to the notification database. Overall, 98% (n = 1,935) and 60.3% (1,191) of tested samples returned a positive result for anti-S and anti-N antibodies respectively.</w:t>
      </w:r>
    </w:p>
    <w:p w14:paraId="485F069B" w14:textId="7AC87BF9" w:rsidR="00470C19" w:rsidRDefault="006B480D" w:rsidP="006B480D">
      <w:pPr>
        <w:pStyle w:val="CDIFigure-Table-Title"/>
        <w:divId w:val="935526654"/>
      </w:pPr>
      <w:r w:rsidRPr="006B480D">
        <w:lastRenderedPageBreak/>
        <w:t>Table 1: Characteristics of individuals included in the cohort (total, and by blood sample collection month)</w:t>
      </w:r>
    </w:p>
    <w:tbl>
      <w:tblPr>
        <w:tblW w:w="0" w:type="auto"/>
        <w:tblInd w:w="-8" w:type="dxa"/>
        <w:tblLayout w:type="fixed"/>
        <w:tblCellMar>
          <w:left w:w="0" w:type="dxa"/>
          <w:right w:w="0" w:type="dxa"/>
        </w:tblCellMar>
        <w:tblLook w:val="0000" w:firstRow="0" w:lastRow="0" w:firstColumn="0" w:lastColumn="0" w:noHBand="0" w:noVBand="0"/>
        <w:tblCaption w:val="Table 1: Characteristics of individuals included in the cohort (total, and by blood sample collection month)"/>
        <w:tblDescription w:val="Characteristics of individuals included in the cohort (total, and by blood sample collection month). In the total sample (n = 1,974) specimens were collected between 30 June and 31 October 2022 and comprised 47.5% females, 81.2% people living in metropolitan Melbourne, and a median age of 50 years. In this sample, 15.5% of people were either not vaccinated for COVID-19 or had missing vaccination information, 70.1% did not have a record of a reported positive SARS-CoV-2 test, and 60.3% were anti-nucleocapsid antibody positive."/>
      </w:tblPr>
      <w:tblGrid>
        <w:gridCol w:w="2551"/>
        <w:gridCol w:w="2155"/>
        <w:gridCol w:w="963"/>
        <w:gridCol w:w="964"/>
        <w:gridCol w:w="964"/>
        <w:gridCol w:w="964"/>
        <w:gridCol w:w="963"/>
        <w:gridCol w:w="964"/>
        <w:gridCol w:w="964"/>
        <w:gridCol w:w="964"/>
        <w:gridCol w:w="964"/>
        <w:gridCol w:w="963"/>
      </w:tblGrid>
      <w:tr w:rsidR="00AE03D8" w:rsidRPr="00AE03D8" w14:paraId="5A91339A" w14:textId="77777777" w:rsidTr="0043652D">
        <w:trPr>
          <w:divId w:val="935526654"/>
          <w:trHeight w:val="20"/>
          <w:tblHeader/>
        </w:trPr>
        <w:tc>
          <w:tcPr>
            <w:tcW w:w="2551" w:type="dxa"/>
            <w:vMerge w:val="restart"/>
            <w:shd w:val="clear" w:color="auto" w:fill="033636" w:themeFill="text2"/>
            <w:tcMar>
              <w:top w:w="96" w:type="dxa"/>
              <w:left w:w="113" w:type="dxa"/>
              <w:bottom w:w="96" w:type="dxa"/>
              <w:right w:w="113" w:type="dxa"/>
            </w:tcMar>
            <w:vAlign w:val="bottom"/>
          </w:tcPr>
          <w:p w14:paraId="17036F6A" w14:textId="77777777" w:rsidR="00AE03D8" w:rsidRPr="00AE03D8" w:rsidRDefault="00AE03D8" w:rsidP="0043652D">
            <w:pPr>
              <w:pStyle w:val="CDIFigure-Table-H1Left"/>
            </w:pPr>
            <w:r w:rsidRPr="0043652D">
              <w:t>Category</w:t>
            </w:r>
          </w:p>
        </w:tc>
        <w:tc>
          <w:tcPr>
            <w:tcW w:w="2155" w:type="dxa"/>
            <w:vMerge w:val="restart"/>
            <w:shd w:val="clear" w:color="auto" w:fill="033636" w:themeFill="text2"/>
            <w:tcMar>
              <w:top w:w="96" w:type="dxa"/>
              <w:left w:w="113" w:type="dxa"/>
              <w:bottom w:w="96" w:type="dxa"/>
              <w:right w:w="113" w:type="dxa"/>
            </w:tcMar>
            <w:vAlign w:val="bottom"/>
          </w:tcPr>
          <w:p w14:paraId="79D601EE" w14:textId="77777777" w:rsidR="00AE03D8" w:rsidRPr="00AE03D8" w:rsidRDefault="00AE03D8" w:rsidP="0043652D">
            <w:pPr>
              <w:pStyle w:val="CDIFigure-Table-H1Left"/>
            </w:pPr>
            <w:r w:rsidRPr="0043652D">
              <w:t>Characteristic</w:t>
            </w:r>
          </w:p>
        </w:tc>
        <w:tc>
          <w:tcPr>
            <w:tcW w:w="1927"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22151228" w14:textId="77777777" w:rsidR="00AE03D8" w:rsidRPr="0043652D" w:rsidRDefault="00AE03D8" w:rsidP="0043652D">
            <w:pPr>
              <w:pStyle w:val="CDIFigure-Table-H1"/>
            </w:pPr>
            <w:proofErr w:type="spellStart"/>
            <w:r w:rsidRPr="0043652D">
              <w:t>Total</w:t>
            </w:r>
            <w:r w:rsidRPr="0043652D">
              <w:rPr>
                <w:vertAlign w:val="superscript"/>
              </w:rPr>
              <w:t>a</w:t>
            </w:r>
            <w:proofErr w:type="spellEnd"/>
            <w:r w:rsidRPr="0043652D">
              <w:br/>
              <w:t>N = 1,974</w:t>
            </w:r>
            <w:r w:rsidRPr="0043652D">
              <w:br/>
              <w:t>30/06/22 – 31/10/22</w:t>
            </w:r>
          </w:p>
        </w:tc>
        <w:tc>
          <w:tcPr>
            <w:tcW w:w="1928"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1D664467" w14:textId="77777777" w:rsidR="00AE03D8" w:rsidRPr="0043652D" w:rsidRDefault="00AE03D8" w:rsidP="0043652D">
            <w:pPr>
              <w:pStyle w:val="CDIFigure-Table-H1"/>
            </w:pPr>
            <w:r w:rsidRPr="0043652D">
              <w:t>June/July</w:t>
            </w:r>
            <w:r w:rsidRPr="0043652D">
              <w:br/>
              <w:t>n= 529</w:t>
            </w:r>
            <w:r w:rsidRPr="0043652D">
              <w:br/>
              <w:t>30/06/22 – 31/07/22</w:t>
            </w:r>
          </w:p>
        </w:tc>
        <w:tc>
          <w:tcPr>
            <w:tcW w:w="1927"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775ADBE9" w14:textId="77777777" w:rsidR="00AE03D8" w:rsidRPr="0043652D" w:rsidRDefault="00AE03D8" w:rsidP="0043652D">
            <w:pPr>
              <w:pStyle w:val="CDIFigure-Table-H1"/>
            </w:pPr>
            <w:r w:rsidRPr="0043652D">
              <w:t>August</w:t>
            </w:r>
            <w:r w:rsidRPr="0043652D">
              <w:br/>
              <w:t>n = 470</w:t>
            </w:r>
            <w:r w:rsidRPr="0043652D">
              <w:br/>
              <w:t>01/08/22 – 31/08/22</w:t>
            </w:r>
          </w:p>
        </w:tc>
        <w:tc>
          <w:tcPr>
            <w:tcW w:w="1928"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73B37832" w14:textId="77777777" w:rsidR="00AE03D8" w:rsidRPr="0043652D" w:rsidRDefault="00AE03D8" w:rsidP="0043652D">
            <w:pPr>
              <w:pStyle w:val="CDIFigure-Table-H1"/>
            </w:pPr>
            <w:r w:rsidRPr="0043652D">
              <w:t>September</w:t>
            </w:r>
            <w:r w:rsidRPr="0043652D">
              <w:br/>
              <w:t>n = 469</w:t>
            </w:r>
            <w:r w:rsidRPr="0043652D">
              <w:br/>
              <w:t>01/09/22 – 30/09/22</w:t>
            </w:r>
          </w:p>
        </w:tc>
        <w:tc>
          <w:tcPr>
            <w:tcW w:w="1927"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47170E6D" w14:textId="77777777" w:rsidR="00AE03D8" w:rsidRPr="0043652D" w:rsidRDefault="00AE03D8" w:rsidP="0043652D">
            <w:pPr>
              <w:pStyle w:val="CDIFigure-Table-H1"/>
            </w:pPr>
            <w:r w:rsidRPr="0043652D">
              <w:t>October</w:t>
            </w:r>
            <w:r w:rsidRPr="0043652D">
              <w:br/>
              <w:t>n = 500</w:t>
            </w:r>
            <w:r w:rsidRPr="0043652D">
              <w:br/>
              <w:t>01/10/22 – 31/10/22</w:t>
            </w:r>
          </w:p>
        </w:tc>
      </w:tr>
      <w:tr w:rsidR="0043652D" w:rsidRPr="00AE03D8" w14:paraId="6B8E8728" w14:textId="77777777" w:rsidTr="0043652D">
        <w:trPr>
          <w:divId w:val="935526654"/>
          <w:trHeight w:val="20"/>
          <w:tblHeader/>
        </w:trPr>
        <w:tc>
          <w:tcPr>
            <w:tcW w:w="2551" w:type="dxa"/>
            <w:vMerge/>
            <w:shd w:val="clear" w:color="auto" w:fill="033636" w:themeFill="text2"/>
          </w:tcPr>
          <w:p w14:paraId="0F758A24" w14:textId="77777777" w:rsidR="00AE03D8" w:rsidRPr="00AE03D8" w:rsidRDefault="00AE03D8" w:rsidP="00AE03D8"/>
        </w:tc>
        <w:tc>
          <w:tcPr>
            <w:tcW w:w="2155" w:type="dxa"/>
            <w:vMerge/>
            <w:shd w:val="clear" w:color="auto" w:fill="033636" w:themeFill="text2"/>
          </w:tcPr>
          <w:p w14:paraId="2B414FD6" w14:textId="77777777" w:rsidR="00AE03D8" w:rsidRPr="00AE03D8" w:rsidRDefault="00AE03D8" w:rsidP="00AE03D8"/>
        </w:tc>
        <w:tc>
          <w:tcPr>
            <w:tcW w:w="963" w:type="dxa"/>
            <w:tcBorders>
              <w:top w:val="single" w:sz="4" w:space="0" w:color="FFFFFF" w:themeColor="background1"/>
            </w:tcBorders>
            <w:shd w:val="clear" w:color="auto" w:fill="033636" w:themeFill="text2"/>
            <w:tcMar>
              <w:top w:w="96" w:type="dxa"/>
              <w:left w:w="113" w:type="dxa"/>
              <w:bottom w:w="96" w:type="dxa"/>
              <w:right w:w="113" w:type="dxa"/>
            </w:tcMar>
            <w:vAlign w:val="bottom"/>
          </w:tcPr>
          <w:p w14:paraId="03A08689" w14:textId="77777777" w:rsidR="00AE03D8" w:rsidRPr="0043652D" w:rsidRDefault="00AE03D8" w:rsidP="0043652D">
            <w:pPr>
              <w:pStyle w:val="CDIFigure-Table-H1"/>
            </w:pPr>
            <w:r w:rsidRPr="0043652D">
              <w:t>n</w:t>
            </w:r>
          </w:p>
        </w:tc>
        <w:tc>
          <w:tcPr>
            <w:tcW w:w="964" w:type="dxa"/>
            <w:tcBorders>
              <w:top w:val="single" w:sz="4" w:space="0" w:color="FFFFFF" w:themeColor="background1"/>
              <w:right w:val="single" w:sz="4" w:space="0" w:color="FFFFFF" w:themeColor="background1"/>
            </w:tcBorders>
            <w:shd w:val="clear" w:color="auto" w:fill="033636" w:themeFill="text2"/>
            <w:tcMar>
              <w:top w:w="96" w:type="dxa"/>
              <w:left w:w="113" w:type="dxa"/>
              <w:bottom w:w="96" w:type="dxa"/>
              <w:right w:w="113" w:type="dxa"/>
            </w:tcMar>
            <w:vAlign w:val="bottom"/>
          </w:tcPr>
          <w:p w14:paraId="4055D551" w14:textId="77777777" w:rsidR="00AE03D8" w:rsidRPr="0043652D" w:rsidRDefault="00AE03D8" w:rsidP="0043652D">
            <w:pPr>
              <w:pStyle w:val="CDIFigure-Table-H1"/>
            </w:pPr>
            <w:r w:rsidRPr="0043652D">
              <w:t>%</w:t>
            </w:r>
          </w:p>
        </w:tc>
        <w:tc>
          <w:tcPr>
            <w:tcW w:w="964" w:type="dxa"/>
            <w:tcBorders>
              <w:top w:val="single" w:sz="4" w:space="0" w:color="FFFFFF" w:themeColor="background1"/>
              <w:left w:val="single" w:sz="4" w:space="0" w:color="FFFFFF" w:themeColor="background1"/>
            </w:tcBorders>
            <w:shd w:val="clear" w:color="auto" w:fill="033636" w:themeFill="text2"/>
            <w:tcMar>
              <w:top w:w="96" w:type="dxa"/>
              <w:left w:w="113" w:type="dxa"/>
              <w:bottom w:w="96" w:type="dxa"/>
              <w:right w:w="113" w:type="dxa"/>
            </w:tcMar>
            <w:vAlign w:val="bottom"/>
          </w:tcPr>
          <w:p w14:paraId="37E549F6" w14:textId="77777777" w:rsidR="00AE03D8" w:rsidRPr="0043652D" w:rsidRDefault="00AE03D8" w:rsidP="0043652D">
            <w:pPr>
              <w:pStyle w:val="CDIFigure-Table-H1"/>
            </w:pPr>
            <w:r w:rsidRPr="0043652D">
              <w:t>n</w:t>
            </w:r>
          </w:p>
        </w:tc>
        <w:tc>
          <w:tcPr>
            <w:tcW w:w="964" w:type="dxa"/>
            <w:tcBorders>
              <w:top w:val="single" w:sz="4" w:space="0" w:color="FFFFFF" w:themeColor="background1"/>
              <w:right w:val="single" w:sz="4" w:space="0" w:color="FFFFFF" w:themeColor="background1"/>
            </w:tcBorders>
            <w:shd w:val="clear" w:color="auto" w:fill="033636" w:themeFill="text2"/>
            <w:tcMar>
              <w:top w:w="96" w:type="dxa"/>
              <w:left w:w="113" w:type="dxa"/>
              <w:bottom w:w="96" w:type="dxa"/>
              <w:right w:w="113" w:type="dxa"/>
            </w:tcMar>
            <w:vAlign w:val="bottom"/>
          </w:tcPr>
          <w:p w14:paraId="72532B6B" w14:textId="77777777" w:rsidR="00AE03D8" w:rsidRPr="0043652D" w:rsidRDefault="00AE03D8" w:rsidP="0043652D">
            <w:pPr>
              <w:pStyle w:val="CDIFigure-Table-H1"/>
            </w:pPr>
            <w:r w:rsidRPr="0043652D">
              <w:t>%</w:t>
            </w:r>
          </w:p>
        </w:tc>
        <w:tc>
          <w:tcPr>
            <w:tcW w:w="963" w:type="dxa"/>
            <w:tcBorders>
              <w:top w:val="single" w:sz="4" w:space="0" w:color="FFFFFF" w:themeColor="background1"/>
              <w:left w:val="single" w:sz="4" w:space="0" w:color="FFFFFF" w:themeColor="background1"/>
            </w:tcBorders>
            <w:shd w:val="clear" w:color="auto" w:fill="033636" w:themeFill="text2"/>
            <w:tcMar>
              <w:top w:w="96" w:type="dxa"/>
              <w:left w:w="113" w:type="dxa"/>
              <w:bottom w:w="96" w:type="dxa"/>
              <w:right w:w="113" w:type="dxa"/>
            </w:tcMar>
            <w:vAlign w:val="bottom"/>
          </w:tcPr>
          <w:p w14:paraId="7BB5ABE4" w14:textId="77777777" w:rsidR="00AE03D8" w:rsidRPr="0043652D" w:rsidRDefault="00AE03D8" w:rsidP="0043652D">
            <w:pPr>
              <w:pStyle w:val="CDIFigure-Table-H1"/>
            </w:pPr>
            <w:r w:rsidRPr="0043652D">
              <w:t>n</w:t>
            </w:r>
          </w:p>
        </w:tc>
        <w:tc>
          <w:tcPr>
            <w:tcW w:w="964" w:type="dxa"/>
            <w:tcBorders>
              <w:top w:val="single" w:sz="4" w:space="0" w:color="FFFFFF" w:themeColor="background1"/>
              <w:right w:val="single" w:sz="4" w:space="0" w:color="FFFFFF" w:themeColor="background1"/>
            </w:tcBorders>
            <w:shd w:val="clear" w:color="auto" w:fill="033636" w:themeFill="text2"/>
            <w:tcMar>
              <w:top w:w="96" w:type="dxa"/>
              <w:left w:w="113" w:type="dxa"/>
              <w:bottom w:w="96" w:type="dxa"/>
              <w:right w:w="113" w:type="dxa"/>
            </w:tcMar>
            <w:vAlign w:val="bottom"/>
          </w:tcPr>
          <w:p w14:paraId="03904C22" w14:textId="77777777" w:rsidR="00AE03D8" w:rsidRPr="0043652D" w:rsidRDefault="00AE03D8" w:rsidP="0043652D">
            <w:pPr>
              <w:pStyle w:val="CDIFigure-Table-H1"/>
            </w:pPr>
            <w:r w:rsidRPr="0043652D">
              <w:t>%</w:t>
            </w:r>
          </w:p>
        </w:tc>
        <w:tc>
          <w:tcPr>
            <w:tcW w:w="964" w:type="dxa"/>
            <w:tcBorders>
              <w:top w:val="single" w:sz="4" w:space="0" w:color="FFFFFF" w:themeColor="background1"/>
              <w:left w:val="single" w:sz="4" w:space="0" w:color="FFFFFF" w:themeColor="background1"/>
            </w:tcBorders>
            <w:shd w:val="clear" w:color="auto" w:fill="033636" w:themeFill="text2"/>
            <w:tcMar>
              <w:top w:w="96" w:type="dxa"/>
              <w:left w:w="113" w:type="dxa"/>
              <w:bottom w:w="96" w:type="dxa"/>
              <w:right w:w="113" w:type="dxa"/>
            </w:tcMar>
            <w:vAlign w:val="bottom"/>
          </w:tcPr>
          <w:p w14:paraId="51C56308" w14:textId="77777777" w:rsidR="00AE03D8" w:rsidRPr="0043652D" w:rsidRDefault="00AE03D8" w:rsidP="0043652D">
            <w:pPr>
              <w:pStyle w:val="CDIFigure-Table-H1"/>
            </w:pPr>
            <w:r w:rsidRPr="0043652D">
              <w:t>n</w:t>
            </w:r>
          </w:p>
        </w:tc>
        <w:tc>
          <w:tcPr>
            <w:tcW w:w="964" w:type="dxa"/>
            <w:tcBorders>
              <w:top w:val="single" w:sz="4" w:space="0" w:color="FFFFFF" w:themeColor="background1"/>
              <w:right w:val="single" w:sz="4" w:space="0" w:color="FFFFFF" w:themeColor="background1"/>
            </w:tcBorders>
            <w:shd w:val="clear" w:color="auto" w:fill="033636" w:themeFill="text2"/>
            <w:tcMar>
              <w:top w:w="96" w:type="dxa"/>
              <w:left w:w="113" w:type="dxa"/>
              <w:bottom w:w="96" w:type="dxa"/>
              <w:right w:w="113" w:type="dxa"/>
            </w:tcMar>
            <w:vAlign w:val="bottom"/>
          </w:tcPr>
          <w:p w14:paraId="1C7509F8" w14:textId="77777777" w:rsidR="00AE03D8" w:rsidRPr="0043652D" w:rsidRDefault="00AE03D8" w:rsidP="0043652D">
            <w:pPr>
              <w:pStyle w:val="CDIFigure-Table-H1"/>
            </w:pPr>
            <w:r w:rsidRPr="0043652D">
              <w:t>%</w:t>
            </w:r>
          </w:p>
        </w:tc>
        <w:tc>
          <w:tcPr>
            <w:tcW w:w="964" w:type="dxa"/>
            <w:tcBorders>
              <w:top w:val="single" w:sz="4" w:space="0" w:color="FFFFFF" w:themeColor="background1"/>
              <w:left w:val="single" w:sz="4" w:space="0" w:color="FFFFFF" w:themeColor="background1"/>
            </w:tcBorders>
            <w:shd w:val="clear" w:color="auto" w:fill="033636" w:themeFill="text2"/>
            <w:tcMar>
              <w:top w:w="96" w:type="dxa"/>
              <w:left w:w="113" w:type="dxa"/>
              <w:bottom w:w="96" w:type="dxa"/>
              <w:right w:w="113" w:type="dxa"/>
            </w:tcMar>
            <w:vAlign w:val="bottom"/>
          </w:tcPr>
          <w:p w14:paraId="510C1D53" w14:textId="77777777" w:rsidR="00AE03D8" w:rsidRPr="0043652D" w:rsidRDefault="00AE03D8" w:rsidP="0043652D">
            <w:pPr>
              <w:pStyle w:val="CDIFigure-Table-H1"/>
            </w:pPr>
            <w:r w:rsidRPr="0043652D">
              <w:t>n</w:t>
            </w:r>
          </w:p>
        </w:tc>
        <w:tc>
          <w:tcPr>
            <w:tcW w:w="963" w:type="dxa"/>
            <w:tcBorders>
              <w:top w:val="single" w:sz="4" w:space="0" w:color="FFFFFF" w:themeColor="background1"/>
            </w:tcBorders>
            <w:shd w:val="clear" w:color="auto" w:fill="033636" w:themeFill="text2"/>
            <w:tcMar>
              <w:top w:w="96" w:type="dxa"/>
              <w:left w:w="113" w:type="dxa"/>
              <w:bottom w:w="96" w:type="dxa"/>
              <w:right w:w="113" w:type="dxa"/>
            </w:tcMar>
            <w:vAlign w:val="bottom"/>
          </w:tcPr>
          <w:p w14:paraId="58CDD5C3" w14:textId="77777777" w:rsidR="00AE03D8" w:rsidRPr="0043652D" w:rsidRDefault="00AE03D8" w:rsidP="0043652D">
            <w:pPr>
              <w:pStyle w:val="CDIFigure-Table-H1"/>
            </w:pPr>
            <w:r w:rsidRPr="0043652D">
              <w:t>%</w:t>
            </w:r>
          </w:p>
        </w:tc>
      </w:tr>
      <w:tr w:rsidR="0043652D" w:rsidRPr="00AE03D8" w14:paraId="16FE49B7" w14:textId="77777777" w:rsidTr="0043652D">
        <w:trPr>
          <w:divId w:val="935526654"/>
          <w:trHeight w:val="20"/>
        </w:trPr>
        <w:tc>
          <w:tcPr>
            <w:tcW w:w="2551" w:type="dxa"/>
            <w:vMerge w:val="restart"/>
            <w:tcBorders>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55E40A42" w14:textId="77777777" w:rsidR="00AE03D8" w:rsidRPr="00AE03D8" w:rsidRDefault="00AE03D8" w:rsidP="0043652D">
            <w:pPr>
              <w:pStyle w:val="CDIFigure-Table-BodyTextLeft"/>
            </w:pPr>
            <w:r w:rsidRPr="00AE03D8">
              <w:t>Sex</w:t>
            </w:r>
          </w:p>
        </w:tc>
        <w:tc>
          <w:tcPr>
            <w:tcW w:w="2155" w:type="dxa"/>
            <w:shd w:val="clear" w:color="auto" w:fill="F2F2F2" w:themeFill="background1" w:themeFillShade="F2"/>
            <w:tcMar>
              <w:top w:w="96" w:type="dxa"/>
              <w:left w:w="113" w:type="dxa"/>
              <w:bottom w:w="96" w:type="dxa"/>
              <w:right w:w="113" w:type="dxa"/>
            </w:tcMar>
            <w:vAlign w:val="center"/>
          </w:tcPr>
          <w:p w14:paraId="286A6237" w14:textId="77777777" w:rsidR="00AE03D8" w:rsidRPr="00AE03D8" w:rsidRDefault="00AE03D8" w:rsidP="0043652D">
            <w:pPr>
              <w:pStyle w:val="CDIFigure-Table-BodyTextLeft"/>
            </w:pPr>
            <w:r w:rsidRPr="00AE03D8">
              <w:t>Male</w:t>
            </w:r>
          </w:p>
        </w:tc>
        <w:tc>
          <w:tcPr>
            <w:tcW w:w="963" w:type="dxa"/>
            <w:shd w:val="clear" w:color="auto" w:fill="F2F2F2" w:themeFill="background1" w:themeFillShade="F2"/>
            <w:tcMar>
              <w:top w:w="96" w:type="dxa"/>
              <w:left w:w="113" w:type="dxa"/>
              <w:bottom w:w="96" w:type="dxa"/>
              <w:right w:w="113" w:type="dxa"/>
            </w:tcMar>
            <w:vAlign w:val="center"/>
          </w:tcPr>
          <w:p w14:paraId="1446A276" w14:textId="77777777" w:rsidR="00AE03D8" w:rsidRPr="00AE03D8" w:rsidRDefault="00AE03D8" w:rsidP="0043652D">
            <w:pPr>
              <w:pStyle w:val="CDIFigure-Table-BodyTextCentre"/>
            </w:pPr>
            <w:r w:rsidRPr="00AE03D8">
              <w:t>1,035</w:t>
            </w:r>
          </w:p>
        </w:tc>
        <w:tc>
          <w:tcPr>
            <w:tcW w:w="964" w:type="dxa"/>
            <w:shd w:val="clear" w:color="auto" w:fill="F2F2F2" w:themeFill="background1" w:themeFillShade="F2"/>
            <w:tcMar>
              <w:top w:w="96" w:type="dxa"/>
              <w:left w:w="113" w:type="dxa"/>
              <w:bottom w:w="96" w:type="dxa"/>
              <w:right w:w="113" w:type="dxa"/>
            </w:tcMar>
            <w:vAlign w:val="center"/>
          </w:tcPr>
          <w:p w14:paraId="74D35178" w14:textId="77777777" w:rsidR="00AE03D8" w:rsidRPr="00AE03D8" w:rsidRDefault="00AE03D8" w:rsidP="0043652D">
            <w:pPr>
              <w:pStyle w:val="CDIFigure-Table-BodyTextCentre"/>
            </w:pPr>
            <w:r w:rsidRPr="00AE03D8">
              <w:t>52.4%</w:t>
            </w:r>
          </w:p>
        </w:tc>
        <w:tc>
          <w:tcPr>
            <w:tcW w:w="964" w:type="dxa"/>
            <w:shd w:val="clear" w:color="auto" w:fill="F2F2F2" w:themeFill="background1" w:themeFillShade="F2"/>
            <w:tcMar>
              <w:top w:w="96" w:type="dxa"/>
              <w:left w:w="113" w:type="dxa"/>
              <w:bottom w:w="96" w:type="dxa"/>
              <w:right w:w="113" w:type="dxa"/>
            </w:tcMar>
            <w:vAlign w:val="center"/>
          </w:tcPr>
          <w:p w14:paraId="69E9692B" w14:textId="77777777" w:rsidR="00AE03D8" w:rsidRPr="00AE03D8" w:rsidRDefault="00AE03D8" w:rsidP="0043652D">
            <w:pPr>
              <w:pStyle w:val="CDIFigure-Table-BodyTextCentre"/>
            </w:pPr>
            <w:r w:rsidRPr="00AE03D8">
              <w:t>284</w:t>
            </w:r>
          </w:p>
        </w:tc>
        <w:tc>
          <w:tcPr>
            <w:tcW w:w="964" w:type="dxa"/>
            <w:shd w:val="clear" w:color="auto" w:fill="F2F2F2" w:themeFill="background1" w:themeFillShade="F2"/>
            <w:tcMar>
              <w:top w:w="96" w:type="dxa"/>
              <w:left w:w="113" w:type="dxa"/>
              <w:bottom w:w="96" w:type="dxa"/>
              <w:right w:w="113" w:type="dxa"/>
            </w:tcMar>
            <w:vAlign w:val="center"/>
          </w:tcPr>
          <w:p w14:paraId="3A748B23" w14:textId="77777777" w:rsidR="00AE03D8" w:rsidRPr="00AE03D8" w:rsidRDefault="00AE03D8" w:rsidP="0043652D">
            <w:pPr>
              <w:pStyle w:val="CDIFigure-Table-BodyTextCentre"/>
            </w:pPr>
            <w:r w:rsidRPr="00AE03D8">
              <w:t>53.7%</w:t>
            </w:r>
          </w:p>
        </w:tc>
        <w:tc>
          <w:tcPr>
            <w:tcW w:w="963" w:type="dxa"/>
            <w:shd w:val="clear" w:color="auto" w:fill="F2F2F2" w:themeFill="background1" w:themeFillShade="F2"/>
            <w:tcMar>
              <w:top w:w="96" w:type="dxa"/>
              <w:left w:w="113" w:type="dxa"/>
              <w:bottom w:w="96" w:type="dxa"/>
              <w:right w:w="113" w:type="dxa"/>
            </w:tcMar>
            <w:vAlign w:val="center"/>
          </w:tcPr>
          <w:p w14:paraId="240A8280" w14:textId="77777777" w:rsidR="00AE03D8" w:rsidRPr="00AE03D8" w:rsidRDefault="00AE03D8" w:rsidP="0043652D">
            <w:pPr>
              <w:pStyle w:val="CDIFigure-Table-BodyTextCentre"/>
            </w:pPr>
            <w:r w:rsidRPr="00AE03D8">
              <w:t>228</w:t>
            </w:r>
          </w:p>
        </w:tc>
        <w:tc>
          <w:tcPr>
            <w:tcW w:w="964" w:type="dxa"/>
            <w:shd w:val="clear" w:color="auto" w:fill="F2F2F2" w:themeFill="background1" w:themeFillShade="F2"/>
            <w:tcMar>
              <w:top w:w="96" w:type="dxa"/>
              <w:left w:w="113" w:type="dxa"/>
              <w:bottom w:w="96" w:type="dxa"/>
              <w:right w:w="113" w:type="dxa"/>
            </w:tcMar>
            <w:vAlign w:val="center"/>
          </w:tcPr>
          <w:p w14:paraId="423D3899" w14:textId="77777777" w:rsidR="00AE03D8" w:rsidRPr="00AE03D8" w:rsidRDefault="00AE03D8" w:rsidP="0043652D">
            <w:pPr>
              <w:pStyle w:val="CDIFigure-Table-BodyTextCentre"/>
            </w:pPr>
            <w:r w:rsidRPr="00AE03D8">
              <w:t>48.5%</w:t>
            </w:r>
          </w:p>
        </w:tc>
        <w:tc>
          <w:tcPr>
            <w:tcW w:w="964" w:type="dxa"/>
            <w:shd w:val="clear" w:color="auto" w:fill="F2F2F2" w:themeFill="background1" w:themeFillShade="F2"/>
            <w:tcMar>
              <w:top w:w="96" w:type="dxa"/>
              <w:left w:w="113" w:type="dxa"/>
              <w:bottom w:w="96" w:type="dxa"/>
              <w:right w:w="113" w:type="dxa"/>
            </w:tcMar>
            <w:vAlign w:val="center"/>
          </w:tcPr>
          <w:p w14:paraId="41B12617" w14:textId="77777777" w:rsidR="00AE03D8" w:rsidRPr="00AE03D8" w:rsidRDefault="00AE03D8" w:rsidP="0043652D">
            <w:pPr>
              <w:pStyle w:val="CDIFigure-Table-BodyTextCentre"/>
            </w:pPr>
            <w:r w:rsidRPr="00AE03D8">
              <w:t>256</w:t>
            </w:r>
          </w:p>
        </w:tc>
        <w:tc>
          <w:tcPr>
            <w:tcW w:w="964" w:type="dxa"/>
            <w:shd w:val="clear" w:color="auto" w:fill="F2F2F2" w:themeFill="background1" w:themeFillShade="F2"/>
            <w:tcMar>
              <w:top w:w="96" w:type="dxa"/>
              <w:left w:w="113" w:type="dxa"/>
              <w:bottom w:w="96" w:type="dxa"/>
              <w:right w:w="113" w:type="dxa"/>
            </w:tcMar>
            <w:vAlign w:val="center"/>
          </w:tcPr>
          <w:p w14:paraId="440F1865" w14:textId="77777777" w:rsidR="00AE03D8" w:rsidRPr="00AE03D8" w:rsidRDefault="00AE03D8" w:rsidP="0043652D">
            <w:pPr>
              <w:pStyle w:val="CDIFigure-Table-BodyTextCentre"/>
            </w:pPr>
            <w:r w:rsidRPr="00AE03D8">
              <w:t>54.6%</w:t>
            </w:r>
          </w:p>
        </w:tc>
        <w:tc>
          <w:tcPr>
            <w:tcW w:w="964" w:type="dxa"/>
            <w:shd w:val="clear" w:color="auto" w:fill="F2F2F2" w:themeFill="background1" w:themeFillShade="F2"/>
            <w:tcMar>
              <w:top w:w="96" w:type="dxa"/>
              <w:left w:w="113" w:type="dxa"/>
              <w:bottom w:w="96" w:type="dxa"/>
              <w:right w:w="113" w:type="dxa"/>
            </w:tcMar>
            <w:vAlign w:val="center"/>
          </w:tcPr>
          <w:p w14:paraId="1227C4F1" w14:textId="77777777" w:rsidR="00AE03D8" w:rsidRPr="00AE03D8" w:rsidRDefault="00AE03D8" w:rsidP="0043652D">
            <w:pPr>
              <w:pStyle w:val="CDIFigure-Table-BodyTextCentre"/>
            </w:pPr>
            <w:r w:rsidRPr="00AE03D8">
              <w:t>266</w:t>
            </w:r>
          </w:p>
        </w:tc>
        <w:tc>
          <w:tcPr>
            <w:tcW w:w="963" w:type="dxa"/>
            <w:shd w:val="clear" w:color="auto" w:fill="F2F2F2" w:themeFill="background1" w:themeFillShade="F2"/>
            <w:tcMar>
              <w:top w:w="96" w:type="dxa"/>
              <w:left w:w="113" w:type="dxa"/>
              <w:bottom w:w="96" w:type="dxa"/>
              <w:right w:w="113" w:type="dxa"/>
            </w:tcMar>
            <w:vAlign w:val="center"/>
          </w:tcPr>
          <w:p w14:paraId="1ABB1AC2" w14:textId="77777777" w:rsidR="00AE03D8" w:rsidRPr="00AE03D8" w:rsidRDefault="00AE03D8" w:rsidP="0043652D">
            <w:pPr>
              <w:pStyle w:val="CDIFigure-Table-BodyTextCentre"/>
            </w:pPr>
            <w:r w:rsidRPr="00AE03D8">
              <w:t>53.2%</w:t>
            </w:r>
          </w:p>
        </w:tc>
      </w:tr>
      <w:tr w:rsidR="00AE03D8" w:rsidRPr="00AE03D8" w14:paraId="06E773A0"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345E9EAA" w14:textId="77777777" w:rsidR="00AE03D8" w:rsidRPr="00AE03D8" w:rsidRDefault="00AE03D8" w:rsidP="0043652D">
            <w:pPr>
              <w:pStyle w:val="CDIFigure-Table-BodyTextLeft"/>
            </w:pPr>
          </w:p>
        </w:tc>
        <w:tc>
          <w:tcPr>
            <w:tcW w:w="2155" w:type="dxa"/>
            <w:tcMar>
              <w:top w:w="96" w:type="dxa"/>
              <w:left w:w="113" w:type="dxa"/>
              <w:bottom w:w="96" w:type="dxa"/>
              <w:right w:w="113" w:type="dxa"/>
            </w:tcMar>
            <w:vAlign w:val="center"/>
          </w:tcPr>
          <w:p w14:paraId="2CF9A78A" w14:textId="77777777" w:rsidR="00AE03D8" w:rsidRPr="00AE03D8" w:rsidRDefault="00AE03D8" w:rsidP="0043652D">
            <w:pPr>
              <w:pStyle w:val="CDIFigure-Table-BodyTextLeft"/>
            </w:pPr>
            <w:r w:rsidRPr="00AE03D8">
              <w:t>Female</w:t>
            </w:r>
          </w:p>
        </w:tc>
        <w:tc>
          <w:tcPr>
            <w:tcW w:w="963" w:type="dxa"/>
            <w:tcMar>
              <w:top w:w="96" w:type="dxa"/>
              <w:left w:w="113" w:type="dxa"/>
              <w:bottom w:w="96" w:type="dxa"/>
              <w:right w:w="113" w:type="dxa"/>
            </w:tcMar>
            <w:vAlign w:val="center"/>
          </w:tcPr>
          <w:p w14:paraId="009D336D" w14:textId="77777777" w:rsidR="00AE03D8" w:rsidRPr="00AE03D8" w:rsidRDefault="00AE03D8" w:rsidP="0043652D">
            <w:pPr>
              <w:pStyle w:val="CDIFigure-Table-BodyTextCentre"/>
            </w:pPr>
            <w:r w:rsidRPr="00AE03D8">
              <w:t>937</w:t>
            </w:r>
          </w:p>
        </w:tc>
        <w:tc>
          <w:tcPr>
            <w:tcW w:w="964" w:type="dxa"/>
            <w:tcMar>
              <w:top w:w="96" w:type="dxa"/>
              <w:left w:w="113" w:type="dxa"/>
              <w:bottom w:w="96" w:type="dxa"/>
              <w:right w:w="113" w:type="dxa"/>
            </w:tcMar>
            <w:vAlign w:val="center"/>
          </w:tcPr>
          <w:p w14:paraId="29CA8B5B" w14:textId="77777777" w:rsidR="00AE03D8" w:rsidRPr="00AE03D8" w:rsidRDefault="00AE03D8" w:rsidP="0043652D">
            <w:pPr>
              <w:pStyle w:val="CDIFigure-Table-BodyTextCentre"/>
            </w:pPr>
            <w:r w:rsidRPr="00AE03D8">
              <w:t>47.5%</w:t>
            </w:r>
          </w:p>
        </w:tc>
        <w:tc>
          <w:tcPr>
            <w:tcW w:w="964" w:type="dxa"/>
            <w:tcMar>
              <w:top w:w="96" w:type="dxa"/>
              <w:left w:w="113" w:type="dxa"/>
              <w:bottom w:w="96" w:type="dxa"/>
              <w:right w:w="113" w:type="dxa"/>
            </w:tcMar>
            <w:vAlign w:val="center"/>
          </w:tcPr>
          <w:p w14:paraId="5A50E2B9" w14:textId="77777777" w:rsidR="00AE03D8" w:rsidRPr="00AE03D8" w:rsidRDefault="00AE03D8" w:rsidP="0043652D">
            <w:pPr>
              <w:pStyle w:val="CDIFigure-Table-BodyTextCentre"/>
            </w:pPr>
            <w:r w:rsidRPr="00AE03D8">
              <w:t>245</w:t>
            </w:r>
          </w:p>
        </w:tc>
        <w:tc>
          <w:tcPr>
            <w:tcW w:w="964" w:type="dxa"/>
            <w:tcMar>
              <w:top w:w="96" w:type="dxa"/>
              <w:left w:w="113" w:type="dxa"/>
              <w:bottom w:w="96" w:type="dxa"/>
              <w:right w:w="113" w:type="dxa"/>
            </w:tcMar>
            <w:vAlign w:val="center"/>
          </w:tcPr>
          <w:p w14:paraId="6C16AF2E" w14:textId="77777777" w:rsidR="00AE03D8" w:rsidRPr="00AE03D8" w:rsidRDefault="00AE03D8" w:rsidP="0043652D">
            <w:pPr>
              <w:pStyle w:val="CDIFigure-Table-BodyTextCentre"/>
            </w:pPr>
            <w:r w:rsidRPr="00AE03D8">
              <w:t>46.3%</w:t>
            </w:r>
          </w:p>
        </w:tc>
        <w:tc>
          <w:tcPr>
            <w:tcW w:w="963" w:type="dxa"/>
            <w:tcMar>
              <w:top w:w="96" w:type="dxa"/>
              <w:left w:w="113" w:type="dxa"/>
              <w:bottom w:w="96" w:type="dxa"/>
              <w:right w:w="113" w:type="dxa"/>
            </w:tcMar>
            <w:vAlign w:val="center"/>
          </w:tcPr>
          <w:p w14:paraId="3D4B634F" w14:textId="77777777" w:rsidR="00AE03D8" w:rsidRPr="00AE03D8" w:rsidRDefault="00AE03D8" w:rsidP="0043652D">
            <w:pPr>
              <w:pStyle w:val="CDIFigure-Table-BodyTextCentre"/>
            </w:pPr>
            <w:r w:rsidRPr="00AE03D8">
              <w:t>242</w:t>
            </w:r>
          </w:p>
        </w:tc>
        <w:tc>
          <w:tcPr>
            <w:tcW w:w="964" w:type="dxa"/>
            <w:tcMar>
              <w:top w:w="96" w:type="dxa"/>
              <w:left w:w="113" w:type="dxa"/>
              <w:bottom w:w="96" w:type="dxa"/>
              <w:right w:w="113" w:type="dxa"/>
            </w:tcMar>
            <w:vAlign w:val="center"/>
          </w:tcPr>
          <w:p w14:paraId="102DA13F" w14:textId="77777777" w:rsidR="00AE03D8" w:rsidRPr="00AE03D8" w:rsidRDefault="00AE03D8" w:rsidP="0043652D">
            <w:pPr>
              <w:pStyle w:val="CDIFigure-Table-BodyTextCentre"/>
            </w:pPr>
            <w:r w:rsidRPr="00AE03D8">
              <w:t>51.5%</w:t>
            </w:r>
          </w:p>
        </w:tc>
        <w:tc>
          <w:tcPr>
            <w:tcW w:w="964" w:type="dxa"/>
            <w:tcMar>
              <w:top w:w="96" w:type="dxa"/>
              <w:left w:w="113" w:type="dxa"/>
              <w:bottom w:w="96" w:type="dxa"/>
              <w:right w:w="113" w:type="dxa"/>
            </w:tcMar>
            <w:vAlign w:val="center"/>
          </w:tcPr>
          <w:p w14:paraId="418FB5AB" w14:textId="77777777" w:rsidR="00AE03D8" w:rsidRPr="00AE03D8" w:rsidRDefault="00AE03D8" w:rsidP="0043652D">
            <w:pPr>
              <w:pStyle w:val="CDIFigure-Table-BodyTextCentre"/>
            </w:pPr>
            <w:r w:rsidRPr="00AE03D8">
              <w:t>213</w:t>
            </w:r>
          </w:p>
        </w:tc>
        <w:tc>
          <w:tcPr>
            <w:tcW w:w="964" w:type="dxa"/>
            <w:tcMar>
              <w:top w:w="96" w:type="dxa"/>
              <w:left w:w="113" w:type="dxa"/>
              <w:bottom w:w="96" w:type="dxa"/>
              <w:right w:w="113" w:type="dxa"/>
            </w:tcMar>
            <w:vAlign w:val="center"/>
          </w:tcPr>
          <w:p w14:paraId="41393B69" w14:textId="77777777" w:rsidR="00AE03D8" w:rsidRPr="00AE03D8" w:rsidRDefault="00AE03D8" w:rsidP="0043652D">
            <w:pPr>
              <w:pStyle w:val="CDIFigure-Table-BodyTextCentre"/>
            </w:pPr>
            <w:r w:rsidRPr="00AE03D8">
              <w:t>45.4%</w:t>
            </w:r>
          </w:p>
        </w:tc>
        <w:tc>
          <w:tcPr>
            <w:tcW w:w="964" w:type="dxa"/>
            <w:tcMar>
              <w:top w:w="96" w:type="dxa"/>
              <w:left w:w="113" w:type="dxa"/>
              <w:bottom w:w="96" w:type="dxa"/>
              <w:right w:w="113" w:type="dxa"/>
            </w:tcMar>
            <w:vAlign w:val="center"/>
          </w:tcPr>
          <w:p w14:paraId="4BA90043" w14:textId="77777777" w:rsidR="00AE03D8" w:rsidRPr="00AE03D8" w:rsidRDefault="00AE03D8" w:rsidP="0043652D">
            <w:pPr>
              <w:pStyle w:val="CDIFigure-Table-BodyTextCentre"/>
            </w:pPr>
            <w:r w:rsidRPr="00AE03D8">
              <w:t>232</w:t>
            </w:r>
          </w:p>
        </w:tc>
        <w:tc>
          <w:tcPr>
            <w:tcW w:w="963" w:type="dxa"/>
            <w:tcMar>
              <w:top w:w="96" w:type="dxa"/>
              <w:left w:w="113" w:type="dxa"/>
              <w:bottom w:w="96" w:type="dxa"/>
              <w:right w:w="113" w:type="dxa"/>
            </w:tcMar>
            <w:vAlign w:val="center"/>
          </w:tcPr>
          <w:p w14:paraId="2D7BF15E" w14:textId="77777777" w:rsidR="00AE03D8" w:rsidRPr="00AE03D8" w:rsidRDefault="00AE03D8" w:rsidP="0043652D">
            <w:pPr>
              <w:pStyle w:val="CDIFigure-Table-BodyTextCentre"/>
            </w:pPr>
            <w:r w:rsidRPr="00AE03D8">
              <w:t>46.4%</w:t>
            </w:r>
          </w:p>
        </w:tc>
      </w:tr>
      <w:tr w:rsidR="0043652D" w:rsidRPr="00AE03D8" w14:paraId="604B0B1B"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784B77BF" w14:textId="77777777" w:rsidR="00AE03D8" w:rsidRPr="00AE03D8" w:rsidRDefault="00AE03D8" w:rsidP="0043652D">
            <w:pPr>
              <w:pStyle w:val="CDIFigure-Table-BodyTextLeft"/>
            </w:pPr>
          </w:p>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23DC431" w14:textId="77777777" w:rsidR="00AE03D8" w:rsidRPr="00AE03D8" w:rsidRDefault="00AE03D8" w:rsidP="0043652D">
            <w:pPr>
              <w:pStyle w:val="CDIFigure-Table-BodyTextLeft"/>
            </w:pPr>
            <w:r w:rsidRPr="00AE03D8">
              <w:t>Missing</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69C2B33" w14:textId="77777777" w:rsidR="00AE03D8" w:rsidRPr="00AE03D8" w:rsidRDefault="00AE03D8" w:rsidP="0043652D">
            <w:pPr>
              <w:pStyle w:val="CDIFigure-Table-BodyTextCentre"/>
            </w:pPr>
            <w:r w:rsidRPr="00AE03D8">
              <w:t>2</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031FB21" w14:textId="77777777" w:rsidR="00AE03D8" w:rsidRPr="00AE03D8" w:rsidRDefault="00AE03D8" w:rsidP="0043652D">
            <w:pPr>
              <w:pStyle w:val="CDIFigure-Table-BodyTextCentre"/>
            </w:pPr>
            <w:r w:rsidRPr="00AE03D8">
              <w:t>0.1%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87BE2EE"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3BD71F1"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5C91C92"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F5A0047"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AC98BB7"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101E936"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15C8EA9" w14:textId="77777777" w:rsidR="00AE03D8" w:rsidRPr="00AE03D8" w:rsidRDefault="00AE03D8" w:rsidP="0043652D">
            <w:pPr>
              <w:pStyle w:val="CDIFigure-Table-BodyTextCentre"/>
            </w:pPr>
            <w:r w:rsidRPr="00AE03D8">
              <w:t>2</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6D9E5A0" w14:textId="77777777" w:rsidR="00AE03D8" w:rsidRPr="00AE03D8" w:rsidRDefault="00AE03D8" w:rsidP="0043652D">
            <w:pPr>
              <w:pStyle w:val="CDIFigure-Table-BodyTextCentre"/>
            </w:pPr>
            <w:r w:rsidRPr="00AE03D8">
              <w:t>0.4%</w:t>
            </w:r>
          </w:p>
        </w:tc>
      </w:tr>
      <w:tr w:rsidR="00AE03D8" w:rsidRPr="00AE03D8" w14:paraId="328D7508"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39F5FECC" w14:textId="77777777" w:rsidR="00AE03D8" w:rsidRPr="00AE03D8" w:rsidRDefault="00AE03D8" w:rsidP="0043652D">
            <w:pPr>
              <w:pStyle w:val="CDIFigure-Table-BodyTextLeft"/>
            </w:pPr>
            <w:r w:rsidRPr="00AE03D8">
              <w:t>Age (years)</w:t>
            </w:r>
          </w:p>
        </w:tc>
        <w:tc>
          <w:tcPr>
            <w:tcW w:w="2155" w:type="dxa"/>
            <w:tcBorders>
              <w:top w:val="single" w:sz="4" w:space="0" w:color="033636" w:themeColor="text2"/>
            </w:tcBorders>
            <w:tcMar>
              <w:top w:w="96" w:type="dxa"/>
              <w:left w:w="113" w:type="dxa"/>
              <w:bottom w:w="96" w:type="dxa"/>
              <w:right w:w="113" w:type="dxa"/>
            </w:tcMar>
            <w:vAlign w:val="center"/>
          </w:tcPr>
          <w:p w14:paraId="2D3CB8D8" w14:textId="77777777" w:rsidR="00AE03D8" w:rsidRPr="00AE03D8" w:rsidRDefault="00AE03D8" w:rsidP="0043652D">
            <w:pPr>
              <w:pStyle w:val="CDIFigure-Table-BodyTextLeft"/>
            </w:pPr>
            <w:r w:rsidRPr="00AE03D8">
              <w:t>Median</w:t>
            </w:r>
          </w:p>
        </w:tc>
        <w:tc>
          <w:tcPr>
            <w:tcW w:w="963" w:type="dxa"/>
            <w:tcBorders>
              <w:top w:val="single" w:sz="4" w:space="0" w:color="033636" w:themeColor="text2"/>
            </w:tcBorders>
            <w:tcMar>
              <w:top w:w="96" w:type="dxa"/>
              <w:left w:w="113" w:type="dxa"/>
              <w:bottom w:w="96" w:type="dxa"/>
              <w:right w:w="113" w:type="dxa"/>
            </w:tcMar>
            <w:vAlign w:val="center"/>
          </w:tcPr>
          <w:p w14:paraId="0D8BFD0E" w14:textId="77777777" w:rsidR="00AE03D8" w:rsidRPr="00AE03D8" w:rsidRDefault="00AE03D8" w:rsidP="0043652D">
            <w:pPr>
              <w:pStyle w:val="CDIFigure-Table-BodyTextCentre"/>
            </w:pPr>
            <w:r w:rsidRPr="00AE03D8">
              <w:t>50.0</w:t>
            </w:r>
          </w:p>
        </w:tc>
        <w:tc>
          <w:tcPr>
            <w:tcW w:w="964" w:type="dxa"/>
            <w:tcBorders>
              <w:top w:val="single" w:sz="4" w:space="0" w:color="033636" w:themeColor="text2"/>
            </w:tcBorders>
            <w:tcMar>
              <w:top w:w="96" w:type="dxa"/>
              <w:left w:w="113" w:type="dxa"/>
              <w:bottom w:w="96" w:type="dxa"/>
              <w:right w:w="113" w:type="dxa"/>
            </w:tcMar>
            <w:vAlign w:val="center"/>
          </w:tcPr>
          <w:p w14:paraId="4E77B99B" w14:textId="77777777" w:rsidR="00AE03D8" w:rsidRPr="00AE03D8" w:rsidRDefault="00AE03D8" w:rsidP="0043652D">
            <w:pPr>
              <w:pStyle w:val="CDIFigure-Table-BodyTextCentre"/>
            </w:pPr>
            <w:r w:rsidRPr="00AE03D8">
              <w:t>—</w:t>
            </w:r>
          </w:p>
        </w:tc>
        <w:tc>
          <w:tcPr>
            <w:tcW w:w="964" w:type="dxa"/>
            <w:tcBorders>
              <w:top w:val="single" w:sz="4" w:space="0" w:color="033636" w:themeColor="text2"/>
            </w:tcBorders>
            <w:tcMar>
              <w:top w:w="96" w:type="dxa"/>
              <w:left w:w="113" w:type="dxa"/>
              <w:bottom w:w="96" w:type="dxa"/>
              <w:right w:w="113" w:type="dxa"/>
            </w:tcMar>
            <w:vAlign w:val="center"/>
          </w:tcPr>
          <w:p w14:paraId="62186000" w14:textId="77777777" w:rsidR="00AE03D8" w:rsidRPr="00AE03D8" w:rsidRDefault="00AE03D8" w:rsidP="0043652D">
            <w:pPr>
              <w:pStyle w:val="CDIFigure-Table-BodyTextCentre"/>
            </w:pPr>
            <w:r w:rsidRPr="00AE03D8">
              <w:t>52.1</w:t>
            </w:r>
          </w:p>
        </w:tc>
        <w:tc>
          <w:tcPr>
            <w:tcW w:w="964" w:type="dxa"/>
            <w:tcBorders>
              <w:top w:val="single" w:sz="4" w:space="0" w:color="033636" w:themeColor="text2"/>
            </w:tcBorders>
            <w:tcMar>
              <w:top w:w="96" w:type="dxa"/>
              <w:left w:w="113" w:type="dxa"/>
              <w:bottom w:w="96" w:type="dxa"/>
              <w:right w:w="113" w:type="dxa"/>
            </w:tcMar>
            <w:vAlign w:val="center"/>
          </w:tcPr>
          <w:p w14:paraId="5C27C108" w14:textId="77777777" w:rsidR="00AE03D8" w:rsidRPr="00AE03D8" w:rsidRDefault="00AE03D8" w:rsidP="0043652D">
            <w:pPr>
              <w:pStyle w:val="CDIFigure-Table-BodyTextCentre"/>
            </w:pPr>
            <w:r w:rsidRPr="00AE03D8">
              <w:t>—</w:t>
            </w:r>
          </w:p>
        </w:tc>
        <w:tc>
          <w:tcPr>
            <w:tcW w:w="963" w:type="dxa"/>
            <w:tcBorders>
              <w:top w:val="single" w:sz="4" w:space="0" w:color="033636" w:themeColor="text2"/>
            </w:tcBorders>
            <w:tcMar>
              <w:top w:w="96" w:type="dxa"/>
              <w:left w:w="113" w:type="dxa"/>
              <w:bottom w:w="96" w:type="dxa"/>
              <w:right w:w="113" w:type="dxa"/>
            </w:tcMar>
            <w:vAlign w:val="center"/>
          </w:tcPr>
          <w:p w14:paraId="7C25325C" w14:textId="77777777" w:rsidR="00AE03D8" w:rsidRPr="00AE03D8" w:rsidRDefault="00AE03D8" w:rsidP="0043652D">
            <w:pPr>
              <w:pStyle w:val="CDIFigure-Table-BodyTextCentre"/>
            </w:pPr>
            <w:r w:rsidRPr="00AE03D8">
              <w:t>49.2</w:t>
            </w:r>
          </w:p>
        </w:tc>
        <w:tc>
          <w:tcPr>
            <w:tcW w:w="964" w:type="dxa"/>
            <w:tcBorders>
              <w:top w:val="single" w:sz="4" w:space="0" w:color="033636" w:themeColor="text2"/>
            </w:tcBorders>
            <w:tcMar>
              <w:top w:w="96" w:type="dxa"/>
              <w:left w:w="113" w:type="dxa"/>
              <w:bottom w:w="96" w:type="dxa"/>
              <w:right w:w="113" w:type="dxa"/>
            </w:tcMar>
            <w:vAlign w:val="center"/>
          </w:tcPr>
          <w:p w14:paraId="3A09E730" w14:textId="77777777" w:rsidR="00AE03D8" w:rsidRPr="00AE03D8" w:rsidRDefault="00AE03D8" w:rsidP="0043652D">
            <w:pPr>
              <w:pStyle w:val="CDIFigure-Table-BodyTextCentre"/>
            </w:pPr>
            <w:r w:rsidRPr="00AE03D8">
              <w:t>—</w:t>
            </w:r>
          </w:p>
        </w:tc>
        <w:tc>
          <w:tcPr>
            <w:tcW w:w="964" w:type="dxa"/>
            <w:tcBorders>
              <w:top w:val="single" w:sz="4" w:space="0" w:color="033636" w:themeColor="text2"/>
            </w:tcBorders>
            <w:tcMar>
              <w:top w:w="96" w:type="dxa"/>
              <w:left w:w="113" w:type="dxa"/>
              <w:bottom w:w="96" w:type="dxa"/>
              <w:right w:w="113" w:type="dxa"/>
            </w:tcMar>
            <w:vAlign w:val="center"/>
          </w:tcPr>
          <w:p w14:paraId="28F6E857" w14:textId="77777777" w:rsidR="00AE03D8" w:rsidRPr="00AE03D8" w:rsidRDefault="00AE03D8" w:rsidP="0043652D">
            <w:pPr>
              <w:pStyle w:val="CDIFigure-Table-BodyTextCentre"/>
            </w:pPr>
            <w:r w:rsidRPr="00AE03D8">
              <w:t>50.7</w:t>
            </w:r>
          </w:p>
        </w:tc>
        <w:tc>
          <w:tcPr>
            <w:tcW w:w="964" w:type="dxa"/>
            <w:tcBorders>
              <w:top w:val="single" w:sz="4" w:space="0" w:color="033636" w:themeColor="text2"/>
            </w:tcBorders>
            <w:tcMar>
              <w:top w:w="96" w:type="dxa"/>
              <w:left w:w="113" w:type="dxa"/>
              <w:bottom w:w="96" w:type="dxa"/>
              <w:right w:w="113" w:type="dxa"/>
            </w:tcMar>
            <w:vAlign w:val="center"/>
          </w:tcPr>
          <w:p w14:paraId="233C2B86" w14:textId="77777777" w:rsidR="00AE03D8" w:rsidRPr="00AE03D8" w:rsidRDefault="00AE03D8" w:rsidP="0043652D">
            <w:pPr>
              <w:pStyle w:val="CDIFigure-Table-BodyTextCentre"/>
            </w:pPr>
            <w:r w:rsidRPr="00AE03D8">
              <w:t>—</w:t>
            </w:r>
          </w:p>
        </w:tc>
        <w:tc>
          <w:tcPr>
            <w:tcW w:w="964" w:type="dxa"/>
            <w:tcBorders>
              <w:top w:val="single" w:sz="4" w:space="0" w:color="033636" w:themeColor="text2"/>
            </w:tcBorders>
            <w:tcMar>
              <w:top w:w="96" w:type="dxa"/>
              <w:left w:w="113" w:type="dxa"/>
              <w:bottom w:w="96" w:type="dxa"/>
              <w:right w:w="113" w:type="dxa"/>
            </w:tcMar>
            <w:vAlign w:val="center"/>
          </w:tcPr>
          <w:p w14:paraId="565E65F5" w14:textId="77777777" w:rsidR="00AE03D8" w:rsidRPr="00AE03D8" w:rsidRDefault="00AE03D8" w:rsidP="0043652D">
            <w:pPr>
              <w:pStyle w:val="CDIFigure-Table-BodyTextCentre"/>
            </w:pPr>
            <w:r w:rsidRPr="00AE03D8">
              <w:t>47.5</w:t>
            </w:r>
          </w:p>
        </w:tc>
        <w:tc>
          <w:tcPr>
            <w:tcW w:w="963" w:type="dxa"/>
            <w:tcBorders>
              <w:top w:val="single" w:sz="4" w:space="0" w:color="033636" w:themeColor="text2"/>
            </w:tcBorders>
            <w:tcMar>
              <w:top w:w="96" w:type="dxa"/>
              <w:left w:w="113" w:type="dxa"/>
              <w:bottom w:w="96" w:type="dxa"/>
              <w:right w:w="113" w:type="dxa"/>
            </w:tcMar>
            <w:vAlign w:val="center"/>
          </w:tcPr>
          <w:p w14:paraId="7E7A3D45" w14:textId="77777777" w:rsidR="00AE03D8" w:rsidRPr="00AE03D8" w:rsidRDefault="00AE03D8" w:rsidP="0043652D">
            <w:pPr>
              <w:pStyle w:val="CDIFigure-Table-BodyTextCentre"/>
            </w:pPr>
            <w:r w:rsidRPr="00AE03D8">
              <w:t>—</w:t>
            </w:r>
          </w:p>
        </w:tc>
      </w:tr>
      <w:tr w:rsidR="0043652D" w:rsidRPr="00AE03D8" w14:paraId="0E18EFBE"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77CF7C35" w14:textId="77777777" w:rsidR="00AE03D8" w:rsidRPr="00AE03D8" w:rsidRDefault="00AE03D8" w:rsidP="0043652D">
            <w:pPr>
              <w:pStyle w:val="CDIFigure-Table-BodyTextLeft"/>
            </w:pPr>
          </w:p>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DDD0851" w14:textId="77777777" w:rsidR="00AE03D8" w:rsidRPr="00AE03D8" w:rsidRDefault="00AE03D8" w:rsidP="0043652D">
            <w:pPr>
              <w:pStyle w:val="CDIFigure-Table-BodyTextLeft"/>
            </w:pPr>
            <w:proofErr w:type="spellStart"/>
            <w:r w:rsidRPr="00AE03D8">
              <w:t>IQR</w:t>
            </w:r>
            <w:r w:rsidRPr="0043652D">
              <w:rPr>
                <w:vertAlign w:val="superscript"/>
              </w:rPr>
              <w:t>b</w:t>
            </w:r>
            <w:proofErr w:type="spellEnd"/>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395106C" w14:textId="77777777" w:rsidR="00AE03D8" w:rsidRPr="00AE03D8" w:rsidRDefault="00AE03D8" w:rsidP="0043652D">
            <w:pPr>
              <w:pStyle w:val="CDIFigure-Table-BodyTextCentre"/>
            </w:pPr>
            <w:r w:rsidRPr="00AE03D8">
              <w:t>35.3–64.9</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8A3E8F6" w14:textId="77777777" w:rsidR="00AE03D8" w:rsidRPr="00AE03D8" w:rsidRDefault="00AE03D8" w:rsidP="0043652D">
            <w:pPr>
              <w:pStyle w:val="CDIFigure-Table-BodyTextCentre"/>
            </w:pPr>
            <w:r w:rsidRPr="00AE03D8">
              <w:t>—</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32CE428" w14:textId="77777777" w:rsidR="00AE03D8" w:rsidRPr="00AE03D8" w:rsidRDefault="00AE03D8" w:rsidP="0043652D">
            <w:pPr>
              <w:pStyle w:val="CDIFigure-Table-BodyTextCentre"/>
            </w:pPr>
            <w:r w:rsidRPr="00AE03D8">
              <w:t>36.5–66.9</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C39B49D" w14:textId="77777777" w:rsidR="00AE03D8" w:rsidRPr="00AE03D8" w:rsidRDefault="00AE03D8" w:rsidP="0043652D">
            <w:pPr>
              <w:pStyle w:val="CDIFigure-Table-BodyTextCentre"/>
            </w:pPr>
            <w:r w:rsidRPr="00AE03D8">
              <w:t>—</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CD2BBF5" w14:textId="77777777" w:rsidR="00AE03D8" w:rsidRPr="00AE03D8" w:rsidRDefault="00AE03D8" w:rsidP="0043652D">
            <w:pPr>
              <w:pStyle w:val="CDIFigure-Table-BodyTextCentre"/>
            </w:pPr>
            <w:r w:rsidRPr="00AE03D8">
              <w:t>33.4–63.8</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B818670" w14:textId="77777777" w:rsidR="00AE03D8" w:rsidRPr="00AE03D8" w:rsidRDefault="00AE03D8" w:rsidP="0043652D">
            <w:pPr>
              <w:pStyle w:val="CDIFigure-Table-BodyTextCentre"/>
            </w:pPr>
            <w:r w:rsidRPr="00AE03D8">
              <w:t>—</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30F47C2" w14:textId="77777777" w:rsidR="00AE03D8" w:rsidRPr="00AE03D8" w:rsidRDefault="00AE03D8" w:rsidP="0043652D">
            <w:pPr>
              <w:pStyle w:val="CDIFigure-Table-BodyTextCentre"/>
            </w:pPr>
            <w:r w:rsidRPr="00AE03D8">
              <w:t>37.4–65.2</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C40CBD9" w14:textId="77777777" w:rsidR="00AE03D8" w:rsidRPr="00AE03D8" w:rsidRDefault="00AE03D8" w:rsidP="0043652D">
            <w:pPr>
              <w:pStyle w:val="CDIFigure-Table-BodyTextCentre"/>
            </w:pPr>
            <w:r w:rsidRPr="00AE03D8">
              <w:t>—</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CD90CAA" w14:textId="77777777" w:rsidR="00AE03D8" w:rsidRPr="00AE03D8" w:rsidRDefault="00AE03D8" w:rsidP="0043652D">
            <w:pPr>
              <w:pStyle w:val="CDIFigure-Table-BodyTextCentre"/>
            </w:pPr>
            <w:r w:rsidRPr="00AE03D8">
              <w:t>34.5–63.0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DC79E84" w14:textId="77777777" w:rsidR="00AE03D8" w:rsidRPr="00AE03D8" w:rsidRDefault="00AE03D8" w:rsidP="0043652D">
            <w:pPr>
              <w:pStyle w:val="CDIFigure-Table-BodyTextCentre"/>
            </w:pPr>
            <w:r w:rsidRPr="00AE03D8">
              <w:t>—</w:t>
            </w:r>
          </w:p>
        </w:tc>
      </w:tr>
      <w:tr w:rsidR="00AE03D8" w:rsidRPr="00AE03D8" w14:paraId="243FF38A"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6DB211EE" w14:textId="77777777" w:rsidR="00AE03D8" w:rsidRPr="00AE03D8" w:rsidRDefault="00AE03D8" w:rsidP="0043652D">
            <w:pPr>
              <w:pStyle w:val="CDIFigure-Table-BodyTextLeft"/>
            </w:pPr>
            <w:r w:rsidRPr="00AE03D8">
              <w:t>Area of residence</w:t>
            </w:r>
          </w:p>
        </w:tc>
        <w:tc>
          <w:tcPr>
            <w:tcW w:w="2155" w:type="dxa"/>
            <w:tcBorders>
              <w:top w:val="single" w:sz="4" w:space="0" w:color="033636" w:themeColor="text2"/>
            </w:tcBorders>
            <w:tcMar>
              <w:top w:w="96" w:type="dxa"/>
              <w:left w:w="113" w:type="dxa"/>
              <w:bottom w:w="96" w:type="dxa"/>
              <w:right w:w="113" w:type="dxa"/>
            </w:tcMar>
            <w:vAlign w:val="center"/>
          </w:tcPr>
          <w:p w14:paraId="6366C35B" w14:textId="77777777" w:rsidR="00AE03D8" w:rsidRPr="00AE03D8" w:rsidRDefault="00AE03D8" w:rsidP="0043652D">
            <w:pPr>
              <w:pStyle w:val="CDIFigure-Table-BodyTextLeft"/>
            </w:pPr>
            <w:r w:rsidRPr="00AE03D8">
              <w:t>Metropolitan Melbourne</w:t>
            </w:r>
          </w:p>
        </w:tc>
        <w:tc>
          <w:tcPr>
            <w:tcW w:w="963" w:type="dxa"/>
            <w:tcBorders>
              <w:top w:val="single" w:sz="4" w:space="0" w:color="033636" w:themeColor="text2"/>
            </w:tcBorders>
            <w:tcMar>
              <w:top w:w="96" w:type="dxa"/>
              <w:left w:w="113" w:type="dxa"/>
              <w:bottom w:w="96" w:type="dxa"/>
              <w:right w:w="113" w:type="dxa"/>
            </w:tcMar>
            <w:vAlign w:val="center"/>
          </w:tcPr>
          <w:p w14:paraId="78616979" w14:textId="77777777" w:rsidR="00AE03D8" w:rsidRPr="00AE03D8" w:rsidRDefault="00AE03D8" w:rsidP="0043652D">
            <w:pPr>
              <w:pStyle w:val="CDIFigure-Table-BodyTextCentre"/>
            </w:pPr>
            <w:r w:rsidRPr="00AE03D8">
              <w:t>1,603</w:t>
            </w:r>
          </w:p>
        </w:tc>
        <w:tc>
          <w:tcPr>
            <w:tcW w:w="964" w:type="dxa"/>
            <w:tcBorders>
              <w:top w:val="single" w:sz="4" w:space="0" w:color="033636" w:themeColor="text2"/>
            </w:tcBorders>
            <w:tcMar>
              <w:top w:w="96" w:type="dxa"/>
              <w:left w:w="113" w:type="dxa"/>
              <w:bottom w:w="96" w:type="dxa"/>
              <w:right w:w="113" w:type="dxa"/>
            </w:tcMar>
            <w:vAlign w:val="center"/>
          </w:tcPr>
          <w:p w14:paraId="4C184AFB" w14:textId="77777777" w:rsidR="00AE03D8" w:rsidRPr="00AE03D8" w:rsidRDefault="00AE03D8" w:rsidP="0043652D">
            <w:pPr>
              <w:pStyle w:val="CDIFigure-Table-BodyTextCentre"/>
            </w:pPr>
            <w:r w:rsidRPr="00AE03D8">
              <w:t>81.2%</w:t>
            </w:r>
          </w:p>
        </w:tc>
        <w:tc>
          <w:tcPr>
            <w:tcW w:w="964" w:type="dxa"/>
            <w:tcBorders>
              <w:top w:val="single" w:sz="4" w:space="0" w:color="033636" w:themeColor="text2"/>
            </w:tcBorders>
            <w:tcMar>
              <w:top w:w="96" w:type="dxa"/>
              <w:left w:w="113" w:type="dxa"/>
              <w:bottom w:w="96" w:type="dxa"/>
              <w:right w:w="113" w:type="dxa"/>
            </w:tcMar>
            <w:vAlign w:val="center"/>
          </w:tcPr>
          <w:p w14:paraId="5B015B1F" w14:textId="77777777" w:rsidR="00AE03D8" w:rsidRPr="00AE03D8" w:rsidRDefault="00AE03D8" w:rsidP="0043652D">
            <w:pPr>
              <w:pStyle w:val="CDIFigure-Table-BodyTextCentre"/>
            </w:pPr>
            <w:r w:rsidRPr="00AE03D8">
              <w:t>422</w:t>
            </w:r>
          </w:p>
        </w:tc>
        <w:tc>
          <w:tcPr>
            <w:tcW w:w="964" w:type="dxa"/>
            <w:tcBorders>
              <w:top w:val="single" w:sz="4" w:space="0" w:color="033636" w:themeColor="text2"/>
            </w:tcBorders>
            <w:tcMar>
              <w:top w:w="96" w:type="dxa"/>
              <w:left w:w="113" w:type="dxa"/>
              <w:bottom w:w="96" w:type="dxa"/>
              <w:right w:w="113" w:type="dxa"/>
            </w:tcMar>
            <w:vAlign w:val="center"/>
          </w:tcPr>
          <w:p w14:paraId="5E11893B" w14:textId="77777777" w:rsidR="00AE03D8" w:rsidRPr="00AE03D8" w:rsidRDefault="00AE03D8" w:rsidP="0043652D">
            <w:pPr>
              <w:pStyle w:val="CDIFigure-Table-BodyTextCentre"/>
            </w:pPr>
            <w:r w:rsidRPr="00AE03D8">
              <w:t>79.8%</w:t>
            </w:r>
          </w:p>
        </w:tc>
        <w:tc>
          <w:tcPr>
            <w:tcW w:w="963" w:type="dxa"/>
            <w:tcBorders>
              <w:top w:val="single" w:sz="4" w:space="0" w:color="033636" w:themeColor="text2"/>
            </w:tcBorders>
            <w:tcMar>
              <w:top w:w="96" w:type="dxa"/>
              <w:left w:w="113" w:type="dxa"/>
              <w:bottom w:w="96" w:type="dxa"/>
              <w:right w:w="113" w:type="dxa"/>
            </w:tcMar>
            <w:vAlign w:val="center"/>
          </w:tcPr>
          <w:p w14:paraId="61CA7586" w14:textId="77777777" w:rsidR="00AE03D8" w:rsidRPr="00AE03D8" w:rsidRDefault="00AE03D8" w:rsidP="0043652D">
            <w:pPr>
              <w:pStyle w:val="CDIFigure-Table-BodyTextCentre"/>
            </w:pPr>
            <w:r w:rsidRPr="00AE03D8">
              <w:t>393</w:t>
            </w:r>
          </w:p>
        </w:tc>
        <w:tc>
          <w:tcPr>
            <w:tcW w:w="964" w:type="dxa"/>
            <w:tcBorders>
              <w:top w:val="single" w:sz="4" w:space="0" w:color="033636" w:themeColor="text2"/>
            </w:tcBorders>
            <w:tcMar>
              <w:top w:w="96" w:type="dxa"/>
              <w:left w:w="113" w:type="dxa"/>
              <w:bottom w:w="96" w:type="dxa"/>
              <w:right w:w="113" w:type="dxa"/>
            </w:tcMar>
            <w:vAlign w:val="center"/>
          </w:tcPr>
          <w:p w14:paraId="2F0B6E65" w14:textId="77777777" w:rsidR="00AE03D8" w:rsidRPr="00AE03D8" w:rsidRDefault="00AE03D8" w:rsidP="0043652D">
            <w:pPr>
              <w:pStyle w:val="CDIFigure-Table-BodyTextCentre"/>
            </w:pPr>
            <w:r w:rsidRPr="00AE03D8">
              <w:t>83.6%</w:t>
            </w:r>
          </w:p>
        </w:tc>
        <w:tc>
          <w:tcPr>
            <w:tcW w:w="964" w:type="dxa"/>
            <w:tcBorders>
              <w:top w:val="single" w:sz="4" w:space="0" w:color="033636" w:themeColor="text2"/>
            </w:tcBorders>
            <w:tcMar>
              <w:top w:w="96" w:type="dxa"/>
              <w:left w:w="113" w:type="dxa"/>
              <w:bottom w:w="96" w:type="dxa"/>
              <w:right w:w="113" w:type="dxa"/>
            </w:tcMar>
            <w:vAlign w:val="center"/>
          </w:tcPr>
          <w:p w14:paraId="6496F4ED" w14:textId="77777777" w:rsidR="00AE03D8" w:rsidRPr="00AE03D8" w:rsidRDefault="00AE03D8" w:rsidP="0043652D">
            <w:pPr>
              <w:pStyle w:val="CDIFigure-Table-BodyTextCentre"/>
            </w:pPr>
            <w:r w:rsidRPr="00AE03D8">
              <w:t>382</w:t>
            </w:r>
          </w:p>
        </w:tc>
        <w:tc>
          <w:tcPr>
            <w:tcW w:w="964" w:type="dxa"/>
            <w:tcBorders>
              <w:top w:val="single" w:sz="4" w:space="0" w:color="033636" w:themeColor="text2"/>
            </w:tcBorders>
            <w:tcMar>
              <w:top w:w="96" w:type="dxa"/>
              <w:left w:w="113" w:type="dxa"/>
              <w:bottom w:w="96" w:type="dxa"/>
              <w:right w:w="113" w:type="dxa"/>
            </w:tcMar>
            <w:vAlign w:val="center"/>
          </w:tcPr>
          <w:p w14:paraId="0E3F18F1" w14:textId="77777777" w:rsidR="00AE03D8" w:rsidRPr="00AE03D8" w:rsidRDefault="00AE03D8" w:rsidP="0043652D">
            <w:pPr>
              <w:pStyle w:val="CDIFigure-Table-BodyTextCentre"/>
            </w:pPr>
            <w:r w:rsidRPr="00AE03D8">
              <w:t>81.4%</w:t>
            </w:r>
          </w:p>
        </w:tc>
        <w:tc>
          <w:tcPr>
            <w:tcW w:w="964" w:type="dxa"/>
            <w:tcBorders>
              <w:top w:val="single" w:sz="4" w:space="0" w:color="033636" w:themeColor="text2"/>
            </w:tcBorders>
            <w:tcMar>
              <w:top w:w="96" w:type="dxa"/>
              <w:left w:w="113" w:type="dxa"/>
              <w:bottom w:w="96" w:type="dxa"/>
              <w:right w:w="113" w:type="dxa"/>
            </w:tcMar>
            <w:vAlign w:val="center"/>
          </w:tcPr>
          <w:p w14:paraId="25AC9E29" w14:textId="77777777" w:rsidR="00AE03D8" w:rsidRPr="00AE03D8" w:rsidRDefault="00AE03D8" w:rsidP="0043652D">
            <w:pPr>
              <w:pStyle w:val="CDIFigure-Table-BodyTextCentre"/>
            </w:pPr>
            <w:r w:rsidRPr="00AE03D8">
              <w:t>402</w:t>
            </w:r>
          </w:p>
        </w:tc>
        <w:tc>
          <w:tcPr>
            <w:tcW w:w="963" w:type="dxa"/>
            <w:tcBorders>
              <w:top w:val="single" w:sz="4" w:space="0" w:color="033636" w:themeColor="text2"/>
            </w:tcBorders>
            <w:tcMar>
              <w:top w:w="96" w:type="dxa"/>
              <w:left w:w="113" w:type="dxa"/>
              <w:bottom w:w="96" w:type="dxa"/>
              <w:right w:w="113" w:type="dxa"/>
            </w:tcMar>
            <w:vAlign w:val="center"/>
          </w:tcPr>
          <w:p w14:paraId="6A3C3EBE" w14:textId="77777777" w:rsidR="00AE03D8" w:rsidRPr="00AE03D8" w:rsidRDefault="00AE03D8" w:rsidP="0043652D">
            <w:pPr>
              <w:pStyle w:val="CDIFigure-Table-BodyTextCentre"/>
            </w:pPr>
            <w:r w:rsidRPr="00AE03D8">
              <w:t>66.7%</w:t>
            </w:r>
          </w:p>
        </w:tc>
      </w:tr>
      <w:tr w:rsidR="0043652D" w:rsidRPr="00AE03D8" w14:paraId="2F77CD3F"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446EB9EB" w14:textId="77777777" w:rsidR="00AE03D8" w:rsidRPr="00AE03D8" w:rsidRDefault="00AE03D8" w:rsidP="0043652D">
            <w:pPr>
              <w:pStyle w:val="CDIFigure-Table-BodyTextLeft"/>
            </w:pPr>
          </w:p>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6DF3C78" w14:textId="77777777" w:rsidR="00AE03D8" w:rsidRPr="00AE03D8" w:rsidRDefault="00AE03D8" w:rsidP="0043652D">
            <w:pPr>
              <w:pStyle w:val="CDIFigure-Table-BodyTextLeft"/>
            </w:pPr>
            <w:r w:rsidRPr="00AE03D8">
              <w:t>Regional Victoria</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D1FA81B" w14:textId="77777777" w:rsidR="00AE03D8" w:rsidRPr="00AE03D8" w:rsidRDefault="00AE03D8" w:rsidP="0043652D">
            <w:pPr>
              <w:pStyle w:val="CDIFigure-Table-BodyTextCentre"/>
            </w:pPr>
            <w:r w:rsidRPr="00AE03D8">
              <w:t>371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280C57C" w14:textId="77777777" w:rsidR="00AE03D8" w:rsidRPr="00AE03D8" w:rsidRDefault="00AE03D8" w:rsidP="0043652D">
            <w:pPr>
              <w:pStyle w:val="CDIFigure-Table-BodyTextCentre"/>
            </w:pPr>
            <w:r w:rsidRPr="00AE03D8">
              <w:t>18.8%</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125104D" w14:textId="77777777" w:rsidR="00AE03D8" w:rsidRPr="00AE03D8" w:rsidRDefault="00AE03D8" w:rsidP="0043652D">
            <w:pPr>
              <w:pStyle w:val="CDIFigure-Table-BodyTextCentre"/>
            </w:pPr>
            <w:r w:rsidRPr="00AE03D8">
              <w:t>107</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5EEFCD1" w14:textId="77777777" w:rsidR="00AE03D8" w:rsidRPr="00AE03D8" w:rsidRDefault="00AE03D8" w:rsidP="0043652D">
            <w:pPr>
              <w:pStyle w:val="CDIFigure-Table-BodyTextCentre"/>
            </w:pPr>
            <w:r w:rsidRPr="00AE03D8">
              <w:t>20.2%</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C65A329" w14:textId="77777777" w:rsidR="00AE03D8" w:rsidRPr="00AE03D8" w:rsidRDefault="00AE03D8" w:rsidP="0043652D">
            <w:pPr>
              <w:pStyle w:val="CDIFigure-Table-BodyTextCentre"/>
            </w:pPr>
            <w:r w:rsidRPr="00AE03D8">
              <w:t>77</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2313AF0" w14:textId="77777777" w:rsidR="00AE03D8" w:rsidRPr="00AE03D8" w:rsidRDefault="00AE03D8" w:rsidP="0043652D">
            <w:pPr>
              <w:pStyle w:val="CDIFigure-Table-BodyTextCentre"/>
            </w:pPr>
            <w:r w:rsidRPr="00AE03D8">
              <w:t>16.3%</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5AED803" w14:textId="77777777" w:rsidR="00AE03D8" w:rsidRPr="00AE03D8" w:rsidRDefault="00AE03D8" w:rsidP="0043652D">
            <w:pPr>
              <w:pStyle w:val="CDIFigure-Table-BodyTextCentre"/>
            </w:pPr>
            <w:r w:rsidRPr="00AE03D8">
              <w:t>87</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FA1C83A" w14:textId="77777777" w:rsidR="00AE03D8" w:rsidRPr="00AE03D8" w:rsidRDefault="00AE03D8" w:rsidP="0043652D">
            <w:pPr>
              <w:pStyle w:val="CDIFigure-Table-BodyTextCentre"/>
            </w:pPr>
            <w:r w:rsidRPr="00AE03D8">
              <w:t>18.6%</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C8B2A71" w14:textId="77777777" w:rsidR="00AE03D8" w:rsidRPr="00AE03D8" w:rsidRDefault="00AE03D8" w:rsidP="0043652D">
            <w:pPr>
              <w:pStyle w:val="CDIFigure-Table-BodyTextCentre"/>
            </w:pPr>
            <w:r w:rsidRPr="00AE03D8">
              <w:t>98</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1E814EE" w14:textId="77777777" w:rsidR="00AE03D8" w:rsidRPr="00AE03D8" w:rsidRDefault="00AE03D8" w:rsidP="0043652D">
            <w:pPr>
              <w:pStyle w:val="CDIFigure-Table-BodyTextCentre"/>
            </w:pPr>
            <w:r w:rsidRPr="00AE03D8">
              <w:t>33.3%</w:t>
            </w:r>
          </w:p>
        </w:tc>
      </w:tr>
      <w:tr w:rsidR="00AE03D8" w:rsidRPr="00AE03D8" w14:paraId="4FCB9F49"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2209BB1C" w14:textId="77777777" w:rsidR="00AE03D8" w:rsidRPr="00AE03D8" w:rsidRDefault="00AE03D8" w:rsidP="0043652D">
            <w:pPr>
              <w:pStyle w:val="CDIFigure-Table-BodyTextLeft"/>
            </w:pPr>
            <w:r w:rsidRPr="00AE03D8">
              <w:t>Vaccination status prior to blood sampling</w:t>
            </w:r>
          </w:p>
        </w:tc>
        <w:tc>
          <w:tcPr>
            <w:tcW w:w="2155" w:type="dxa"/>
            <w:tcBorders>
              <w:top w:val="single" w:sz="4" w:space="0" w:color="033636" w:themeColor="text2"/>
            </w:tcBorders>
            <w:tcMar>
              <w:top w:w="96" w:type="dxa"/>
              <w:left w:w="113" w:type="dxa"/>
              <w:bottom w:w="96" w:type="dxa"/>
              <w:right w:w="113" w:type="dxa"/>
            </w:tcMar>
            <w:vAlign w:val="center"/>
          </w:tcPr>
          <w:p w14:paraId="6A5BF71D" w14:textId="77777777" w:rsidR="00AE03D8" w:rsidRPr="00AE03D8" w:rsidRDefault="00AE03D8" w:rsidP="0043652D">
            <w:pPr>
              <w:pStyle w:val="CDIFigure-Table-BodyTextLeft"/>
            </w:pPr>
            <w:r w:rsidRPr="00AE03D8">
              <w:t>Unvaccinated or missing</w:t>
            </w:r>
          </w:p>
        </w:tc>
        <w:tc>
          <w:tcPr>
            <w:tcW w:w="963" w:type="dxa"/>
            <w:tcBorders>
              <w:top w:val="single" w:sz="4" w:space="0" w:color="033636" w:themeColor="text2"/>
            </w:tcBorders>
            <w:tcMar>
              <w:top w:w="96" w:type="dxa"/>
              <w:left w:w="113" w:type="dxa"/>
              <w:bottom w:w="96" w:type="dxa"/>
              <w:right w:w="113" w:type="dxa"/>
            </w:tcMar>
            <w:vAlign w:val="center"/>
          </w:tcPr>
          <w:p w14:paraId="6523FA7C" w14:textId="77777777" w:rsidR="00AE03D8" w:rsidRPr="00AE03D8" w:rsidRDefault="00AE03D8" w:rsidP="0043652D">
            <w:pPr>
              <w:pStyle w:val="CDIFigure-Table-BodyTextCentre"/>
            </w:pPr>
            <w:r w:rsidRPr="00AE03D8">
              <w:t>305</w:t>
            </w:r>
          </w:p>
        </w:tc>
        <w:tc>
          <w:tcPr>
            <w:tcW w:w="964" w:type="dxa"/>
            <w:tcBorders>
              <w:top w:val="single" w:sz="4" w:space="0" w:color="033636" w:themeColor="text2"/>
            </w:tcBorders>
            <w:tcMar>
              <w:top w:w="96" w:type="dxa"/>
              <w:left w:w="113" w:type="dxa"/>
              <w:bottom w:w="96" w:type="dxa"/>
              <w:right w:w="113" w:type="dxa"/>
            </w:tcMar>
            <w:vAlign w:val="center"/>
          </w:tcPr>
          <w:p w14:paraId="304D56EB" w14:textId="77777777" w:rsidR="00AE03D8" w:rsidRPr="00AE03D8" w:rsidRDefault="00AE03D8" w:rsidP="0043652D">
            <w:pPr>
              <w:pStyle w:val="CDIFigure-Table-BodyTextCentre"/>
            </w:pPr>
            <w:r w:rsidRPr="00AE03D8">
              <w:t>15.5%</w:t>
            </w:r>
          </w:p>
        </w:tc>
        <w:tc>
          <w:tcPr>
            <w:tcW w:w="964" w:type="dxa"/>
            <w:tcBorders>
              <w:top w:val="single" w:sz="4" w:space="0" w:color="033636" w:themeColor="text2"/>
            </w:tcBorders>
            <w:tcMar>
              <w:top w:w="96" w:type="dxa"/>
              <w:left w:w="113" w:type="dxa"/>
              <w:bottom w:w="96" w:type="dxa"/>
              <w:right w:w="113" w:type="dxa"/>
            </w:tcMar>
            <w:vAlign w:val="center"/>
          </w:tcPr>
          <w:p w14:paraId="220C301E" w14:textId="77777777" w:rsidR="00AE03D8" w:rsidRPr="00AE03D8" w:rsidRDefault="00AE03D8" w:rsidP="0043652D">
            <w:pPr>
              <w:pStyle w:val="CDIFigure-Table-BodyTextCentre"/>
            </w:pPr>
            <w:r w:rsidRPr="00AE03D8">
              <w:t>80</w:t>
            </w:r>
          </w:p>
        </w:tc>
        <w:tc>
          <w:tcPr>
            <w:tcW w:w="964" w:type="dxa"/>
            <w:tcBorders>
              <w:top w:val="single" w:sz="4" w:space="0" w:color="033636" w:themeColor="text2"/>
            </w:tcBorders>
            <w:tcMar>
              <w:top w:w="96" w:type="dxa"/>
              <w:left w:w="113" w:type="dxa"/>
              <w:bottom w:w="96" w:type="dxa"/>
              <w:right w:w="113" w:type="dxa"/>
            </w:tcMar>
            <w:vAlign w:val="center"/>
          </w:tcPr>
          <w:p w14:paraId="489EB1F6" w14:textId="77777777" w:rsidR="00AE03D8" w:rsidRPr="00AE03D8" w:rsidRDefault="00AE03D8" w:rsidP="0043652D">
            <w:pPr>
              <w:pStyle w:val="CDIFigure-Table-BodyTextCentre"/>
            </w:pPr>
            <w:r w:rsidRPr="00AE03D8">
              <w:t>15.1%</w:t>
            </w:r>
          </w:p>
        </w:tc>
        <w:tc>
          <w:tcPr>
            <w:tcW w:w="963" w:type="dxa"/>
            <w:tcBorders>
              <w:top w:val="single" w:sz="4" w:space="0" w:color="033636" w:themeColor="text2"/>
            </w:tcBorders>
            <w:tcMar>
              <w:top w:w="96" w:type="dxa"/>
              <w:left w:w="113" w:type="dxa"/>
              <w:bottom w:w="96" w:type="dxa"/>
              <w:right w:w="113" w:type="dxa"/>
            </w:tcMar>
            <w:vAlign w:val="center"/>
          </w:tcPr>
          <w:p w14:paraId="0B1DF3A7" w14:textId="77777777" w:rsidR="00AE03D8" w:rsidRPr="00AE03D8" w:rsidRDefault="00AE03D8" w:rsidP="0043652D">
            <w:pPr>
              <w:pStyle w:val="CDIFigure-Table-BodyTextCentre"/>
            </w:pPr>
            <w:r w:rsidRPr="00AE03D8">
              <w:t>65</w:t>
            </w:r>
          </w:p>
        </w:tc>
        <w:tc>
          <w:tcPr>
            <w:tcW w:w="964" w:type="dxa"/>
            <w:tcBorders>
              <w:top w:val="single" w:sz="4" w:space="0" w:color="033636" w:themeColor="text2"/>
            </w:tcBorders>
            <w:tcMar>
              <w:top w:w="96" w:type="dxa"/>
              <w:left w:w="113" w:type="dxa"/>
              <w:bottom w:w="96" w:type="dxa"/>
              <w:right w:w="113" w:type="dxa"/>
            </w:tcMar>
            <w:vAlign w:val="center"/>
          </w:tcPr>
          <w:p w14:paraId="1718F382" w14:textId="77777777" w:rsidR="00AE03D8" w:rsidRPr="00AE03D8" w:rsidRDefault="00AE03D8" w:rsidP="0043652D">
            <w:pPr>
              <w:pStyle w:val="CDIFigure-Table-BodyTextCentre"/>
            </w:pPr>
            <w:r w:rsidRPr="00AE03D8">
              <w:t>13.8%</w:t>
            </w:r>
          </w:p>
        </w:tc>
        <w:tc>
          <w:tcPr>
            <w:tcW w:w="964" w:type="dxa"/>
            <w:tcBorders>
              <w:top w:val="single" w:sz="4" w:space="0" w:color="033636" w:themeColor="text2"/>
            </w:tcBorders>
            <w:tcMar>
              <w:top w:w="96" w:type="dxa"/>
              <w:left w:w="113" w:type="dxa"/>
              <w:bottom w:w="96" w:type="dxa"/>
              <w:right w:w="113" w:type="dxa"/>
            </w:tcMar>
            <w:vAlign w:val="center"/>
          </w:tcPr>
          <w:p w14:paraId="334291A7" w14:textId="77777777" w:rsidR="00AE03D8" w:rsidRPr="00AE03D8" w:rsidRDefault="00AE03D8" w:rsidP="0043652D">
            <w:pPr>
              <w:pStyle w:val="CDIFigure-Table-BodyTextCentre"/>
            </w:pPr>
            <w:r w:rsidRPr="00AE03D8">
              <w:t>72</w:t>
            </w:r>
          </w:p>
        </w:tc>
        <w:tc>
          <w:tcPr>
            <w:tcW w:w="964" w:type="dxa"/>
            <w:tcBorders>
              <w:top w:val="single" w:sz="4" w:space="0" w:color="033636" w:themeColor="text2"/>
            </w:tcBorders>
            <w:tcMar>
              <w:top w:w="96" w:type="dxa"/>
              <w:left w:w="113" w:type="dxa"/>
              <w:bottom w:w="96" w:type="dxa"/>
              <w:right w:w="113" w:type="dxa"/>
            </w:tcMar>
            <w:vAlign w:val="center"/>
          </w:tcPr>
          <w:p w14:paraId="1BDA7BD4" w14:textId="77777777" w:rsidR="00AE03D8" w:rsidRPr="00AE03D8" w:rsidRDefault="00AE03D8" w:rsidP="0043652D">
            <w:pPr>
              <w:pStyle w:val="CDIFigure-Table-BodyTextCentre"/>
            </w:pPr>
            <w:r w:rsidRPr="00AE03D8">
              <w:t>15.4%</w:t>
            </w:r>
          </w:p>
        </w:tc>
        <w:tc>
          <w:tcPr>
            <w:tcW w:w="964" w:type="dxa"/>
            <w:tcBorders>
              <w:top w:val="single" w:sz="4" w:space="0" w:color="033636" w:themeColor="text2"/>
            </w:tcBorders>
            <w:tcMar>
              <w:top w:w="96" w:type="dxa"/>
              <w:left w:w="113" w:type="dxa"/>
              <w:bottom w:w="96" w:type="dxa"/>
              <w:right w:w="113" w:type="dxa"/>
            </w:tcMar>
            <w:vAlign w:val="center"/>
          </w:tcPr>
          <w:p w14:paraId="27CD246C" w14:textId="77777777" w:rsidR="00AE03D8" w:rsidRPr="00AE03D8" w:rsidRDefault="00AE03D8" w:rsidP="0043652D">
            <w:pPr>
              <w:pStyle w:val="CDIFigure-Table-BodyTextCentre"/>
            </w:pPr>
            <w:r w:rsidRPr="00AE03D8">
              <w:t>82</w:t>
            </w:r>
          </w:p>
        </w:tc>
        <w:tc>
          <w:tcPr>
            <w:tcW w:w="963" w:type="dxa"/>
            <w:tcBorders>
              <w:top w:val="single" w:sz="4" w:space="0" w:color="033636" w:themeColor="text2"/>
            </w:tcBorders>
            <w:tcMar>
              <w:top w:w="96" w:type="dxa"/>
              <w:left w:w="113" w:type="dxa"/>
              <w:bottom w:w="96" w:type="dxa"/>
              <w:right w:w="113" w:type="dxa"/>
            </w:tcMar>
            <w:vAlign w:val="center"/>
          </w:tcPr>
          <w:p w14:paraId="03FB03C0" w14:textId="77777777" w:rsidR="00AE03D8" w:rsidRPr="00AE03D8" w:rsidRDefault="00AE03D8" w:rsidP="0043652D">
            <w:pPr>
              <w:pStyle w:val="CDIFigure-Table-BodyTextCentre"/>
            </w:pPr>
            <w:r w:rsidRPr="00AE03D8">
              <w:t>16.4%</w:t>
            </w:r>
          </w:p>
        </w:tc>
      </w:tr>
      <w:tr w:rsidR="0043652D" w:rsidRPr="00AE03D8" w14:paraId="5CBE70F4" w14:textId="77777777" w:rsidTr="0043652D">
        <w:trPr>
          <w:divId w:val="935526654"/>
          <w:trHeight w:val="20"/>
        </w:trPr>
        <w:tc>
          <w:tcPr>
            <w:tcW w:w="2551" w:type="dxa"/>
            <w:vMerge/>
            <w:tcBorders>
              <w:bottom w:val="single" w:sz="4" w:space="0" w:color="033636" w:themeColor="text2"/>
            </w:tcBorders>
            <w:shd w:val="clear" w:color="auto" w:fill="C5FFEF" w:themeFill="background2" w:themeFillTint="33"/>
          </w:tcPr>
          <w:p w14:paraId="51AA98BF" w14:textId="77777777" w:rsidR="00AE03D8" w:rsidRPr="00AE03D8" w:rsidRDefault="00AE03D8" w:rsidP="00AE03D8"/>
        </w:tc>
        <w:tc>
          <w:tcPr>
            <w:tcW w:w="2155" w:type="dxa"/>
            <w:shd w:val="clear" w:color="auto" w:fill="F2F2F2" w:themeFill="background1" w:themeFillShade="F2"/>
            <w:tcMar>
              <w:top w:w="96" w:type="dxa"/>
              <w:left w:w="113" w:type="dxa"/>
              <w:bottom w:w="96" w:type="dxa"/>
              <w:right w:w="113" w:type="dxa"/>
            </w:tcMar>
            <w:vAlign w:val="center"/>
          </w:tcPr>
          <w:p w14:paraId="18B2C070" w14:textId="77777777" w:rsidR="00AE03D8" w:rsidRPr="00AE03D8" w:rsidRDefault="00AE03D8" w:rsidP="0043652D">
            <w:pPr>
              <w:pStyle w:val="CDIFigure-Table-BodyTextLeft"/>
            </w:pPr>
            <w:r w:rsidRPr="00AE03D8">
              <w:t>One dose</w:t>
            </w:r>
          </w:p>
        </w:tc>
        <w:tc>
          <w:tcPr>
            <w:tcW w:w="963" w:type="dxa"/>
            <w:shd w:val="clear" w:color="auto" w:fill="F2F2F2" w:themeFill="background1" w:themeFillShade="F2"/>
            <w:tcMar>
              <w:top w:w="96" w:type="dxa"/>
              <w:left w:w="113" w:type="dxa"/>
              <w:bottom w:w="96" w:type="dxa"/>
              <w:right w:w="113" w:type="dxa"/>
            </w:tcMar>
            <w:vAlign w:val="center"/>
          </w:tcPr>
          <w:p w14:paraId="1C8D557E" w14:textId="77777777" w:rsidR="00AE03D8" w:rsidRPr="00AE03D8" w:rsidRDefault="00AE03D8" w:rsidP="0043652D">
            <w:pPr>
              <w:pStyle w:val="CDIFigure-Table-BodyTextCentre"/>
            </w:pPr>
            <w:r w:rsidRPr="00AE03D8">
              <w:t>25</w:t>
            </w:r>
          </w:p>
        </w:tc>
        <w:tc>
          <w:tcPr>
            <w:tcW w:w="964" w:type="dxa"/>
            <w:shd w:val="clear" w:color="auto" w:fill="F2F2F2" w:themeFill="background1" w:themeFillShade="F2"/>
            <w:tcMar>
              <w:top w:w="96" w:type="dxa"/>
              <w:left w:w="113" w:type="dxa"/>
              <w:bottom w:w="96" w:type="dxa"/>
              <w:right w:w="113" w:type="dxa"/>
            </w:tcMar>
            <w:vAlign w:val="center"/>
          </w:tcPr>
          <w:p w14:paraId="75157D37" w14:textId="77777777" w:rsidR="00AE03D8" w:rsidRPr="00AE03D8" w:rsidRDefault="00AE03D8" w:rsidP="0043652D">
            <w:pPr>
              <w:pStyle w:val="CDIFigure-Table-BodyTextCentre"/>
            </w:pPr>
            <w:r w:rsidRPr="00AE03D8">
              <w:t>1.3%</w:t>
            </w:r>
          </w:p>
        </w:tc>
        <w:tc>
          <w:tcPr>
            <w:tcW w:w="964" w:type="dxa"/>
            <w:shd w:val="clear" w:color="auto" w:fill="F2F2F2" w:themeFill="background1" w:themeFillShade="F2"/>
            <w:tcMar>
              <w:top w:w="96" w:type="dxa"/>
              <w:left w:w="113" w:type="dxa"/>
              <w:bottom w:w="96" w:type="dxa"/>
              <w:right w:w="113" w:type="dxa"/>
            </w:tcMar>
            <w:vAlign w:val="center"/>
          </w:tcPr>
          <w:p w14:paraId="54719AE5" w14:textId="77777777" w:rsidR="00AE03D8" w:rsidRPr="00AE03D8" w:rsidRDefault="00AE03D8" w:rsidP="0043652D">
            <w:pPr>
              <w:pStyle w:val="CDIFigure-Table-BodyTextCentre"/>
            </w:pPr>
            <w:r w:rsidRPr="00AE03D8">
              <w:t>8</w:t>
            </w:r>
          </w:p>
        </w:tc>
        <w:tc>
          <w:tcPr>
            <w:tcW w:w="964" w:type="dxa"/>
            <w:shd w:val="clear" w:color="auto" w:fill="F2F2F2" w:themeFill="background1" w:themeFillShade="F2"/>
            <w:tcMar>
              <w:top w:w="96" w:type="dxa"/>
              <w:left w:w="113" w:type="dxa"/>
              <w:bottom w:w="96" w:type="dxa"/>
              <w:right w:w="113" w:type="dxa"/>
            </w:tcMar>
            <w:vAlign w:val="center"/>
          </w:tcPr>
          <w:p w14:paraId="25501D08" w14:textId="77777777" w:rsidR="00AE03D8" w:rsidRPr="00AE03D8" w:rsidRDefault="00AE03D8" w:rsidP="0043652D">
            <w:pPr>
              <w:pStyle w:val="CDIFigure-Table-BodyTextCentre"/>
            </w:pPr>
            <w:r w:rsidRPr="00AE03D8">
              <w:t>1.5%</w:t>
            </w:r>
          </w:p>
        </w:tc>
        <w:tc>
          <w:tcPr>
            <w:tcW w:w="963" w:type="dxa"/>
            <w:shd w:val="clear" w:color="auto" w:fill="F2F2F2" w:themeFill="background1" w:themeFillShade="F2"/>
            <w:tcMar>
              <w:top w:w="96" w:type="dxa"/>
              <w:left w:w="113" w:type="dxa"/>
              <w:bottom w:w="96" w:type="dxa"/>
              <w:right w:w="113" w:type="dxa"/>
            </w:tcMar>
            <w:vAlign w:val="center"/>
          </w:tcPr>
          <w:p w14:paraId="0D768D95" w14:textId="77777777" w:rsidR="00AE03D8" w:rsidRPr="00AE03D8" w:rsidRDefault="00AE03D8" w:rsidP="0043652D">
            <w:pPr>
              <w:pStyle w:val="CDIFigure-Table-BodyTextCentre"/>
            </w:pPr>
            <w:r w:rsidRPr="00AE03D8">
              <w:t>6</w:t>
            </w:r>
          </w:p>
        </w:tc>
        <w:tc>
          <w:tcPr>
            <w:tcW w:w="964" w:type="dxa"/>
            <w:shd w:val="clear" w:color="auto" w:fill="F2F2F2" w:themeFill="background1" w:themeFillShade="F2"/>
            <w:tcMar>
              <w:top w:w="96" w:type="dxa"/>
              <w:left w:w="113" w:type="dxa"/>
              <w:bottom w:w="96" w:type="dxa"/>
              <w:right w:w="113" w:type="dxa"/>
            </w:tcMar>
            <w:vAlign w:val="center"/>
          </w:tcPr>
          <w:p w14:paraId="18224028" w14:textId="77777777" w:rsidR="00AE03D8" w:rsidRPr="00AE03D8" w:rsidRDefault="00AE03D8" w:rsidP="0043652D">
            <w:pPr>
              <w:pStyle w:val="CDIFigure-Table-BodyTextCentre"/>
            </w:pPr>
            <w:r w:rsidRPr="00AE03D8">
              <w:t>1.3%</w:t>
            </w:r>
          </w:p>
        </w:tc>
        <w:tc>
          <w:tcPr>
            <w:tcW w:w="964" w:type="dxa"/>
            <w:shd w:val="clear" w:color="auto" w:fill="F2F2F2" w:themeFill="background1" w:themeFillShade="F2"/>
            <w:tcMar>
              <w:top w:w="96" w:type="dxa"/>
              <w:left w:w="113" w:type="dxa"/>
              <w:bottom w:w="96" w:type="dxa"/>
              <w:right w:w="113" w:type="dxa"/>
            </w:tcMar>
            <w:vAlign w:val="center"/>
          </w:tcPr>
          <w:p w14:paraId="75040CC1" w14:textId="77777777" w:rsidR="00AE03D8" w:rsidRPr="00AE03D8" w:rsidRDefault="00AE03D8" w:rsidP="0043652D">
            <w:pPr>
              <w:pStyle w:val="CDIFigure-Table-BodyTextCentre"/>
            </w:pPr>
            <w:r w:rsidRPr="00AE03D8">
              <w:t>6</w:t>
            </w:r>
          </w:p>
        </w:tc>
        <w:tc>
          <w:tcPr>
            <w:tcW w:w="964" w:type="dxa"/>
            <w:shd w:val="clear" w:color="auto" w:fill="F2F2F2" w:themeFill="background1" w:themeFillShade="F2"/>
            <w:tcMar>
              <w:top w:w="96" w:type="dxa"/>
              <w:left w:w="113" w:type="dxa"/>
              <w:bottom w:w="96" w:type="dxa"/>
              <w:right w:w="113" w:type="dxa"/>
            </w:tcMar>
            <w:vAlign w:val="center"/>
          </w:tcPr>
          <w:p w14:paraId="376A3A3B" w14:textId="77777777" w:rsidR="00AE03D8" w:rsidRPr="00AE03D8" w:rsidRDefault="00AE03D8" w:rsidP="0043652D">
            <w:pPr>
              <w:pStyle w:val="CDIFigure-Table-BodyTextCentre"/>
            </w:pPr>
            <w:r w:rsidRPr="00AE03D8">
              <w:t>1.3%</w:t>
            </w:r>
          </w:p>
        </w:tc>
        <w:tc>
          <w:tcPr>
            <w:tcW w:w="964" w:type="dxa"/>
            <w:shd w:val="clear" w:color="auto" w:fill="F2F2F2" w:themeFill="background1" w:themeFillShade="F2"/>
            <w:tcMar>
              <w:top w:w="96" w:type="dxa"/>
              <w:left w:w="113" w:type="dxa"/>
              <w:bottom w:w="96" w:type="dxa"/>
              <w:right w:w="113" w:type="dxa"/>
            </w:tcMar>
            <w:vAlign w:val="center"/>
          </w:tcPr>
          <w:p w14:paraId="0148B57D" w14:textId="77777777" w:rsidR="00AE03D8" w:rsidRPr="00AE03D8" w:rsidRDefault="00AE03D8" w:rsidP="0043652D">
            <w:pPr>
              <w:pStyle w:val="CDIFigure-Table-BodyTextCentre"/>
            </w:pPr>
            <w:r w:rsidRPr="00AE03D8">
              <w:t>5</w:t>
            </w:r>
          </w:p>
        </w:tc>
        <w:tc>
          <w:tcPr>
            <w:tcW w:w="963" w:type="dxa"/>
            <w:shd w:val="clear" w:color="auto" w:fill="F2F2F2" w:themeFill="background1" w:themeFillShade="F2"/>
            <w:tcMar>
              <w:top w:w="96" w:type="dxa"/>
              <w:left w:w="113" w:type="dxa"/>
              <w:bottom w:w="96" w:type="dxa"/>
              <w:right w:w="113" w:type="dxa"/>
            </w:tcMar>
            <w:vAlign w:val="center"/>
          </w:tcPr>
          <w:p w14:paraId="5D673DE5" w14:textId="77777777" w:rsidR="00AE03D8" w:rsidRPr="00AE03D8" w:rsidRDefault="00AE03D8" w:rsidP="0043652D">
            <w:pPr>
              <w:pStyle w:val="CDIFigure-Table-BodyTextCentre"/>
            </w:pPr>
            <w:r w:rsidRPr="00AE03D8">
              <w:t>1.0%</w:t>
            </w:r>
          </w:p>
        </w:tc>
      </w:tr>
      <w:tr w:rsidR="00AE03D8" w:rsidRPr="00AE03D8" w14:paraId="5B7EE630" w14:textId="77777777" w:rsidTr="0043652D">
        <w:trPr>
          <w:divId w:val="935526654"/>
          <w:trHeight w:val="20"/>
        </w:trPr>
        <w:tc>
          <w:tcPr>
            <w:tcW w:w="2551" w:type="dxa"/>
            <w:vMerge/>
            <w:tcBorders>
              <w:bottom w:val="single" w:sz="4" w:space="0" w:color="033636" w:themeColor="text2"/>
            </w:tcBorders>
            <w:shd w:val="clear" w:color="auto" w:fill="C5FFEF" w:themeFill="background2" w:themeFillTint="33"/>
          </w:tcPr>
          <w:p w14:paraId="11002220" w14:textId="77777777" w:rsidR="00AE03D8" w:rsidRPr="00AE03D8" w:rsidRDefault="00AE03D8" w:rsidP="00AE03D8"/>
        </w:tc>
        <w:tc>
          <w:tcPr>
            <w:tcW w:w="2155" w:type="dxa"/>
            <w:tcMar>
              <w:top w:w="96" w:type="dxa"/>
              <w:left w:w="113" w:type="dxa"/>
              <w:bottom w:w="96" w:type="dxa"/>
              <w:right w:w="113" w:type="dxa"/>
            </w:tcMar>
            <w:vAlign w:val="center"/>
          </w:tcPr>
          <w:p w14:paraId="4D29E52A" w14:textId="77777777" w:rsidR="00AE03D8" w:rsidRPr="00AE03D8" w:rsidRDefault="00AE03D8" w:rsidP="0043652D">
            <w:pPr>
              <w:pStyle w:val="CDIFigure-Table-BodyTextLeft"/>
            </w:pPr>
            <w:r w:rsidRPr="00AE03D8">
              <w:t>Two doses</w:t>
            </w:r>
          </w:p>
        </w:tc>
        <w:tc>
          <w:tcPr>
            <w:tcW w:w="963" w:type="dxa"/>
            <w:tcMar>
              <w:top w:w="96" w:type="dxa"/>
              <w:left w:w="113" w:type="dxa"/>
              <w:bottom w:w="96" w:type="dxa"/>
              <w:right w:w="113" w:type="dxa"/>
            </w:tcMar>
            <w:vAlign w:val="center"/>
          </w:tcPr>
          <w:p w14:paraId="5B49574B" w14:textId="77777777" w:rsidR="00AE03D8" w:rsidRPr="00AE03D8" w:rsidRDefault="00AE03D8" w:rsidP="0043652D">
            <w:pPr>
              <w:pStyle w:val="CDIFigure-Table-BodyTextCentre"/>
            </w:pPr>
            <w:r w:rsidRPr="00AE03D8">
              <w:t>388</w:t>
            </w:r>
          </w:p>
        </w:tc>
        <w:tc>
          <w:tcPr>
            <w:tcW w:w="964" w:type="dxa"/>
            <w:tcMar>
              <w:top w:w="96" w:type="dxa"/>
              <w:left w:w="113" w:type="dxa"/>
              <w:bottom w:w="96" w:type="dxa"/>
              <w:right w:w="113" w:type="dxa"/>
            </w:tcMar>
            <w:vAlign w:val="center"/>
          </w:tcPr>
          <w:p w14:paraId="27A6CCB0" w14:textId="77777777" w:rsidR="00AE03D8" w:rsidRPr="00AE03D8" w:rsidRDefault="00AE03D8" w:rsidP="0043652D">
            <w:pPr>
              <w:pStyle w:val="CDIFigure-Table-BodyTextCentre"/>
            </w:pPr>
            <w:r w:rsidRPr="00AE03D8">
              <w:t>19.7%</w:t>
            </w:r>
          </w:p>
        </w:tc>
        <w:tc>
          <w:tcPr>
            <w:tcW w:w="964" w:type="dxa"/>
            <w:tcMar>
              <w:top w:w="96" w:type="dxa"/>
              <w:left w:w="113" w:type="dxa"/>
              <w:bottom w:w="96" w:type="dxa"/>
              <w:right w:w="113" w:type="dxa"/>
            </w:tcMar>
            <w:vAlign w:val="center"/>
          </w:tcPr>
          <w:p w14:paraId="450739C1" w14:textId="77777777" w:rsidR="00AE03D8" w:rsidRPr="00AE03D8" w:rsidRDefault="00AE03D8" w:rsidP="0043652D">
            <w:pPr>
              <w:pStyle w:val="CDIFigure-Table-BodyTextCentre"/>
            </w:pPr>
            <w:r w:rsidRPr="00AE03D8">
              <w:t>112</w:t>
            </w:r>
          </w:p>
        </w:tc>
        <w:tc>
          <w:tcPr>
            <w:tcW w:w="964" w:type="dxa"/>
            <w:tcMar>
              <w:top w:w="96" w:type="dxa"/>
              <w:left w:w="113" w:type="dxa"/>
              <w:bottom w:w="96" w:type="dxa"/>
              <w:right w:w="113" w:type="dxa"/>
            </w:tcMar>
            <w:vAlign w:val="center"/>
          </w:tcPr>
          <w:p w14:paraId="413F7555" w14:textId="77777777" w:rsidR="00AE03D8" w:rsidRPr="00AE03D8" w:rsidRDefault="00AE03D8" w:rsidP="0043652D">
            <w:pPr>
              <w:pStyle w:val="CDIFigure-Table-BodyTextCentre"/>
            </w:pPr>
            <w:r w:rsidRPr="00AE03D8">
              <w:t>21.2%</w:t>
            </w:r>
          </w:p>
        </w:tc>
        <w:tc>
          <w:tcPr>
            <w:tcW w:w="963" w:type="dxa"/>
            <w:tcMar>
              <w:top w:w="96" w:type="dxa"/>
              <w:left w:w="113" w:type="dxa"/>
              <w:bottom w:w="96" w:type="dxa"/>
              <w:right w:w="113" w:type="dxa"/>
            </w:tcMar>
            <w:vAlign w:val="center"/>
          </w:tcPr>
          <w:p w14:paraId="3A851E03" w14:textId="77777777" w:rsidR="00AE03D8" w:rsidRPr="00AE03D8" w:rsidRDefault="00AE03D8" w:rsidP="0043652D">
            <w:pPr>
              <w:pStyle w:val="CDIFigure-Table-BodyTextCentre"/>
            </w:pPr>
            <w:r w:rsidRPr="00AE03D8">
              <w:t>103</w:t>
            </w:r>
          </w:p>
        </w:tc>
        <w:tc>
          <w:tcPr>
            <w:tcW w:w="964" w:type="dxa"/>
            <w:tcMar>
              <w:top w:w="96" w:type="dxa"/>
              <w:left w:w="113" w:type="dxa"/>
              <w:bottom w:w="96" w:type="dxa"/>
              <w:right w:w="113" w:type="dxa"/>
            </w:tcMar>
            <w:vAlign w:val="center"/>
          </w:tcPr>
          <w:p w14:paraId="1FDD34A8" w14:textId="77777777" w:rsidR="00AE03D8" w:rsidRPr="00AE03D8" w:rsidRDefault="00AE03D8" w:rsidP="0043652D">
            <w:pPr>
              <w:pStyle w:val="CDIFigure-Table-BodyTextCentre"/>
            </w:pPr>
            <w:r w:rsidRPr="00AE03D8">
              <w:t>21.9%</w:t>
            </w:r>
          </w:p>
        </w:tc>
        <w:tc>
          <w:tcPr>
            <w:tcW w:w="964" w:type="dxa"/>
            <w:tcMar>
              <w:top w:w="96" w:type="dxa"/>
              <w:left w:w="113" w:type="dxa"/>
              <w:bottom w:w="96" w:type="dxa"/>
              <w:right w:w="113" w:type="dxa"/>
            </w:tcMar>
            <w:vAlign w:val="center"/>
          </w:tcPr>
          <w:p w14:paraId="0439C32A" w14:textId="77777777" w:rsidR="00AE03D8" w:rsidRPr="00AE03D8" w:rsidRDefault="00AE03D8" w:rsidP="0043652D">
            <w:pPr>
              <w:pStyle w:val="CDIFigure-Table-BodyTextCentre"/>
            </w:pPr>
            <w:r w:rsidRPr="00AE03D8">
              <w:t>85</w:t>
            </w:r>
          </w:p>
        </w:tc>
        <w:tc>
          <w:tcPr>
            <w:tcW w:w="964" w:type="dxa"/>
            <w:tcMar>
              <w:top w:w="96" w:type="dxa"/>
              <w:left w:w="113" w:type="dxa"/>
              <w:bottom w:w="96" w:type="dxa"/>
              <w:right w:w="113" w:type="dxa"/>
            </w:tcMar>
            <w:vAlign w:val="center"/>
          </w:tcPr>
          <w:p w14:paraId="3700C33A" w14:textId="77777777" w:rsidR="00AE03D8" w:rsidRPr="00AE03D8" w:rsidRDefault="00AE03D8" w:rsidP="0043652D">
            <w:pPr>
              <w:pStyle w:val="CDIFigure-Table-BodyTextCentre"/>
            </w:pPr>
            <w:r w:rsidRPr="00AE03D8">
              <w:t>18.1%</w:t>
            </w:r>
          </w:p>
        </w:tc>
        <w:tc>
          <w:tcPr>
            <w:tcW w:w="964" w:type="dxa"/>
            <w:tcMar>
              <w:top w:w="96" w:type="dxa"/>
              <w:left w:w="113" w:type="dxa"/>
              <w:bottom w:w="96" w:type="dxa"/>
              <w:right w:w="113" w:type="dxa"/>
            </w:tcMar>
            <w:vAlign w:val="center"/>
          </w:tcPr>
          <w:p w14:paraId="334E5EEA" w14:textId="77777777" w:rsidR="00AE03D8" w:rsidRPr="00AE03D8" w:rsidRDefault="00AE03D8" w:rsidP="0043652D">
            <w:pPr>
              <w:pStyle w:val="CDIFigure-Table-BodyTextCentre"/>
            </w:pPr>
            <w:r w:rsidRPr="00AE03D8">
              <w:t>88</w:t>
            </w:r>
          </w:p>
        </w:tc>
        <w:tc>
          <w:tcPr>
            <w:tcW w:w="963" w:type="dxa"/>
            <w:tcMar>
              <w:top w:w="96" w:type="dxa"/>
              <w:left w:w="113" w:type="dxa"/>
              <w:bottom w:w="96" w:type="dxa"/>
              <w:right w:w="113" w:type="dxa"/>
            </w:tcMar>
            <w:vAlign w:val="center"/>
          </w:tcPr>
          <w:p w14:paraId="609BFE7D" w14:textId="77777777" w:rsidR="00AE03D8" w:rsidRPr="00AE03D8" w:rsidRDefault="00AE03D8" w:rsidP="0043652D">
            <w:pPr>
              <w:pStyle w:val="CDIFigure-Table-BodyTextCentre"/>
            </w:pPr>
            <w:r w:rsidRPr="00AE03D8">
              <w:t>17.6%</w:t>
            </w:r>
          </w:p>
        </w:tc>
      </w:tr>
      <w:tr w:rsidR="0043652D" w:rsidRPr="00AE03D8" w14:paraId="1D348F56" w14:textId="77777777" w:rsidTr="0043652D">
        <w:trPr>
          <w:divId w:val="935526654"/>
          <w:trHeight w:val="20"/>
        </w:trPr>
        <w:tc>
          <w:tcPr>
            <w:tcW w:w="2551" w:type="dxa"/>
            <w:vMerge/>
            <w:tcBorders>
              <w:bottom w:val="single" w:sz="4" w:space="0" w:color="033636" w:themeColor="text2"/>
            </w:tcBorders>
            <w:shd w:val="clear" w:color="auto" w:fill="C5FFEF" w:themeFill="background2" w:themeFillTint="33"/>
          </w:tcPr>
          <w:p w14:paraId="2E51A50B" w14:textId="77777777" w:rsidR="00AE03D8" w:rsidRPr="00AE03D8" w:rsidRDefault="00AE03D8" w:rsidP="00AE03D8"/>
        </w:tc>
        <w:tc>
          <w:tcPr>
            <w:tcW w:w="2155" w:type="dxa"/>
            <w:shd w:val="clear" w:color="auto" w:fill="F2F2F2" w:themeFill="background1" w:themeFillShade="F2"/>
            <w:tcMar>
              <w:top w:w="96" w:type="dxa"/>
              <w:left w:w="113" w:type="dxa"/>
              <w:bottom w:w="96" w:type="dxa"/>
              <w:right w:w="113" w:type="dxa"/>
            </w:tcMar>
            <w:vAlign w:val="center"/>
          </w:tcPr>
          <w:p w14:paraId="0D35562A" w14:textId="77777777" w:rsidR="00AE03D8" w:rsidRPr="00AE03D8" w:rsidRDefault="00AE03D8" w:rsidP="0043652D">
            <w:pPr>
              <w:pStyle w:val="CDIFigure-Table-BodyTextLeft"/>
            </w:pPr>
            <w:r w:rsidRPr="00AE03D8">
              <w:t>Three doses</w:t>
            </w:r>
          </w:p>
        </w:tc>
        <w:tc>
          <w:tcPr>
            <w:tcW w:w="963" w:type="dxa"/>
            <w:shd w:val="clear" w:color="auto" w:fill="F2F2F2" w:themeFill="background1" w:themeFillShade="F2"/>
            <w:tcMar>
              <w:top w:w="96" w:type="dxa"/>
              <w:left w:w="113" w:type="dxa"/>
              <w:bottom w:w="96" w:type="dxa"/>
              <w:right w:w="113" w:type="dxa"/>
            </w:tcMar>
            <w:vAlign w:val="center"/>
          </w:tcPr>
          <w:p w14:paraId="52374174" w14:textId="77777777" w:rsidR="00AE03D8" w:rsidRPr="00AE03D8" w:rsidRDefault="00AE03D8" w:rsidP="0043652D">
            <w:pPr>
              <w:pStyle w:val="CDIFigure-Table-BodyTextCentre"/>
            </w:pPr>
            <w:r w:rsidRPr="00AE03D8">
              <w:t>807</w:t>
            </w:r>
          </w:p>
        </w:tc>
        <w:tc>
          <w:tcPr>
            <w:tcW w:w="964" w:type="dxa"/>
            <w:shd w:val="clear" w:color="auto" w:fill="F2F2F2" w:themeFill="background1" w:themeFillShade="F2"/>
            <w:tcMar>
              <w:top w:w="96" w:type="dxa"/>
              <w:left w:w="113" w:type="dxa"/>
              <w:bottom w:w="96" w:type="dxa"/>
              <w:right w:w="113" w:type="dxa"/>
            </w:tcMar>
            <w:vAlign w:val="center"/>
          </w:tcPr>
          <w:p w14:paraId="2CD6E1D3" w14:textId="77777777" w:rsidR="00AE03D8" w:rsidRPr="00AE03D8" w:rsidRDefault="00AE03D8" w:rsidP="0043652D">
            <w:pPr>
              <w:pStyle w:val="CDIFigure-Table-BodyTextCentre"/>
            </w:pPr>
            <w:r w:rsidRPr="00AE03D8">
              <w:t>40.9%</w:t>
            </w:r>
          </w:p>
        </w:tc>
        <w:tc>
          <w:tcPr>
            <w:tcW w:w="964" w:type="dxa"/>
            <w:shd w:val="clear" w:color="auto" w:fill="F2F2F2" w:themeFill="background1" w:themeFillShade="F2"/>
            <w:tcMar>
              <w:top w:w="96" w:type="dxa"/>
              <w:left w:w="113" w:type="dxa"/>
              <w:bottom w:w="96" w:type="dxa"/>
              <w:right w:w="113" w:type="dxa"/>
            </w:tcMar>
            <w:vAlign w:val="center"/>
          </w:tcPr>
          <w:p w14:paraId="4AA21798" w14:textId="77777777" w:rsidR="00AE03D8" w:rsidRPr="00AE03D8" w:rsidRDefault="00AE03D8" w:rsidP="0043652D">
            <w:pPr>
              <w:pStyle w:val="CDIFigure-Table-BodyTextCentre"/>
            </w:pPr>
            <w:r w:rsidRPr="00AE03D8">
              <w:t>254</w:t>
            </w:r>
          </w:p>
        </w:tc>
        <w:tc>
          <w:tcPr>
            <w:tcW w:w="964" w:type="dxa"/>
            <w:shd w:val="clear" w:color="auto" w:fill="F2F2F2" w:themeFill="background1" w:themeFillShade="F2"/>
            <w:tcMar>
              <w:top w:w="96" w:type="dxa"/>
              <w:left w:w="113" w:type="dxa"/>
              <w:bottom w:w="96" w:type="dxa"/>
              <w:right w:w="113" w:type="dxa"/>
            </w:tcMar>
            <w:vAlign w:val="center"/>
          </w:tcPr>
          <w:p w14:paraId="4770080C" w14:textId="77777777" w:rsidR="00AE03D8" w:rsidRPr="00AE03D8" w:rsidRDefault="00AE03D8" w:rsidP="0043652D">
            <w:pPr>
              <w:pStyle w:val="CDIFigure-Table-BodyTextCentre"/>
            </w:pPr>
            <w:r w:rsidRPr="00AE03D8">
              <w:t>48.0%</w:t>
            </w:r>
          </w:p>
        </w:tc>
        <w:tc>
          <w:tcPr>
            <w:tcW w:w="963" w:type="dxa"/>
            <w:shd w:val="clear" w:color="auto" w:fill="F2F2F2" w:themeFill="background1" w:themeFillShade="F2"/>
            <w:tcMar>
              <w:top w:w="96" w:type="dxa"/>
              <w:left w:w="113" w:type="dxa"/>
              <w:bottom w:w="96" w:type="dxa"/>
              <w:right w:w="113" w:type="dxa"/>
            </w:tcMar>
            <w:vAlign w:val="center"/>
          </w:tcPr>
          <w:p w14:paraId="2FF1886E" w14:textId="77777777" w:rsidR="00AE03D8" w:rsidRPr="00AE03D8" w:rsidRDefault="00AE03D8" w:rsidP="0043652D">
            <w:pPr>
              <w:pStyle w:val="CDIFigure-Table-BodyTextCentre"/>
            </w:pPr>
            <w:r w:rsidRPr="00AE03D8">
              <w:t>196</w:t>
            </w:r>
          </w:p>
        </w:tc>
        <w:tc>
          <w:tcPr>
            <w:tcW w:w="964" w:type="dxa"/>
            <w:shd w:val="clear" w:color="auto" w:fill="F2F2F2" w:themeFill="background1" w:themeFillShade="F2"/>
            <w:tcMar>
              <w:top w:w="96" w:type="dxa"/>
              <w:left w:w="113" w:type="dxa"/>
              <w:bottom w:w="96" w:type="dxa"/>
              <w:right w:w="113" w:type="dxa"/>
            </w:tcMar>
            <w:vAlign w:val="center"/>
          </w:tcPr>
          <w:p w14:paraId="600BB628" w14:textId="77777777" w:rsidR="00AE03D8" w:rsidRPr="00AE03D8" w:rsidRDefault="00AE03D8" w:rsidP="0043652D">
            <w:pPr>
              <w:pStyle w:val="CDIFigure-Table-BodyTextCentre"/>
            </w:pPr>
            <w:r w:rsidRPr="00AE03D8">
              <w:t>41.7%</w:t>
            </w:r>
          </w:p>
        </w:tc>
        <w:tc>
          <w:tcPr>
            <w:tcW w:w="964" w:type="dxa"/>
            <w:shd w:val="clear" w:color="auto" w:fill="F2F2F2" w:themeFill="background1" w:themeFillShade="F2"/>
            <w:tcMar>
              <w:top w:w="96" w:type="dxa"/>
              <w:left w:w="113" w:type="dxa"/>
              <w:bottom w:w="96" w:type="dxa"/>
              <w:right w:w="113" w:type="dxa"/>
            </w:tcMar>
            <w:vAlign w:val="center"/>
          </w:tcPr>
          <w:p w14:paraId="3C580056" w14:textId="77777777" w:rsidR="00AE03D8" w:rsidRPr="00AE03D8" w:rsidRDefault="00AE03D8" w:rsidP="0043652D">
            <w:pPr>
              <w:pStyle w:val="CDIFigure-Table-BodyTextCentre"/>
            </w:pPr>
            <w:r w:rsidRPr="00AE03D8">
              <w:t>159</w:t>
            </w:r>
          </w:p>
        </w:tc>
        <w:tc>
          <w:tcPr>
            <w:tcW w:w="964" w:type="dxa"/>
            <w:shd w:val="clear" w:color="auto" w:fill="F2F2F2" w:themeFill="background1" w:themeFillShade="F2"/>
            <w:tcMar>
              <w:top w:w="96" w:type="dxa"/>
              <w:left w:w="113" w:type="dxa"/>
              <w:bottom w:w="96" w:type="dxa"/>
              <w:right w:w="113" w:type="dxa"/>
            </w:tcMar>
            <w:vAlign w:val="center"/>
          </w:tcPr>
          <w:p w14:paraId="1711BAFC" w14:textId="77777777" w:rsidR="00AE03D8" w:rsidRPr="00AE03D8" w:rsidRDefault="00AE03D8" w:rsidP="0043652D">
            <w:pPr>
              <w:pStyle w:val="CDIFigure-Table-BodyTextCentre"/>
            </w:pPr>
            <w:r w:rsidRPr="00AE03D8">
              <w:t>33.9%</w:t>
            </w:r>
          </w:p>
        </w:tc>
        <w:tc>
          <w:tcPr>
            <w:tcW w:w="964" w:type="dxa"/>
            <w:shd w:val="clear" w:color="auto" w:fill="F2F2F2" w:themeFill="background1" w:themeFillShade="F2"/>
            <w:tcMar>
              <w:top w:w="96" w:type="dxa"/>
              <w:left w:w="113" w:type="dxa"/>
              <w:bottom w:w="96" w:type="dxa"/>
              <w:right w:w="113" w:type="dxa"/>
            </w:tcMar>
            <w:vAlign w:val="center"/>
          </w:tcPr>
          <w:p w14:paraId="1E3F23ED" w14:textId="77777777" w:rsidR="00AE03D8" w:rsidRPr="00AE03D8" w:rsidRDefault="00AE03D8" w:rsidP="0043652D">
            <w:pPr>
              <w:pStyle w:val="CDIFigure-Table-BodyTextCentre"/>
            </w:pPr>
            <w:r w:rsidRPr="00AE03D8">
              <w:t>198</w:t>
            </w:r>
          </w:p>
        </w:tc>
        <w:tc>
          <w:tcPr>
            <w:tcW w:w="963" w:type="dxa"/>
            <w:shd w:val="clear" w:color="auto" w:fill="F2F2F2" w:themeFill="background1" w:themeFillShade="F2"/>
            <w:tcMar>
              <w:top w:w="96" w:type="dxa"/>
              <w:left w:w="113" w:type="dxa"/>
              <w:bottom w:w="96" w:type="dxa"/>
              <w:right w:w="113" w:type="dxa"/>
            </w:tcMar>
            <w:vAlign w:val="center"/>
          </w:tcPr>
          <w:p w14:paraId="7751EE6C" w14:textId="77777777" w:rsidR="00AE03D8" w:rsidRPr="00AE03D8" w:rsidRDefault="00AE03D8" w:rsidP="0043652D">
            <w:pPr>
              <w:pStyle w:val="CDIFigure-Table-BodyTextCentre"/>
            </w:pPr>
            <w:r w:rsidRPr="00AE03D8">
              <w:t>39.6%</w:t>
            </w:r>
          </w:p>
        </w:tc>
      </w:tr>
      <w:tr w:rsidR="00AE03D8" w:rsidRPr="00AE03D8" w14:paraId="6146D7ED"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046B9184" w14:textId="77777777" w:rsidR="00AE03D8" w:rsidRPr="00AE03D8" w:rsidRDefault="00AE03D8" w:rsidP="00AE03D8"/>
        </w:tc>
        <w:tc>
          <w:tcPr>
            <w:tcW w:w="2155" w:type="dxa"/>
            <w:tcMar>
              <w:top w:w="96" w:type="dxa"/>
              <w:left w:w="113" w:type="dxa"/>
              <w:bottom w:w="96" w:type="dxa"/>
              <w:right w:w="113" w:type="dxa"/>
            </w:tcMar>
            <w:vAlign w:val="center"/>
          </w:tcPr>
          <w:p w14:paraId="2DBA1C11" w14:textId="77777777" w:rsidR="00AE03D8" w:rsidRPr="00AE03D8" w:rsidRDefault="00AE03D8" w:rsidP="0043652D">
            <w:pPr>
              <w:pStyle w:val="CDIFigure-Table-BodyTextLeft"/>
            </w:pPr>
            <w:r w:rsidRPr="00AE03D8">
              <w:t>Four doses</w:t>
            </w:r>
          </w:p>
        </w:tc>
        <w:tc>
          <w:tcPr>
            <w:tcW w:w="963" w:type="dxa"/>
            <w:tcMar>
              <w:top w:w="96" w:type="dxa"/>
              <w:left w:w="113" w:type="dxa"/>
              <w:bottom w:w="96" w:type="dxa"/>
              <w:right w:w="113" w:type="dxa"/>
            </w:tcMar>
            <w:vAlign w:val="center"/>
          </w:tcPr>
          <w:p w14:paraId="57D38AF8" w14:textId="77777777" w:rsidR="00AE03D8" w:rsidRPr="00AE03D8" w:rsidRDefault="00AE03D8" w:rsidP="0043652D">
            <w:pPr>
              <w:pStyle w:val="CDIFigure-Table-BodyTextCentre"/>
            </w:pPr>
            <w:r w:rsidRPr="00AE03D8">
              <w:t>429</w:t>
            </w:r>
          </w:p>
        </w:tc>
        <w:tc>
          <w:tcPr>
            <w:tcW w:w="964" w:type="dxa"/>
            <w:tcMar>
              <w:top w:w="96" w:type="dxa"/>
              <w:left w:w="113" w:type="dxa"/>
              <w:bottom w:w="96" w:type="dxa"/>
              <w:right w:w="113" w:type="dxa"/>
            </w:tcMar>
            <w:vAlign w:val="center"/>
          </w:tcPr>
          <w:p w14:paraId="69874148" w14:textId="77777777" w:rsidR="00AE03D8" w:rsidRPr="00AE03D8" w:rsidRDefault="00AE03D8" w:rsidP="0043652D">
            <w:pPr>
              <w:pStyle w:val="CDIFigure-Table-BodyTextCentre"/>
            </w:pPr>
            <w:r w:rsidRPr="00AE03D8">
              <w:t>21.7%</w:t>
            </w:r>
          </w:p>
        </w:tc>
        <w:tc>
          <w:tcPr>
            <w:tcW w:w="964" w:type="dxa"/>
            <w:tcMar>
              <w:top w:w="96" w:type="dxa"/>
              <w:left w:w="113" w:type="dxa"/>
              <w:bottom w:w="96" w:type="dxa"/>
              <w:right w:w="113" w:type="dxa"/>
            </w:tcMar>
            <w:vAlign w:val="center"/>
          </w:tcPr>
          <w:p w14:paraId="04E0444C" w14:textId="77777777" w:rsidR="00AE03D8" w:rsidRPr="00AE03D8" w:rsidRDefault="00AE03D8" w:rsidP="0043652D">
            <w:pPr>
              <w:pStyle w:val="CDIFigure-Table-BodyTextCentre"/>
            </w:pPr>
            <w:r w:rsidRPr="00AE03D8">
              <w:t>73</w:t>
            </w:r>
          </w:p>
        </w:tc>
        <w:tc>
          <w:tcPr>
            <w:tcW w:w="964" w:type="dxa"/>
            <w:tcMar>
              <w:top w:w="96" w:type="dxa"/>
              <w:left w:w="113" w:type="dxa"/>
              <w:bottom w:w="96" w:type="dxa"/>
              <w:right w:w="113" w:type="dxa"/>
            </w:tcMar>
            <w:vAlign w:val="center"/>
          </w:tcPr>
          <w:p w14:paraId="2AA8C29F" w14:textId="77777777" w:rsidR="00AE03D8" w:rsidRPr="00AE03D8" w:rsidRDefault="00AE03D8" w:rsidP="0043652D">
            <w:pPr>
              <w:pStyle w:val="CDIFigure-Table-BodyTextCentre"/>
            </w:pPr>
            <w:r w:rsidRPr="00AE03D8">
              <w:t>13.8%</w:t>
            </w:r>
          </w:p>
        </w:tc>
        <w:tc>
          <w:tcPr>
            <w:tcW w:w="963" w:type="dxa"/>
            <w:tcMar>
              <w:top w:w="96" w:type="dxa"/>
              <w:left w:w="113" w:type="dxa"/>
              <w:bottom w:w="96" w:type="dxa"/>
              <w:right w:w="113" w:type="dxa"/>
            </w:tcMar>
            <w:vAlign w:val="center"/>
          </w:tcPr>
          <w:p w14:paraId="273F0B48" w14:textId="77777777" w:rsidR="00AE03D8" w:rsidRPr="00AE03D8" w:rsidRDefault="00AE03D8" w:rsidP="0043652D">
            <w:pPr>
              <w:pStyle w:val="CDIFigure-Table-BodyTextCentre"/>
            </w:pPr>
            <w:r w:rsidRPr="00AE03D8">
              <w:t>97</w:t>
            </w:r>
          </w:p>
        </w:tc>
        <w:tc>
          <w:tcPr>
            <w:tcW w:w="964" w:type="dxa"/>
            <w:tcMar>
              <w:top w:w="96" w:type="dxa"/>
              <w:left w:w="113" w:type="dxa"/>
              <w:bottom w:w="96" w:type="dxa"/>
              <w:right w:w="113" w:type="dxa"/>
            </w:tcMar>
            <w:vAlign w:val="center"/>
          </w:tcPr>
          <w:p w14:paraId="38A08181" w14:textId="77777777" w:rsidR="00AE03D8" w:rsidRPr="00AE03D8" w:rsidRDefault="00AE03D8" w:rsidP="0043652D">
            <w:pPr>
              <w:pStyle w:val="CDIFigure-Table-BodyTextCentre"/>
            </w:pPr>
            <w:r w:rsidRPr="00AE03D8">
              <w:t>21.6%</w:t>
            </w:r>
          </w:p>
        </w:tc>
        <w:tc>
          <w:tcPr>
            <w:tcW w:w="964" w:type="dxa"/>
            <w:tcMar>
              <w:top w:w="96" w:type="dxa"/>
              <w:left w:w="113" w:type="dxa"/>
              <w:bottom w:w="96" w:type="dxa"/>
              <w:right w:w="113" w:type="dxa"/>
            </w:tcMar>
            <w:vAlign w:val="center"/>
          </w:tcPr>
          <w:p w14:paraId="0094FC1F" w14:textId="77777777" w:rsidR="00AE03D8" w:rsidRPr="00AE03D8" w:rsidRDefault="00AE03D8" w:rsidP="0043652D">
            <w:pPr>
              <w:pStyle w:val="CDIFigure-Table-BodyTextCentre"/>
            </w:pPr>
            <w:r w:rsidRPr="00AE03D8">
              <w:t>136</w:t>
            </w:r>
          </w:p>
        </w:tc>
        <w:tc>
          <w:tcPr>
            <w:tcW w:w="964" w:type="dxa"/>
            <w:tcMar>
              <w:top w:w="96" w:type="dxa"/>
              <w:left w:w="113" w:type="dxa"/>
              <w:bottom w:w="96" w:type="dxa"/>
              <w:right w:w="113" w:type="dxa"/>
            </w:tcMar>
            <w:vAlign w:val="center"/>
          </w:tcPr>
          <w:p w14:paraId="6E98E4F6" w14:textId="77777777" w:rsidR="00AE03D8" w:rsidRPr="00AE03D8" w:rsidRDefault="00AE03D8" w:rsidP="0043652D">
            <w:pPr>
              <w:pStyle w:val="CDIFigure-Table-BodyTextCentre"/>
            </w:pPr>
            <w:r w:rsidRPr="00AE03D8">
              <w:t>29.0%</w:t>
            </w:r>
          </w:p>
        </w:tc>
        <w:tc>
          <w:tcPr>
            <w:tcW w:w="964" w:type="dxa"/>
            <w:tcMar>
              <w:top w:w="96" w:type="dxa"/>
              <w:left w:w="113" w:type="dxa"/>
              <w:bottom w:w="96" w:type="dxa"/>
              <w:right w:w="113" w:type="dxa"/>
            </w:tcMar>
            <w:vAlign w:val="center"/>
          </w:tcPr>
          <w:p w14:paraId="7A9497F1" w14:textId="77777777" w:rsidR="00AE03D8" w:rsidRPr="00AE03D8" w:rsidRDefault="00AE03D8" w:rsidP="0043652D">
            <w:pPr>
              <w:pStyle w:val="CDIFigure-Table-BodyTextCentre"/>
            </w:pPr>
            <w:r w:rsidRPr="00AE03D8">
              <w:t>123</w:t>
            </w:r>
          </w:p>
        </w:tc>
        <w:tc>
          <w:tcPr>
            <w:tcW w:w="963" w:type="dxa"/>
            <w:tcMar>
              <w:top w:w="96" w:type="dxa"/>
              <w:left w:w="113" w:type="dxa"/>
              <w:bottom w:w="96" w:type="dxa"/>
              <w:right w:w="113" w:type="dxa"/>
            </w:tcMar>
            <w:vAlign w:val="center"/>
          </w:tcPr>
          <w:p w14:paraId="3195F78E" w14:textId="77777777" w:rsidR="00AE03D8" w:rsidRPr="00AE03D8" w:rsidRDefault="00AE03D8" w:rsidP="0043652D">
            <w:pPr>
              <w:pStyle w:val="CDIFigure-Table-BodyTextCentre"/>
            </w:pPr>
            <w:r w:rsidRPr="00AE03D8">
              <w:t>24.6%</w:t>
            </w:r>
          </w:p>
        </w:tc>
      </w:tr>
      <w:tr w:rsidR="0043652D" w:rsidRPr="00AE03D8" w14:paraId="2BA35AE7"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75D69B07" w14:textId="77777777" w:rsidR="00AE03D8" w:rsidRPr="00AE03D8" w:rsidRDefault="00AE03D8" w:rsidP="00AE03D8"/>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5064604" w14:textId="77777777" w:rsidR="00AE03D8" w:rsidRPr="00AE03D8" w:rsidRDefault="00AE03D8" w:rsidP="0043652D">
            <w:pPr>
              <w:pStyle w:val="CDIFigure-Table-BodyTextLeft"/>
            </w:pPr>
            <w:r w:rsidRPr="00AE03D8">
              <w:t>Five doses</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CB8E5A4" w14:textId="77777777" w:rsidR="00AE03D8" w:rsidRPr="00AE03D8" w:rsidRDefault="00AE03D8" w:rsidP="0043652D">
            <w:pPr>
              <w:pStyle w:val="CDIFigure-Table-BodyTextCentre"/>
            </w:pPr>
            <w:r w:rsidRPr="00AE03D8">
              <w:t>20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C4E846A" w14:textId="77777777" w:rsidR="00AE03D8" w:rsidRPr="00AE03D8" w:rsidRDefault="00AE03D8" w:rsidP="0043652D">
            <w:pPr>
              <w:pStyle w:val="CDIFigure-Table-BodyTextCentre"/>
            </w:pPr>
            <w:r w:rsidRPr="00AE03D8">
              <w:t>1.0%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B3ACD6B" w14:textId="77777777" w:rsidR="00AE03D8" w:rsidRPr="00AE03D8" w:rsidRDefault="00AE03D8" w:rsidP="0043652D">
            <w:pPr>
              <w:pStyle w:val="CDIFigure-Table-BodyTextCentre"/>
            </w:pPr>
            <w:r w:rsidRPr="00AE03D8">
              <w:t>2</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9E765E6" w14:textId="77777777" w:rsidR="00AE03D8" w:rsidRPr="00AE03D8" w:rsidRDefault="00AE03D8" w:rsidP="0043652D">
            <w:pPr>
              <w:pStyle w:val="CDIFigure-Table-BodyTextCentre"/>
            </w:pPr>
            <w:r w:rsidRPr="00AE03D8">
              <w:t>0.4%</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D3D1546" w14:textId="77777777" w:rsidR="00AE03D8" w:rsidRPr="00AE03D8" w:rsidRDefault="00AE03D8" w:rsidP="0043652D">
            <w:pPr>
              <w:pStyle w:val="CDIFigure-Table-BodyTextCentre"/>
            </w:pPr>
            <w:r w:rsidRPr="00AE03D8">
              <w:t>3</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B660DC6" w14:textId="77777777" w:rsidR="00AE03D8" w:rsidRPr="00AE03D8" w:rsidRDefault="00AE03D8" w:rsidP="0043652D">
            <w:pPr>
              <w:pStyle w:val="CDIFigure-Table-BodyTextCentre"/>
            </w:pPr>
            <w:r w:rsidRPr="00AE03D8">
              <w:t>0.6%</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52B3B9F" w14:textId="77777777" w:rsidR="00AE03D8" w:rsidRPr="00AE03D8" w:rsidRDefault="00AE03D8" w:rsidP="0043652D">
            <w:pPr>
              <w:pStyle w:val="CDIFigure-Table-BodyTextCentre"/>
            </w:pPr>
            <w:r w:rsidRPr="00AE03D8">
              <w:t>11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69B22AB" w14:textId="77777777" w:rsidR="00AE03D8" w:rsidRPr="00AE03D8" w:rsidRDefault="00AE03D8" w:rsidP="0043652D">
            <w:pPr>
              <w:pStyle w:val="CDIFigure-Table-BodyTextCentre"/>
            </w:pPr>
            <w:r w:rsidRPr="00AE03D8">
              <w:t>2.3%</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88DE724" w14:textId="77777777" w:rsidR="00AE03D8" w:rsidRPr="00AE03D8" w:rsidRDefault="00AE03D8" w:rsidP="0043652D">
            <w:pPr>
              <w:pStyle w:val="CDIFigure-Table-BodyTextCentre"/>
            </w:pPr>
            <w:r w:rsidRPr="00AE03D8">
              <w:t>4</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6E93502" w14:textId="77777777" w:rsidR="00AE03D8" w:rsidRPr="00AE03D8" w:rsidRDefault="00AE03D8" w:rsidP="0043652D">
            <w:pPr>
              <w:pStyle w:val="CDIFigure-Table-BodyTextCentre"/>
            </w:pPr>
            <w:r w:rsidRPr="00AE03D8">
              <w:t>0.8%</w:t>
            </w:r>
          </w:p>
        </w:tc>
      </w:tr>
      <w:tr w:rsidR="00AE03D8" w:rsidRPr="00AE03D8" w14:paraId="0E69CD8A"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34E32D34" w14:textId="77777777" w:rsidR="00AE03D8" w:rsidRPr="00AE03D8" w:rsidRDefault="00AE03D8" w:rsidP="0043652D">
            <w:pPr>
              <w:pStyle w:val="CDIFigure-Table-BodyTextLeft"/>
            </w:pPr>
            <w:r w:rsidRPr="00AE03D8">
              <w:t>Number of notified SARS-CoV-2 infections prior to blood sampling</w:t>
            </w:r>
          </w:p>
        </w:tc>
        <w:tc>
          <w:tcPr>
            <w:tcW w:w="2155" w:type="dxa"/>
            <w:tcBorders>
              <w:top w:val="single" w:sz="4" w:space="0" w:color="033636" w:themeColor="text2"/>
            </w:tcBorders>
            <w:tcMar>
              <w:top w:w="96" w:type="dxa"/>
              <w:left w:w="113" w:type="dxa"/>
              <w:bottom w:w="96" w:type="dxa"/>
              <w:right w:w="113" w:type="dxa"/>
            </w:tcMar>
            <w:vAlign w:val="center"/>
          </w:tcPr>
          <w:p w14:paraId="0A4A0334" w14:textId="77777777" w:rsidR="00AE03D8" w:rsidRPr="00AE03D8" w:rsidRDefault="00AE03D8" w:rsidP="0043652D">
            <w:pPr>
              <w:pStyle w:val="CDIFigure-Table-BodyTextLeft"/>
            </w:pPr>
            <w:r w:rsidRPr="00AE03D8">
              <w:t>Nil or missing</w:t>
            </w:r>
          </w:p>
        </w:tc>
        <w:tc>
          <w:tcPr>
            <w:tcW w:w="963" w:type="dxa"/>
            <w:tcBorders>
              <w:top w:val="single" w:sz="4" w:space="0" w:color="033636" w:themeColor="text2"/>
            </w:tcBorders>
            <w:tcMar>
              <w:top w:w="96" w:type="dxa"/>
              <w:left w:w="113" w:type="dxa"/>
              <w:bottom w:w="96" w:type="dxa"/>
              <w:right w:w="113" w:type="dxa"/>
            </w:tcMar>
            <w:vAlign w:val="center"/>
          </w:tcPr>
          <w:p w14:paraId="5469972A" w14:textId="77777777" w:rsidR="00AE03D8" w:rsidRPr="00AE03D8" w:rsidRDefault="00AE03D8" w:rsidP="0043652D">
            <w:pPr>
              <w:pStyle w:val="CDIFigure-Table-BodyTextCentre"/>
            </w:pPr>
            <w:r w:rsidRPr="00AE03D8">
              <w:t>1,384</w:t>
            </w:r>
          </w:p>
        </w:tc>
        <w:tc>
          <w:tcPr>
            <w:tcW w:w="964" w:type="dxa"/>
            <w:tcBorders>
              <w:top w:val="single" w:sz="4" w:space="0" w:color="033636" w:themeColor="text2"/>
            </w:tcBorders>
            <w:tcMar>
              <w:top w:w="96" w:type="dxa"/>
              <w:left w:w="113" w:type="dxa"/>
              <w:bottom w:w="96" w:type="dxa"/>
              <w:right w:w="113" w:type="dxa"/>
            </w:tcMar>
            <w:vAlign w:val="center"/>
          </w:tcPr>
          <w:p w14:paraId="71D905B7" w14:textId="77777777" w:rsidR="00AE03D8" w:rsidRPr="00AE03D8" w:rsidRDefault="00AE03D8" w:rsidP="0043652D">
            <w:pPr>
              <w:pStyle w:val="CDIFigure-Table-BodyTextCentre"/>
            </w:pPr>
            <w:r w:rsidRPr="00AE03D8">
              <w:t>70.1%</w:t>
            </w:r>
          </w:p>
        </w:tc>
        <w:tc>
          <w:tcPr>
            <w:tcW w:w="964" w:type="dxa"/>
            <w:tcBorders>
              <w:top w:val="single" w:sz="4" w:space="0" w:color="033636" w:themeColor="text2"/>
            </w:tcBorders>
            <w:tcMar>
              <w:top w:w="96" w:type="dxa"/>
              <w:left w:w="113" w:type="dxa"/>
              <w:bottom w:w="96" w:type="dxa"/>
              <w:right w:w="113" w:type="dxa"/>
            </w:tcMar>
            <w:vAlign w:val="center"/>
          </w:tcPr>
          <w:p w14:paraId="2DBD270E" w14:textId="77777777" w:rsidR="00AE03D8" w:rsidRPr="00AE03D8" w:rsidRDefault="00AE03D8" w:rsidP="0043652D">
            <w:pPr>
              <w:pStyle w:val="CDIFigure-Table-BodyTextCentre"/>
            </w:pPr>
            <w:r w:rsidRPr="00AE03D8">
              <w:t>383</w:t>
            </w:r>
          </w:p>
        </w:tc>
        <w:tc>
          <w:tcPr>
            <w:tcW w:w="964" w:type="dxa"/>
            <w:tcBorders>
              <w:top w:val="single" w:sz="4" w:space="0" w:color="033636" w:themeColor="text2"/>
            </w:tcBorders>
            <w:tcMar>
              <w:top w:w="96" w:type="dxa"/>
              <w:left w:w="113" w:type="dxa"/>
              <w:bottom w:w="96" w:type="dxa"/>
              <w:right w:w="113" w:type="dxa"/>
            </w:tcMar>
            <w:vAlign w:val="center"/>
          </w:tcPr>
          <w:p w14:paraId="4C901B61" w14:textId="77777777" w:rsidR="00AE03D8" w:rsidRPr="00AE03D8" w:rsidRDefault="00AE03D8" w:rsidP="0043652D">
            <w:pPr>
              <w:pStyle w:val="CDIFigure-Table-BodyTextCentre"/>
            </w:pPr>
            <w:r w:rsidRPr="00AE03D8">
              <w:t>72.4%</w:t>
            </w:r>
          </w:p>
        </w:tc>
        <w:tc>
          <w:tcPr>
            <w:tcW w:w="963" w:type="dxa"/>
            <w:tcBorders>
              <w:top w:val="single" w:sz="4" w:space="0" w:color="033636" w:themeColor="text2"/>
            </w:tcBorders>
            <w:tcMar>
              <w:top w:w="96" w:type="dxa"/>
              <w:left w:w="113" w:type="dxa"/>
              <w:bottom w:w="96" w:type="dxa"/>
              <w:right w:w="113" w:type="dxa"/>
            </w:tcMar>
            <w:vAlign w:val="center"/>
          </w:tcPr>
          <w:p w14:paraId="4F77232A" w14:textId="77777777" w:rsidR="00AE03D8" w:rsidRPr="00AE03D8" w:rsidRDefault="00AE03D8" w:rsidP="0043652D">
            <w:pPr>
              <w:pStyle w:val="CDIFigure-Table-BodyTextCentre"/>
            </w:pPr>
            <w:r w:rsidRPr="00AE03D8">
              <w:t>326</w:t>
            </w:r>
          </w:p>
        </w:tc>
        <w:tc>
          <w:tcPr>
            <w:tcW w:w="964" w:type="dxa"/>
            <w:tcBorders>
              <w:top w:val="single" w:sz="4" w:space="0" w:color="033636" w:themeColor="text2"/>
            </w:tcBorders>
            <w:tcMar>
              <w:top w:w="96" w:type="dxa"/>
              <w:left w:w="113" w:type="dxa"/>
              <w:bottom w:w="96" w:type="dxa"/>
              <w:right w:w="113" w:type="dxa"/>
            </w:tcMar>
            <w:vAlign w:val="center"/>
          </w:tcPr>
          <w:p w14:paraId="288CF4AD" w14:textId="77777777" w:rsidR="00AE03D8" w:rsidRPr="00AE03D8" w:rsidRDefault="00AE03D8" w:rsidP="0043652D">
            <w:pPr>
              <w:pStyle w:val="CDIFigure-Table-BodyTextCentre"/>
            </w:pPr>
            <w:r w:rsidRPr="00AE03D8">
              <w:t>69.4%</w:t>
            </w:r>
          </w:p>
        </w:tc>
        <w:tc>
          <w:tcPr>
            <w:tcW w:w="964" w:type="dxa"/>
            <w:tcBorders>
              <w:top w:val="single" w:sz="4" w:space="0" w:color="033636" w:themeColor="text2"/>
            </w:tcBorders>
            <w:tcMar>
              <w:top w:w="96" w:type="dxa"/>
              <w:left w:w="113" w:type="dxa"/>
              <w:bottom w:w="96" w:type="dxa"/>
              <w:right w:w="113" w:type="dxa"/>
            </w:tcMar>
            <w:vAlign w:val="center"/>
          </w:tcPr>
          <w:p w14:paraId="42935256" w14:textId="77777777" w:rsidR="00AE03D8" w:rsidRPr="00AE03D8" w:rsidRDefault="00AE03D8" w:rsidP="0043652D">
            <w:pPr>
              <w:pStyle w:val="CDIFigure-Table-BodyTextCentre"/>
            </w:pPr>
            <w:r w:rsidRPr="00AE03D8">
              <w:t>323</w:t>
            </w:r>
          </w:p>
        </w:tc>
        <w:tc>
          <w:tcPr>
            <w:tcW w:w="964" w:type="dxa"/>
            <w:tcBorders>
              <w:top w:val="single" w:sz="4" w:space="0" w:color="033636" w:themeColor="text2"/>
            </w:tcBorders>
            <w:tcMar>
              <w:top w:w="96" w:type="dxa"/>
              <w:left w:w="113" w:type="dxa"/>
              <w:bottom w:w="96" w:type="dxa"/>
              <w:right w:w="113" w:type="dxa"/>
            </w:tcMar>
            <w:vAlign w:val="center"/>
          </w:tcPr>
          <w:p w14:paraId="28CA7DA4" w14:textId="77777777" w:rsidR="00AE03D8" w:rsidRPr="00AE03D8" w:rsidRDefault="00AE03D8" w:rsidP="0043652D">
            <w:pPr>
              <w:pStyle w:val="CDIFigure-Table-BodyTextCentre"/>
            </w:pPr>
            <w:r w:rsidRPr="00AE03D8">
              <w:t>68.9%</w:t>
            </w:r>
          </w:p>
        </w:tc>
        <w:tc>
          <w:tcPr>
            <w:tcW w:w="964" w:type="dxa"/>
            <w:tcBorders>
              <w:top w:val="single" w:sz="4" w:space="0" w:color="033636" w:themeColor="text2"/>
            </w:tcBorders>
            <w:tcMar>
              <w:top w:w="96" w:type="dxa"/>
              <w:left w:w="113" w:type="dxa"/>
              <w:bottom w:w="96" w:type="dxa"/>
              <w:right w:w="113" w:type="dxa"/>
            </w:tcMar>
            <w:vAlign w:val="center"/>
          </w:tcPr>
          <w:p w14:paraId="7B42D298" w14:textId="77777777" w:rsidR="00AE03D8" w:rsidRPr="00AE03D8" w:rsidRDefault="00AE03D8" w:rsidP="0043652D">
            <w:pPr>
              <w:pStyle w:val="CDIFigure-Table-BodyTextCentre"/>
            </w:pPr>
            <w:r w:rsidRPr="00AE03D8">
              <w:t>346</w:t>
            </w:r>
          </w:p>
        </w:tc>
        <w:tc>
          <w:tcPr>
            <w:tcW w:w="963" w:type="dxa"/>
            <w:tcBorders>
              <w:top w:val="single" w:sz="4" w:space="0" w:color="033636" w:themeColor="text2"/>
            </w:tcBorders>
            <w:tcMar>
              <w:top w:w="96" w:type="dxa"/>
              <w:left w:w="113" w:type="dxa"/>
              <w:bottom w:w="96" w:type="dxa"/>
              <w:right w:w="113" w:type="dxa"/>
            </w:tcMar>
            <w:vAlign w:val="center"/>
          </w:tcPr>
          <w:p w14:paraId="4D95FF23" w14:textId="77777777" w:rsidR="00AE03D8" w:rsidRPr="00AE03D8" w:rsidRDefault="00AE03D8" w:rsidP="0043652D">
            <w:pPr>
              <w:pStyle w:val="CDIFigure-Table-BodyTextCentre"/>
            </w:pPr>
            <w:r w:rsidRPr="00AE03D8">
              <w:t>69.2%</w:t>
            </w:r>
          </w:p>
        </w:tc>
      </w:tr>
      <w:tr w:rsidR="0043652D" w:rsidRPr="00AE03D8" w14:paraId="15896C13" w14:textId="77777777" w:rsidTr="0043652D">
        <w:trPr>
          <w:divId w:val="935526654"/>
          <w:trHeight w:val="20"/>
        </w:trPr>
        <w:tc>
          <w:tcPr>
            <w:tcW w:w="2551" w:type="dxa"/>
            <w:vMerge/>
            <w:tcBorders>
              <w:bottom w:val="single" w:sz="4" w:space="0" w:color="033636" w:themeColor="text2"/>
            </w:tcBorders>
            <w:shd w:val="clear" w:color="auto" w:fill="C5FFEF" w:themeFill="background2" w:themeFillTint="33"/>
          </w:tcPr>
          <w:p w14:paraId="0BFEE939" w14:textId="77777777" w:rsidR="00AE03D8" w:rsidRPr="00AE03D8" w:rsidRDefault="00AE03D8" w:rsidP="00AE03D8"/>
        </w:tc>
        <w:tc>
          <w:tcPr>
            <w:tcW w:w="2155" w:type="dxa"/>
            <w:shd w:val="clear" w:color="auto" w:fill="F2F2F2" w:themeFill="background1" w:themeFillShade="F2"/>
            <w:tcMar>
              <w:top w:w="96" w:type="dxa"/>
              <w:left w:w="113" w:type="dxa"/>
              <w:bottom w:w="96" w:type="dxa"/>
              <w:right w:w="113" w:type="dxa"/>
            </w:tcMar>
            <w:vAlign w:val="center"/>
          </w:tcPr>
          <w:p w14:paraId="4D45EB20" w14:textId="77777777" w:rsidR="00AE03D8" w:rsidRPr="00AE03D8" w:rsidRDefault="00AE03D8" w:rsidP="0043652D">
            <w:pPr>
              <w:pStyle w:val="CDIFigure-Table-BodyTextLeft"/>
            </w:pPr>
            <w:r w:rsidRPr="00AE03D8">
              <w:t>One</w:t>
            </w:r>
          </w:p>
        </w:tc>
        <w:tc>
          <w:tcPr>
            <w:tcW w:w="963" w:type="dxa"/>
            <w:shd w:val="clear" w:color="auto" w:fill="F2F2F2" w:themeFill="background1" w:themeFillShade="F2"/>
            <w:tcMar>
              <w:top w:w="96" w:type="dxa"/>
              <w:left w:w="113" w:type="dxa"/>
              <w:bottom w:w="96" w:type="dxa"/>
              <w:right w:w="113" w:type="dxa"/>
            </w:tcMar>
            <w:vAlign w:val="center"/>
          </w:tcPr>
          <w:p w14:paraId="0E5A060A" w14:textId="77777777" w:rsidR="00AE03D8" w:rsidRPr="00AE03D8" w:rsidRDefault="00AE03D8" w:rsidP="0043652D">
            <w:pPr>
              <w:pStyle w:val="CDIFigure-Table-BodyTextCentre"/>
            </w:pPr>
            <w:r w:rsidRPr="00AE03D8">
              <w:t>562</w:t>
            </w:r>
          </w:p>
        </w:tc>
        <w:tc>
          <w:tcPr>
            <w:tcW w:w="964" w:type="dxa"/>
            <w:shd w:val="clear" w:color="auto" w:fill="F2F2F2" w:themeFill="background1" w:themeFillShade="F2"/>
            <w:tcMar>
              <w:top w:w="96" w:type="dxa"/>
              <w:left w:w="113" w:type="dxa"/>
              <w:bottom w:w="96" w:type="dxa"/>
              <w:right w:w="113" w:type="dxa"/>
            </w:tcMar>
            <w:vAlign w:val="center"/>
          </w:tcPr>
          <w:p w14:paraId="2EA67830" w14:textId="77777777" w:rsidR="00AE03D8" w:rsidRPr="00AE03D8" w:rsidRDefault="00AE03D8" w:rsidP="0043652D">
            <w:pPr>
              <w:pStyle w:val="CDIFigure-Table-BodyTextCentre"/>
            </w:pPr>
            <w:r w:rsidRPr="00AE03D8">
              <w:t>28.5%</w:t>
            </w:r>
          </w:p>
        </w:tc>
        <w:tc>
          <w:tcPr>
            <w:tcW w:w="964" w:type="dxa"/>
            <w:shd w:val="clear" w:color="auto" w:fill="F2F2F2" w:themeFill="background1" w:themeFillShade="F2"/>
            <w:tcMar>
              <w:top w:w="96" w:type="dxa"/>
              <w:left w:w="113" w:type="dxa"/>
              <w:bottom w:w="96" w:type="dxa"/>
              <w:right w:w="113" w:type="dxa"/>
            </w:tcMar>
            <w:vAlign w:val="center"/>
          </w:tcPr>
          <w:p w14:paraId="435D9903" w14:textId="77777777" w:rsidR="00AE03D8" w:rsidRPr="00AE03D8" w:rsidRDefault="00AE03D8" w:rsidP="0043652D">
            <w:pPr>
              <w:pStyle w:val="CDIFigure-Table-BodyTextCentre"/>
            </w:pPr>
            <w:r w:rsidRPr="00AE03D8">
              <w:t>143</w:t>
            </w:r>
          </w:p>
        </w:tc>
        <w:tc>
          <w:tcPr>
            <w:tcW w:w="964" w:type="dxa"/>
            <w:shd w:val="clear" w:color="auto" w:fill="F2F2F2" w:themeFill="background1" w:themeFillShade="F2"/>
            <w:tcMar>
              <w:top w:w="96" w:type="dxa"/>
              <w:left w:w="113" w:type="dxa"/>
              <w:bottom w:w="96" w:type="dxa"/>
              <w:right w:w="113" w:type="dxa"/>
            </w:tcMar>
            <w:vAlign w:val="center"/>
          </w:tcPr>
          <w:p w14:paraId="78C3DE2E" w14:textId="77777777" w:rsidR="00AE03D8" w:rsidRPr="00AE03D8" w:rsidRDefault="00AE03D8" w:rsidP="0043652D">
            <w:pPr>
              <w:pStyle w:val="CDIFigure-Table-BodyTextCentre"/>
            </w:pPr>
            <w:r w:rsidRPr="00AE03D8">
              <w:t>27.0%</w:t>
            </w:r>
          </w:p>
        </w:tc>
        <w:tc>
          <w:tcPr>
            <w:tcW w:w="963" w:type="dxa"/>
            <w:shd w:val="clear" w:color="auto" w:fill="F2F2F2" w:themeFill="background1" w:themeFillShade="F2"/>
            <w:tcMar>
              <w:top w:w="96" w:type="dxa"/>
              <w:left w:w="113" w:type="dxa"/>
              <w:bottom w:w="96" w:type="dxa"/>
              <w:right w:w="113" w:type="dxa"/>
            </w:tcMar>
            <w:vAlign w:val="center"/>
          </w:tcPr>
          <w:p w14:paraId="0D2F7F9A" w14:textId="77777777" w:rsidR="00AE03D8" w:rsidRPr="00AE03D8" w:rsidRDefault="00AE03D8" w:rsidP="0043652D">
            <w:pPr>
              <w:pStyle w:val="CDIFigure-Table-BodyTextCentre"/>
            </w:pPr>
            <w:r w:rsidRPr="00AE03D8">
              <w:t>133</w:t>
            </w:r>
          </w:p>
        </w:tc>
        <w:tc>
          <w:tcPr>
            <w:tcW w:w="964" w:type="dxa"/>
            <w:shd w:val="clear" w:color="auto" w:fill="F2F2F2" w:themeFill="background1" w:themeFillShade="F2"/>
            <w:tcMar>
              <w:top w:w="96" w:type="dxa"/>
              <w:left w:w="113" w:type="dxa"/>
              <w:bottom w:w="96" w:type="dxa"/>
              <w:right w:w="113" w:type="dxa"/>
            </w:tcMar>
            <w:vAlign w:val="center"/>
          </w:tcPr>
          <w:p w14:paraId="723EF835" w14:textId="77777777" w:rsidR="00AE03D8" w:rsidRPr="00AE03D8" w:rsidRDefault="00AE03D8" w:rsidP="0043652D">
            <w:pPr>
              <w:pStyle w:val="CDIFigure-Table-BodyTextCentre"/>
            </w:pPr>
            <w:r w:rsidRPr="00AE03D8">
              <w:t>28.3%</w:t>
            </w:r>
          </w:p>
        </w:tc>
        <w:tc>
          <w:tcPr>
            <w:tcW w:w="964" w:type="dxa"/>
            <w:shd w:val="clear" w:color="auto" w:fill="F2F2F2" w:themeFill="background1" w:themeFillShade="F2"/>
            <w:tcMar>
              <w:top w:w="96" w:type="dxa"/>
              <w:left w:w="113" w:type="dxa"/>
              <w:bottom w:w="96" w:type="dxa"/>
              <w:right w:w="113" w:type="dxa"/>
            </w:tcMar>
            <w:vAlign w:val="center"/>
          </w:tcPr>
          <w:p w14:paraId="74C4EB1B" w14:textId="77777777" w:rsidR="00AE03D8" w:rsidRPr="00AE03D8" w:rsidRDefault="00AE03D8" w:rsidP="0043652D">
            <w:pPr>
              <w:pStyle w:val="CDIFigure-Table-BodyTextCentre"/>
            </w:pPr>
            <w:r w:rsidRPr="00AE03D8">
              <w:t>138</w:t>
            </w:r>
          </w:p>
        </w:tc>
        <w:tc>
          <w:tcPr>
            <w:tcW w:w="964" w:type="dxa"/>
            <w:shd w:val="clear" w:color="auto" w:fill="F2F2F2" w:themeFill="background1" w:themeFillShade="F2"/>
            <w:tcMar>
              <w:top w:w="96" w:type="dxa"/>
              <w:left w:w="113" w:type="dxa"/>
              <w:bottom w:w="96" w:type="dxa"/>
              <w:right w:w="113" w:type="dxa"/>
            </w:tcMar>
            <w:vAlign w:val="center"/>
          </w:tcPr>
          <w:p w14:paraId="417C73B4" w14:textId="77777777" w:rsidR="00AE03D8" w:rsidRPr="00AE03D8" w:rsidRDefault="00AE03D8" w:rsidP="0043652D">
            <w:pPr>
              <w:pStyle w:val="CDIFigure-Table-BodyTextCentre"/>
            </w:pPr>
            <w:r w:rsidRPr="00AE03D8">
              <w:t>29.4%</w:t>
            </w:r>
          </w:p>
        </w:tc>
        <w:tc>
          <w:tcPr>
            <w:tcW w:w="964" w:type="dxa"/>
            <w:shd w:val="clear" w:color="auto" w:fill="F2F2F2" w:themeFill="background1" w:themeFillShade="F2"/>
            <w:tcMar>
              <w:top w:w="96" w:type="dxa"/>
              <w:left w:w="113" w:type="dxa"/>
              <w:bottom w:w="96" w:type="dxa"/>
              <w:right w:w="113" w:type="dxa"/>
            </w:tcMar>
            <w:vAlign w:val="center"/>
          </w:tcPr>
          <w:p w14:paraId="5E6F94D5" w14:textId="77777777" w:rsidR="00AE03D8" w:rsidRPr="00AE03D8" w:rsidRDefault="00AE03D8" w:rsidP="0043652D">
            <w:pPr>
              <w:pStyle w:val="CDIFigure-Table-BodyTextCentre"/>
            </w:pPr>
            <w:r w:rsidRPr="00AE03D8">
              <w:t>148</w:t>
            </w:r>
          </w:p>
        </w:tc>
        <w:tc>
          <w:tcPr>
            <w:tcW w:w="963" w:type="dxa"/>
            <w:shd w:val="clear" w:color="auto" w:fill="F2F2F2" w:themeFill="background1" w:themeFillShade="F2"/>
            <w:tcMar>
              <w:top w:w="96" w:type="dxa"/>
              <w:left w:w="113" w:type="dxa"/>
              <w:bottom w:w="96" w:type="dxa"/>
              <w:right w:w="113" w:type="dxa"/>
            </w:tcMar>
            <w:vAlign w:val="center"/>
          </w:tcPr>
          <w:p w14:paraId="79ADA46A" w14:textId="77777777" w:rsidR="00AE03D8" w:rsidRPr="00AE03D8" w:rsidRDefault="00AE03D8" w:rsidP="0043652D">
            <w:pPr>
              <w:pStyle w:val="CDIFigure-Table-BodyTextCentre"/>
            </w:pPr>
            <w:r w:rsidRPr="00AE03D8">
              <w:t>29.6%</w:t>
            </w:r>
          </w:p>
        </w:tc>
      </w:tr>
      <w:tr w:rsidR="00AE03D8" w:rsidRPr="00AE03D8" w14:paraId="58461806"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5403C83A" w14:textId="77777777" w:rsidR="00AE03D8" w:rsidRPr="00AE03D8" w:rsidRDefault="00AE03D8" w:rsidP="00AE03D8"/>
        </w:tc>
        <w:tc>
          <w:tcPr>
            <w:tcW w:w="2155" w:type="dxa"/>
            <w:tcMar>
              <w:top w:w="96" w:type="dxa"/>
              <w:left w:w="113" w:type="dxa"/>
              <w:bottom w:w="96" w:type="dxa"/>
              <w:right w:w="113" w:type="dxa"/>
            </w:tcMar>
            <w:vAlign w:val="center"/>
          </w:tcPr>
          <w:p w14:paraId="3025432C" w14:textId="77777777" w:rsidR="00AE03D8" w:rsidRPr="00AE03D8" w:rsidRDefault="00AE03D8" w:rsidP="0043652D">
            <w:pPr>
              <w:pStyle w:val="CDIFigure-Table-BodyTextLeft"/>
            </w:pPr>
            <w:r w:rsidRPr="00AE03D8">
              <w:t>Two</w:t>
            </w:r>
          </w:p>
        </w:tc>
        <w:tc>
          <w:tcPr>
            <w:tcW w:w="963" w:type="dxa"/>
            <w:tcMar>
              <w:top w:w="96" w:type="dxa"/>
              <w:left w:w="113" w:type="dxa"/>
              <w:bottom w:w="96" w:type="dxa"/>
              <w:right w:w="113" w:type="dxa"/>
            </w:tcMar>
            <w:vAlign w:val="center"/>
          </w:tcPr>
          <w:p w14:paraId="208EAA41" w14:textId="77777777" w:rsidR="00AE03D8" w:rsidRPr="00AE03D8" w:rsidRDefault="00AE03D8" w:rsidP="0043652D">
            <w:pPr>
              <w:pStyle w:val="CDIFigure-Table-BodyTextCentre"/>
            </w:pPr>
            <w:r w:rsidRPr="00AE03D8">
              <w:t>27</w:t>
            </w:r>
          </w:p>
        </w:tc>
        <w:tc>
          <w:tcPr>
            <w:tcW w:w="964" w:type="dxa"/>
            <w:tcMar>
              <w:top w:w="96" w:type="dxa"/>
              <w:left w:w="113" w:type="dxa"/>
              <w:bottom w:w="96" w:type="dxa"/>
              <w:right w:w="113" w:type="dxa"/>
            </w:tcMar>
            <w:vAlign w:val="center"/>
          </w:tcPr>
          <w:p w14:paraId="1C264D17" w14:textId="77777777" w:rsidR="00AE03D8" w:rsidRPr="00AE03D8" w:rsidRDefault="00AE03D8" w:rsidP="0043652D">
            <w:pPr>
              <w:pStyle w:val="CDIFigure-Table-BodyTextCentre"/>
            </w:pPr>
            <w:r w:rsidRPr="00AE03D8">
              <w:t>1.4%</w:t>
            </w:r>
          </w:p>
        </w:tc>
        <w:tc>
          <w:tcPr>
            <w:tcW w:w="964" w:type="dxa"/>
            <w:tcMar>
              <w:top w:w="96" w:type="dxa"/>
              <w:left w:w="113" w:type="dxa"/>
              <w:bottom w:w="96" w:type="dxa"/>
              <w:right w:w="113" w:type="dxa"/>
            </w:tcMar>
            <w:vAlign w:val="center"/>
          </w:tcPr>
          <w:p w14:paraId="04683E28" w14:textId="77777777" w:rsidR="00AE03D8" w:rsidRPr="00AE03D8" w:rsidRDefault="00AE03D8" w:rsidP="0043652D">
            <w:pPr>
              <w:pStyle w:val="CDIFigure-Table-BodyTextCentre"/>
            </w:pPr>
            <w:r w:rsidRPr="00AE03D8">
              <w:t>3</w:t>
            </w:r>
          </w:p>
        </w:tc>
        <w:tc>
          <w:tcPr>
            <w:tcW w:w="964" w:type="dxa"/>
            <w:tcMar>
              <w:top w:w="96" w:type="dxa"/>
              <w:left w:w="113" w:type="dxa"/>
              <w:bottom w:w="96" w:type="dxa"/>
              <w:right w:w="113" w:type="dxa"/>
            </w:tcMar>
            <w:vAlign w:val="center"/>
          </w:tcPr>
          <w:p w14:paraId="2E252CFE" w14:textId="77777777" w:rsidR="00AE03D8" w:rsidRPr="00AE03D8" w:rsidRDefault="00AE03D8" w:rsidP="0043652D">
            <w:pPr>
              <w:pStyle w:val="CDIFigure-Table-BodyTextCentre"/>
            </w:pPr>
            <w:r w:rsidRPr="00AE03D8">
              <w:t>0.6%</w:t>
            </w:r>
          </w:p>
        </w:tc>
        <w:tc>
          <w:tcPr>
            <w:tcW w:w="963" w:type="dxa"/>
            <w:tcMar>
              <w:top w:w="96" w:type="dxa"/>
              <w:left w:w="113" w:type="dxa"/>
              <w:bottom w:w="96" w:type="dxa"/>
              <w:right w:w="113" w:type="dxa"/>
            </w:tcMar>
            <w:vAlign w:val="center"/>
          </w:tcPr>
          <w:p w14:paraId="633BE968" w14:textId="77777777" w:rsidR="00AE03D8" w:rsidRPr="00AE03D8" w:rsidRDefault="00AE03D8" w:rsidP="0043652D">
            <w:pPr>
              <w:pStyle w:val="CDIFigure-Table-BodyTextCentre"/>
            </w:pPr>
            <w:r w:rsidRPr="00AE03D8">
              <w:t>11</w:t>
            </w:r>
          </w:p>
        </w:tc>
        <w:tc>
          <w:tcPr>
            <w:tcW w:w="964" w:type="dxa"/>
            <w:tcMar>
              <w:top w:w="96" w:type="dxa"/>
              <w:left w:w="113" w:type="dxa"/>
              <w:bottom w:w="96" w:type="dxa"/>
              <w:right w:w="113" w:type="dxa"/>
            </w:tcMar>
            <w:vAlign w:val="center"/>
          </w:tcPr>
          <w:p w14:paraId="0C763285" w14:textId="77777777" w:rsidR="00AE03D8" w:rsidRPr="00AE03D8" w:rsidRDefault="00AE03D8" w:rsidP="0043652D">
            <w:pPr>
              <w:pStyle w:val="CDIFigure-Table-BodyTextCentre"/>
            </w:pPr>
            <w:r w:rsidRPr="00AE03D8">
              <w:t>2.3%</w:t>
            </w:r>
          </w:p>
        </w:tc>
        <w:tc>
          <w:tcPr>
            <w:tcW w:w="964" w:type="dxa"/>
            <w:tcMar>
              <w:top w:w="96" w:type="dxa"/>
              <w:left w:w="113" w:type="dxa"/>
              <w:bottom w:w="96" w:type="dxa"/>
              <w:right w:w="113" w:type="dxa"/>
            </w:tcMar>
            <w:vAlign w:val="center"/>
          </w:tcPr>
          <w:p w14:paraId="2D7CD5D6" w14:textId="77777777" w:rsidR="00AE03D8" w:rsidRPr="00AE03D8" w:rsidRDefault="00AE03D8" w:rsidP="0043652D">
            <w:pPr>
              <w:pStyle w:val="CDIFigure-Table-BodyTextCentre"/>
            </w:pPr>
            <w:r w:rsidRPr="00AE03D8">
              <w:t>7</w:t>
            </w:r>
          </w:p>
        </w:tc>
        <w:tc>
          <w:tcPr>
            <w:tcW w:w="964" w:type="dxa"/>
            <w:tcMar>
              <w:top w:w="96" w:type="dxa"/>
              <w:left w:w="113" w:type="dxa"/>
              <w:bottom w:w="96" w:type="dxa"/>
              <w:right w:w="113" w:type="dxa"/>
            </w:tcMar>
            <w:vAlign w:val="center"/>
          </w:tcPr>
          <w:p w14:paraId="29242B17" w14:textId="77777777" w:rsidR="00AE03D8" w:rsidRPr="00AE03D8" w:rsidRDefault="00AE03D8" w:rsidP="0043652D">
            <w:pPr>
              <w:pStyle w:val="CDIFigure-Table-BodyTextCentre"/>
            </w:pPr>
            <w:r w:rsidRPr="00AE03D8">
              <w:t>1.5%</w:t>
            </w:r>
          </w:p>
        </w:tc>
        <w:tc>
          <w:tcPr>
            <w:tcW w:w="964" w:type="dxa"/>
            <w:tcMar>
              <w:top w:w="96" w:type="dxa"/>
              <w:left w:w="113" w:type="dxa"/>
              <w:bottom w:w="96" w:type="dxa"/>
              <w:right w:w="113" w:type="dxa"/>
            </w:tcMar>
            <w:vAlign w:val="center"/>
          </w:tcPr>
          <w:p w14:paraId="6B95DB9B" w14:textId="77777777" w:rsidR="00AE03D8" w:rsidRPr="00AE03D8" w:rsidRDefault="00AE03D8" w:rsidP="0043652D">
            <w:pPr>
              <w:pStyle w:val="CDIFigure-Table-BodyTextCentre"/>
            </w:pPr>
            <w:r w:rsidRPr="00AE03D8">
              <w:t>6</w:t>
            </w:r>
          </w:p>
        </w:tc>
        <w:tc>
          <w:tcPr>
            <w:tcW w:w="963" w:type="dxa"/>
            <w:tcMar>
              <w:top w:w="96" w:type="dxa"/>
              <w:left w:w="113" w:type="dxa"/>
              <w:bottom w:w="96" w:type="dxa"/>
              <w:right w:w="113" w:type="dxa"/>
            </w:tcMar>
            <w:vAlign w:val="center"/>
          </w:tcPr>
          <w:p w14:paraId="6F16C9BC" w14:textId="77777777" w:rsidR="00AE03D8" w:rsidRPr="00AE03D8" w:rsidRDefault="00AE03D8" w:rsidP="0043652D">
            <w:pPr>
              <w:pStyle w:val="CDIFigure-Table-BodyTextCentre"/>
            </w:pPr>
            <w:r w:rsidRPr="00AE03D8">
              <w:t>1.2%</w:t>
            </w:r>
          </w:p>
        </w:tc>
      </w:tr>
      <w:tr w:rsidR="0043652D" w:rsidRPr="00AE03D8" w14:paraId="21D0DDB3"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14147938" w14:textId="77777777" w:rsidR="00AE03D8" w:rsidRPr="00AE03D8" w:rsidRDefault="00AE03D8" w:rsidP="00AE03D8"/>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07B276B" w14:textId="77777777" w:rsidR="00AE03D8" w:rsidRPr="00AE03D8" w:rsidRDefault="00AE03D8" w:rsidP="0043652D">
            <w:pPr>
              <w:pStyle w:val="CDIFigure-Table-BodyTextLeft"/>
            </w:pPr>
            <w:r w:rsidRPr="00AE03D8">
              <w:t>Three</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FA4180D"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53B7F05" w14:textId="77777777" w:rsidR="00AE03D8" w:rsidRPr="00AE03D8" w:rsidRDefault="00AE03D8" w:rsidP="0043652D">
            <w:pPr>
              <w:pStyle w:val="CDIFigure-Table-BodyTextCentre"/>
            </w:pPr>
            <w:r w:rsidRPr="00AE03D8">
              <w:t>0.1%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684A38E"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9835607"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E882368"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7C336F4"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720173D"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5286EE1" w14:textId="77777777" w:rsidR="00AE03D8" w:rsidRPr="00AE03D8" w:rsidRDefault="00AE03D8" w:rsidP="0043652D">
            <w:pPr>
              <w:pStyle w:val="CDIFigure-Table-BodyTextCentre"/>
            </w:pPr>
            <w:r w:rsidRPr="00AE03D8">
              <w:t>0.2%</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B3280FC"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B8B15D1" w14:textId="77777777" w:rsidR="00AE03D8" w:rsidRPr="00AE03D8" w:rsidRDefault="00AE03D8" w:rsidP="0043652D">
            <w:pPr>
              <w:pStyle w:val="CDIFigure-Table-BodyTextCentre"/>
            </w:pPr>
            <w:r w:rsidRPr="00AE03D8">
              <w:t>0%</w:t>
            </w:r>
          </w:p>
        </w:tc>
      </w:tr>
      <w:tr w:rsidR="00AE03D8" w:rsidRPr="00AE03D8" w14:paraId="21C3DDE9" w14:textId="77777777" w:rsidTr="00572C15">
        <w:trPr>
          <w:divId w:val="935526654"/>
          <w:cantSplit/>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64D5EFB8" w14:textId="77777777" w:rsidR="00AE03D8" w:rsidRPr="00AE03D8" w:rsidRDefault="00AE03D8" w:rsidP="00572C15">
            <w:pPr>
              <w:pStyle w:val="CDIFigure-Table-BodyTextLeft"/>
              <w:keepNext/>
              <w:keepLines/>
            </w:pPr>
            <w:r w:rsidRPr="00AE03D8">
              <w:lastRenderedPageBreak/>
              <w:t>Anti-nucleocapsid serostatus (unadjusted)</w:t>
            </w:r>
          </w:p>
        </w:tc>
        <w:tc>
          <w:tcPr>
            <w:tcW w:w="2155" w:type="dxa"/>
            <w:tcBorders>
              <w:top w:val="single" w:sz="4" w:space="0" w:color="033636" w:themeColor="text2"/>
            </w:tcBorders>
            <w:tcMar>
              <w:top w:w="96" w:type="dxa"/>
              <w:left w:w="113" w:type="dxa"/>
              <w:bottom w:w="96" w:type="dxa"/>
              <w:right w:w="113" w:type="dxa"/>
            </w:tcMar>
            <w:vAlign w:val="center"/>
          </w:tcPr>
          <w:p w14:paraId="7E5A61EC" w14:textId="77777777" w:rsidR="00AE03D8" w:rsidRPr="00AE03D8" w:rsidRDefault="00AE03D8" w:rsidP="00572C15">
            <w:pPr>
              <w:pStyle w:val="CDIFigure-Table-BodyTextLeft"/>
              <w:keepNext/>
              <w:keepLines/>
            </w:pPr>
            <w:r w:rsidRPr="00AE03D8">
              <w:t>Negative</w:t>
            </w:r>
          </w:p>
        </w:tc>
        <w:tc>
          <w:tcPr>
            <w:tcW w:w="963" w:type="dxa"/>
            <w:tcBorders>
              <w:top w:val="single" w:sz="4" w:space="0" w:color="033636" w:themeColor="text2"/>
            </w:tcBorders>
            <w:tcMar>
              <w:top w:w="96" w:type="dxa"/>
              <w:left w:w="113" w:type="dxa"/>
              <w:bottom w:w="96" w:type="dxa"/>
              <w:right w:w="113" w:type="dxa"/>
            </w:tcMar>
            <w:vAlign w:val="center"/>
          </w:tcPr>
          <w:p w14:paraId="6C6B9324" w14:textId="77777777" w:rsidR="00AE03D8" w:rsidRPr="00AE03D8" w:rsidRDefault="00AE03D8" w:rsidP="00572C15">
            <w:pPr>
              <w:pStyle w:val="CDIFigure-Table-BodyTextCentre"/>
              <w:keepNext/>
              <w:keepLines/>
            </w:pPr>
            <w:r w:rsidRPr="00AE03D8">
              <w:t>782</w:t>
            </w:r>
          </w:p>
        </w:tc>
        <w:tc>
          <w:tcPr>
            <w:tcW w:w="964" w:type="dxa"/>
            <w:tcBorders>
              <w:top w:val="single" w:sz="4" w:space="0" w:color="033636" w:themeColor="text2"/>
            </w:tcBorders>
            <w:tcMar>
              <w:top w:w="96" w:type="dxa"/>
              <w:left w:w="113" w:type="dxa"/>
              <w:bottom w:w="96" w:type="dxa"/>
              <w:right w:w="113" w:type="dxa"/>
            </w:tcMar>
            <w:vAlign w:val="center"/>
          </w:tcPr>
          <w:p w14:paraId="75F8C862" w14:textId="77777777" w:rsidR="00AE03D8" w:rsidRPr="00AE03D8" w:rsidRDefault="00AE03D8" w:rsidP="00572C15">
            <w:pPr>
              <w:pStyle w:val="CDIFigure-Table-BodyTextCentre"/>
              <w:keepNext/>
              <w:keepLines/>
            </w:pPr>
            <w:r w:rsidRPr="00AE03D8">
              <w:t>39.6%</w:t>
            </w:r>
          </w:p>
        </w:tc>
        <w:tc>
          <w:tcPr>
            <w:tcW w:w="964" w:type="dxa"/>
            <w:tcBorders>
              <w:top w:val="single" w:sz="4" w:space="0" w:color="033636" w:themeColor="text2"/>
            </w:tcBorders>
            <w:tcMar>
              <w:top w:w="96" w:type="dxa"/>
              <w:left w:w="113" w:type="dxa"/>
              <w:bottom w:w="96" w:type="dxa"/>
              <w:right w:w="113" w:type="dxa"/>
            </w:tcMar>
            <w:vAlign w:val="center"/>
          </w:tcPr>
          <w:p w14:paraId="642C3EA0" w14:textId="77777777" w:rsidR="00AE03D8" w:rsidRPr="00AE03D8" w:rsidRDefault="00AE03D8" w:rsidP="00572C15">
            <w:pPr>
              <w:pStyle w:val="CDIFigure-Table-BodyTextCentre"/>
              <w:keepNext/>
              <w:keepLines/>
            </w:pPr>
            <w:r w:rsidRPr="00AE03D8">
              <w:t>262</w:t>
            </w:r>
          </w:p>
        </w:tc>
        <w:tc>
          <w:tcPr>
            <w:tcW w:w="964" w:type="dxa"/>
            <w:tcBorders>
              <w:top w:val="single" w:sz="4" w:space="0" w:color="033636" w:themeColor="text2"/>
            </w:tcBorders>
            <w:tcMar>
              <w:top w:w="96" w:type="dxa"/>
              <w:left w:w="113" w:type="dxa"/>
              <w:bottom w:w="96" w:type="dxa"/>
              <w:right w:w="113" w:type="dxa"/>
            </w:tcMar>
            <w:vAlign w:val="center"/>
          </w:tcPr>
          <w:p w14:paraId="106B770A" w14:textId="77777777" w:rsidR="00AE03D8" w:rsidRPr="00AE03D8" w:rsidRDefault="00AE03D8" w:rsidP="00572C15">
            <w:pPr>
              <w:pStyle w:val="CDIFigure-Table-BodyTextCentre"/>
              <w:keepNext/>
              <w:keepLines/>
            </w:pPr>
            <w:r w:rsidRPr="00AE03D8">
              <w:t>49.5%</w:t>
            </w:r>
          </w:p>
        </w:tc>
        <w:tc>
          <w:tcPr>
            <w:tcW w:w="963" w:type="dxa"/>
            <w:tcBorders>
              <w:top w:val="single" w:sz="4" w:space="0" w:color="033636" w:themeColor="text2"/>
            </w:tcBorders>
            <w:tcMar>
              <w:top w:w="96" w:type="dxa"/>
              <w:left w:w="113" w:type="dxa"/>
              <w:bottom w:w="96" w:type="dxa"/>
              <w:right w:w="113" w:type="dxa"/>
            </w:tcMar>
            <w:vAlign w:val="center"/>
          </w:tcPr>
          <w:p w14:paraId="05C2783A" w14:textId="77777777" w:rsidR="00AE03D8" w:rsidRPr="00AE03D8" w:rsidRDefault="00AE03D8" w:rsidP="00572C15">
            <w:pPr>
              <w:pStyle w:val="CDIFigure-Table-BodyTextCentre"/>
              <w:keepNext/>
              <w:keepLines/>
            </w:pPr>
            <w:r w:rsidRPr="00AE03D8">
              <w:t>179</w:t>
            </w:r>
          </w:p>
        </w:tc>
        <w:tc>
          <w:tcPr>
            <w:tcW w:w="964" w:type="dxa"/>
            <w:tcBorders>
              <w:top w:val="single" w:sz="4" w:space="0" w:color="033636" w:themeColor="text2"/>
            </w:tcBorders>
            <w:tcMar>
              <w:top w:w="96" w:type="dxa"/>
              <w:left w:w="113" w:type="dxa"/>
              <w:bottom w:w="96" w:type="dxa"/>
              <w:right w:w="113" w:type="dxa"/>
            </w:tcMar>
            <w:vAlign w:val="center"/>
          </w:tcPr>
          <w:p w14:paraId="108B0863" w14:textId="77777777" w:rsidR="00AE03D8" w:rsidRPr="00AE03D8" w:rsidRDefault="00AE03D8" w:rsidP="00572C15">
            <w:pPr>
              <w:pStyle w:val="CDIFigure-Table-BodyTextCentre"/>
              <w:keepNext/>
              <w:keepLines/>
            </w:pPr>
            <w:r w:rsidRPr="00AE03D8">
              <w:t>38.1%</w:t>
            </w:r>
          </w:p>
        </w:tc>
        <w:tc>
          <w:tcPr>
            <w:tcW w:w="964" w:type="dxa"/>
            <w:tcBorders>
              <w:top w:val="single" w:sz="4" w:space="0" w:color="033636" w:themeColor="text2"/>
            </w:tcBorders>
            <w:tcMar>
              <w:top w:w="96" w:type="dxa"/>
              <w:left w:w="113" w:type="dxa"/>
              <w:bottom w:w="96" w:type="dxa"/>
              <w:right w:w="113" w:type="dxa"/>
            </w:tcMar>
            <w:vAlign w:val="center"/>
          </w:tcPr>
          <w:p w14:paraId="40CD8419" w14:textId="77777777" w:rsidR="00AE03D8" w:rsidRPr="00AE03D8" w:rsidRDefault="00AE03D8" w:rsidP="00572C15">
            <w:pPr>
              <w:pStyle w:val="CDIFigure-Table-BodyTextCentre"/>
              <w:keepNext/>
              <w:keepLines/>
            </w:pPr>
            <w:r w:rsidRPr="00AE03D8">
              <w:t>171</w:t>
            </w:r>
          </w:p>
        </w:tc>
        <w:tc>
          <w:tcPr>
            <w:tcW w:w="964" w:type="dxa"/>
            <w:tcBorders>
              <w:top w:val="single" w:sz="4" w:space="0" w:color="033636" w:themeColor="text2"/>
            </w:tcBorders>
            <w:tcMar>
              <w:top w:w="96" w:type="dxa"/>
              <w:left w:w="113" w:type="dxa"/>
              <w:bottom w:w="96" w:type="dxa"/>
              <w:right w:w="113" w:type="dxa"/>
            </w:tcMar>
            <w:vAlign w:val="center"/>
          </w:tcPr>
          <w:p w14:paraId="27518D86" w14:textId="77777777" w:rsidR="00AE03D8" w:rsidRPr="00AE03D8" w:rsidRDefault="00AE03D8" w:rsidP="00572C15">
            <w:pPr>
              <w:pStyle w:val="CDIFigure-Table-BodyTextCentre"/>
              <w:keepNext/>
              <w:keepLines/>
            </w:pPr>
            <w:r w:rsidRPr="00AE03D8">
              <w:t>36.5%</w:t>
            </w:r>
          </w:p>
        </w:tc>
        <w:tc>
          <w:tcPr>
            <w:tcW w:w="964" w:type="dxa"/>
            <w:tcBorders>
              <w:top w:val="single" w:sz="4" w:space="0" w:color="033636" w:themeColor="text2"/>
            </w:tcBorders>
            <w:tcMar>
              <w:top w:w="96" w:type="dxa"/>
              <w:left w:w="113" w:type="dxa"/>
              <w:bottom w:w="96" w:type="dxa"/>
              <w:right w:w="113" w:type="dxa"/>
            </w:tcMar>
            <w:vAlign w:val="center"/>
          </w:tcPr>
          <w:p w14:paraId="7EAF0A5E" w14:textId="77777777" w:rsidR="00AE03D8" w:rsidRPr="00AE03D8" w:rsidRDefault="00AE03D8" w:rsidP="00572C15">
            <w:pPr>
              <w:pStyle w:val="CDIFigure-Table-BodyTextCentre"/>
              <w:keepNext/>
              <w:keepLines/>
            </w:pPr>
            <w:r w:rsidRPr="00AE03D8">
              <w:t>168</w:t>
            </w:r>
          </w:p>
        </w:tc>
        <w:tc>
          <w:tcPr>
            <w:tcW w:w="963" w:type="dxa"/>
            <w:tcBorders>
              <w:top w:val="single" w:sz="4" w:space="0" w:color="033636" w:themeColor="text2"/>
            </w:tcBorders>
            <w:tcMar>
              <w:top w:w="96" w:type="dxa"/>
              <w:left w:w="113" w:type="dxa"/>
              <w:bottom w:w="96" w:type="dxa"/>
              <w:right w:w="113" w:type="dxa"/>
            </w:tcMar>
            <w:vAlign w:val="center"/>
          </w:tcPr>
          <w:p w14:paraId="1C2DBD4C" w14:textId="77777777" w:rsidR="00AE03D8" w:rsidRPr="00AE03D8" w:rsidRDefault="00AE03D8" w:rsidP="00572C15">
            <w:pPr>
              <w:pStyle w:val="CDIFigure-Table-BodyTextCentre"/>
              <w:keepNext/>
              <w:keepLines/>
            </w:pPr>
            <w:r w:rsidRPr="00AE03D8">
              <w:t>33.6%</w:t>
            </w:r>
          </w:p>
        </w:tc>
      </w:tr>
      <w:tr w:rsidR="0043652D" w:rsidRPr="00AE03D8" w14:paraId="5613E97C"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7224EA31" w14:textId="77777777" w:rsidR="00AE03D8" w:rsidRPr="00AE03D8" w:rsidRDefault="00AE03D8" w:rsidP="00572C15">
            <w:pPr>
              <w:pStyle w:val="CDIFigure-Table-BodyTextLeft"/>
              <w:keepNext/>
              <w:keepLines/>
            </w:pPr>
          </w:p>
        </w:tc>
        <w:tc>
          <w:tcPr>
            <w:tcW w:w="2155" w:type="dxa"/>
            <w:shd w:val="clear" w:color="auto" w:fill="F2F2F2" w:themeFill="background1" w:themeFillShade="F2"/>
            <w:tcMar>
              <w:top w:w="96" w:type="dxa"/>
              <w:left w:w="113" w:type="dxa"/>
              <w:bottom w:w="96" w:type="dxa"/>
              <w:right w:w="113" w:type="dxa"/>
            </w:tcMar>
            <w:vAlign w:val="center"/>
          </w:tcPr>
          <w:p w14:paraId="0D393CA2" w14:textId="77777777" w:rsidR="00AE03D8" w:rsidRPr="00AE03D8" w:rsidRDefault="00AE03D8" w:rsidP="00572C15">
            <w:pPr>
              <w:pStyle w:val="CDIFigure-Table-BodyTextLeft"/>
              <w:keepNext/>
              <w:keepLines/>
            </w:pPr>
            <w:r w:rsidRPr="00AE03D8">
              <w:t>Positive</w:t>
            </w:r>
          </w:p>
        </w:tc>
        <w:tc>
          <w:tcPr>
            <w:tcW w:w="963" w:type="dxa"/>
            <w:shd w:val="clear" w:color="auto" w:fill="F2F2F2" w:themeFill="background1" w:themeFillShade="F2"/>
            <w:tcMar>
              <w:top w:w="96" w:type="dxa"/>
              <w:left w:w="113" w:type="dxa"/>
              <w:bottom w:w="96" w:type="dxa"/>
              <w:right w:w="113" w:type="dxa"/>
            </w:tcMar>
            <w:vAlign w:val="center"/>
          </w:tcPr>
          <w:p w14:paraId="67D7DCCE" w14:textId="77777777" w:rsidR="00AE03D8" w:rsidRPr="00AE03D8" w:rsidRDefault="00AE03D8" w:rsidP="00572C15">
            <w:pPr>
              <w:pStyle w:val="CDIFigure-Table-BodyTextCentre"/>
              <w:keepNext/>
              <w:keepLines/>
            </w:pPr>
            <w:r w:rsidRPr="00AE03D8">
              <w:t>1,191</w:t>
            </w:r>
          </w:p>
        </w:tc>
        <w:tc>
          <w:tcPr>
            <w:tcW w:w="964" w:type="dxa"/>
            <w:shd w:val="clear" w:color="auto" w:fill="F2F2F2" w:themeFill="background1" w:themeFillShade="F2"/>
            <w:tcMar>
              <w:top w:w="96" w:type="dxa"/>
              <w:left w:w="113" w:type="dxa"/>
              <w:bottom w:w="96" w:type="dxa"/>
              <w:right w:w="113" w:type="dxa"/>
            </w:tcMar>
            <w:vAlign w:val="center"/>
          </w:tcPr>
          <w:p w14:paraId="5F3EAF63" w14:textId="77777777" w:rsidR="00AE03D8" w:rsidRPr="00AE03D8" w:rsidRDefault="00AE03D8" w:rsidP="00572C15">
            <w:pPr>
              <w:pStyle w:val="CDIFigure-Table-BodyTextCentre"/>
              <w:keepNext/>
              <w:keepLines/>
            </w:pPr>
            <w:r w:rsidRPr="00AE03D8">
              <w:t>60.3%</w:t>
            </w:r>
          </w:p>
        </w:tc>
        <w:tc>
          <w:tcPr>
            <w:tcW w:w="964" w:type="dxa"/>
            <w:shd w:val="clear" w:color="auto" w:fill="F2F2F2" w:themeFill="background1" w:themeFillShade="F2"/>
            <w:tcMar>
              <w:top w:w="96" w:type="dxa"/>
              <w:left w:w="113" w:type="dxa"/>
              <w:bottom w:w="96" w:type="dxa"/>
              <w:right w:w="113" w:type="dxa"/>
            </w:tcMar>
            <w:vAlign w:val="center"/>
          </w:tcPr>
          <w:p w14:paraId="02DB6008" w14:textId="77777777" w:rsidR="00AE03D8" w:rsidRPr="00AE03D8" w:rsidRDefault="00AE03D8" w:rsidP="00572C15">
            <w:pPr>
              <w:pStyle w:val="CDIFigure-Table-BodyTextCentre"/>
              <w:keepNext/>
              <w:keepLines/>
            </w:pPr>
            <w:r w:rsidRPr="00AE03D8">
              <w:t>266</w:t>
            </w:r>
          </w:p>
        </w:tc>
        <w:tc>
          <w:tcPr>
            <w:tcW w:w="964" w:type="dxa"/>
            <w:shd w:val="clear" w:color="auto" w:fill="F2F2F2" w:themeFill="background1" w:themeFillShade="F2"/>
            <w:tcMar>
              <w:top w:w="96" w:type="dxa"/>
              <w:left w:w="113" w:type="dxa"/>
              <w:bottom w:w="96" w:type="dxa"/>
              <w:right w:w="113" w:type="dxa"/>
            </w:tcMar>
            <w:vAlign w:val="center"/>
          </w:tcPr>
          <w:p w14:paraId="34FFB812" w14:textId="77777777" w:rsidR="00AE03D8" w:rsidRPr="00AE03D8" w:rsidRDefault="00AE03D8" w:rsidP="00572C15">
            <w:pPr>
              <w:pStyle w:val="CDIFigure-Table-BodyTextCentre"/>
              <w:keepNext/>
              <w:keepLines/>
            </w:pPr>
            <w:r w:rsidRPr="00AE03D8">
              <w:t>50.3%</w:t>
            </w:r>
          </w:p>
        </w:tc>
        <w:tc>
          <w:tcPr>
            <w:tcW w:w="963" w:type="dxa"/>
            <w:shd w:val="clear" w:color="auto" w:fill="F2F2F2" w:themeFill="background1" w:themeFillShade="F2"/>
            <w:tcMar>
              <w:top w:w="96" w:type="dxa"/>
              <w:left w:w="113" w:type="dxa"/>
              <w:bottom w:w="96" w:type="dxa"/>
              <w:right w:w="113" w:type="dxa"/>
            </w:tcMar>
            <w:vAlign w:val="center"/>
          </w:tcPr>
          <w:p w14:paraId="514567FA" w14:textId="77777777" w:rsidR="00AE03D8" w:rsidRPr="00AE03D8" w:rsidRDefault="00AE03D8" w:rsidP="00572C15">
            <w:pPr>
              <w:pStyle w:val="CDIFigure-Table-BodyTextCentre"/>
              <w:keepNext/>
              <w:keepLines/>
            </w:pPr>
            <w:r w:rsidRPr="00AE03D8">
              <w:t>291</w:t>
            </w:r>
          </w:p>
        </w:tc>
        <w:tc>
          <w:tcPr>
            <w:tcW w:w="964" w:type="dxa"/>
            <w:shd w:val="clear" w:color="auto" w:fill="F2F2F2" w:themeFill="background1" w:themeFillShade="F2"/>
            <w:tcMar>
              <w:top w:w="96" w:type="dxa"/>
              <w:left w:w="113" w:type="dxa"/>
              <w:bottom w:w="96" w:type="dxa"/>
              <w:right w:w="113" w:type="dxa"/>
            </w:tcMar>
            <w:vAlign w:val="center"/>
          </w:tcPr>
          <w:p w14:paraId="6EB2BFB4" w14:textId="77777777" w:rsidR="00AE03D8" w:rsidRPr="00AE03D8" w:rsidRDefault="00AE03D8" w:rsidP="00572C15">
            <w:pPr>
              <w:pStyle w:val="CDIFigure-Table-BodyTextCentre"/>
              <w:keepNext/>
              <w:keepLines/>
            </w:pPr>
            <w:r w:rsidRPr="00AE03D8">
              <w:t>61.9%</w:t>
            </w:r>
          </w:p>
        </w:tc>
        <w:tc>
          <w:tcPr>
            <w:tcW w:w="964" w:type="dxa"/>
            <w:shd w:val="clear" w:color="auto" w:fill="F2F2F2" w:themeFill="background1" w:themeFillShade="F2"/>
            <w:tcMar>
              <w:top w:w="96" w:type="dxa"/>
              <w:left w:w="113" w:type="dxa"/>
              <w:bottom w:w="96" w:type="dxa"/>
              <w:right w:w="113" w:type="dxa"/>
            </w:tcMar>
            <w:vAlign w:val="center"/>
          </w:tcPr>
          <w:p w14:paraId="5A714D15" w14:textId="77777777" w:rsidR="00AE03D8" w:rsidRPr="00AE03D8" w:rsidRDefault="00AE03D8" w:rsidP="00572C15">
            <w:pPr>
              <w:pStyle w:val="CDIFigure-Table-BodyTextCentre"/>
              <w:keepNext/>
              <w:keepLines/>
            </w:pPr>
            <w:r w:rsidRPr="00AE03D8">
              <w:t>298</w:t>
            </w:r>
          </w:p>
        </w:tc>
        <w:tc>
          <w:tcPr>
            <w:tcW w:w="964" w:type="dxa"/>
            <w:shd w:val="clear" w:color="auto" w:fill="F2F2F2" w:themeFill="background1" w:themeFillShade="F2"/>
            <w:tcMar>
              <w:top w:w="96" w:type="dxa"/>
              <w:left w:w="113" w:type="dxa"/>
              <w:bottom w:w="96" w:type="dxa"/>
              <w:right w:w="113" w:type="dxa"/>
            </w:tcMar>
            <w:vAlign w:val="center"/>
          </w:tcPr>
          <w:p w14:paraId="47A6FFA9" w14:textId="77777777" w:rsidR="00AE03D8" w:rsidRPr="00AE03D8" w:rsidRDefault="00AE03D8" w:rsidP="00572C15">
            <w:pPr>
              <w:pStyle w:val="CDIFigure-Table-BodyTextCentre"/>
              <w:keepNext/>
              <w:keepLines/>
            </w:pPr>
            <w:r w:rsidRPr="00AE03D8">
              <w:t>63.5%</w:t>
            </w:r>
          </w:p>
        </w:tc>
        <w:tc>
          <w:tcPr>
            <w:tcW w:w="964" w:type="dxa"/>
            <w:shd w:val="clear" w:color="auto" w:fill="F2F2F2" w:themeFill="background1" w:themeFillShade="F2"/>
            <w:tcMar>
              <w:top w:w="96" w:type="dxa"/>
              <w:left w:w="113" w:type="dxa"/>
              <w:bottom w:w="96" w:type="dxa"/>
              <w:right w:w="113" w:type="dxa"/>
            </w:tcMar>
            <w:vAlign w:val="center"/>
          </w:tcPr>
          <w:p w14:paraId="6CAAD8D9" w14:textId="77777777" w:rsidR="00AE03D8" w:rsidRPr="00AE03D8" w:rsidRDefault="00AE03D8" w:rsidP="00572C15">
            <w:pPr>
              <w:pStyle w:val="CDIFigure-Table-BodyTextCentre"/>
              <w:keepNext/>
              <w:keepLines/>
            </w:pPr>
            <w:r w:rsidRPr="00AE03D8">
              <w:t>332</w:t>
            </w:r>
          </w:p>
        </w:tc>
        <w:tc>
          <w:tcPr>
            <w:tcW w:w="963" w:type="dxa"/>
            <w:shd w:val="clear" w:color="auto" w:fill="F2F2F2" w:themeFill="background1" w:themeFillShade="F2"/>
            <w:tcMar>
              <w:top w:w="96" w:type="dxa"/>
              <w:left w:w="113" w:type="dxa"/>
              <w:bottom w:w="96" w:type="dxa"/>
              <w:right w:w="113" w:type="dxa"/>
            </w:tcMar>
            <w:vAlign w:val="center"/>
          </w:tcPr>
          <w:p w14:paraId="714DF098" w14:textId="77777777" w:rsidR="00AE03D8" w:rsidRPr="00AE03D8" w:rsidRDefault="00AE03D8" w:rsidP="00572C15">
            <w:pPr>
              <w:pStyle w:val="CDIFigure-Table-BodyTextCentre"/>
              <w:keepNext/>
              <w:keepLines/>
            </w:pPr>
            <w:r w:rsidRPr="00AE03D8">
              <w:t>66.4%</w:t>
            </w:r>
          </w:p>
        </w:tc>
      </w:tr>
      <w:tr w:rsidR="00AE03D8" w:rsidRPr="00AE03D8" w14:paraId="685013FA"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54F11409" w14:textId="77777777" w:rsidR="00AE03D8" w:rsidRPr="00AE03D8" w:rsidRDefault="00AE03D8" w:rsidP="0043652D">
            <w:pPr>
              <w:pStyle w:val="CDIFigure-Table-BodyTextLeft"/>
            </w:pPr>
          </w:p>
        </w:tc>
        <w:tc>
          <w:tcPr>
            <w:tcW w:w="2155" w:type="dxa"/>
            <w:tcBorders>
              <w:bottom w:val="single" w:sz="4" w:space="0" w:color="033636" w:themeColor="text2"/>
            </w:tcBorders>
            <w:tcMar>
              <w:top w:w="96" w:type="dxa"/>
              <w:left w:w="113" w:type="dxa"/>
              <w:bottom w:w="96" w:type="dxa"/>
              <w:right w:w="113" w:type="dxa"/>
            </w:tcMar>
            <w:vAlign w:val="center"/>
          </w:tcPr>
          <w:p w14:paraId="3F9A7CE1" w14:textId="77777777" w:rsidR="00AE03D8" w:rsidRPr="00AE03D8" w:rsidRDefault="00AE03D8" w:rsidP="0043652D">
            <w:pPr>
              <w:pStyle w:val="CDIFigure-Table-BodyTextLeft"/>
            </w:pPr>
            <w:r w:rsidRPr="00AE03D8">
              <w:t>Missing</w:t>
            </w:r>
          </w:p>
        </w:tc>
        <w:tc>
          <w:tcPr>
            <w:tcW w:w="963" w:type="dxa"/>
            <w:tcBorders>
              <w:bottom w:val="single" w:sz="4" w:space="0" w:color="033636" w:themeColor="text2"/>
            </w:tcBorders>
            <w:tcMar>
              <w:top w:w="96" w:type="dxa"/>
              <w:left w:w="113" w:type="dxa"/>
              <w:bottom w:w="96" w:type="dxa"/>
              <w:right w:w="113" w:type="dxa"/>
            </w:tcMar>
            <w:vAlign w:val="center"/>
          </w:tcPr>
          <w:p w14:paraId="24B594E3"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tcMar>
              <w:top w:w="96" w:type="dxa"/>
              <w:left w:w="113" w:type="dxa"/>
              <w:bottom w:w="96" w:type="dxa"/>
              <w:right w:w="113" w:type="dxa"/>
            </w:tcMar>
            <w:vAlign w:val="center"/>
          </w:tcPr>
          <w:p w14:paraId="651D9770" w14:textId="77777777" w:rsidR="00AE03D8" w:rsidRPr="00AE03D8" w:rsidRDefault="00AE03D8" w:rsidP="0043652D">
            <w:pPr>
              <w:pStyle w:val="CDIFigure-Table-BodyTextCentre"/>
            </w:pPr>
            <w:r w:rsidRPr="00AE03D8">
              <w:t>0.1%</w:t>
            </w:r>
          </w:p>
        </w:tc>
        <w:tc>
          <w:tcPr>
            <w:tcW w:w="964" w:type="dxa"/>
            <w:tcBorders>
              <w:bottom w:val="single" w:sz="4" w:space="0" w:color="033636" w:themeColor="text2"/>
            </w:tcBorders>
            <w:tcMar>
              <w:top w:w="96" w:type="dxa"/>
              <w:left w:w="113" w:type="dxa"/>
              <w:bottom w:w="96" w:type="dxa"/>
              <w:right w:w="113" w:type="dxa"/>
            </w:tcMar>
            <w:vAlign w:val="center"/>
          </w:tcPr>
          <w:p w14:paraId="3B478EC3"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tcMar>
              <w:top w:w="96" w:type="dxa"/>
              <w:left w:w="113" w:type="dxa"/>
              <w:bottom w:w="96" w:type="dxa"/>
              <w:right w:w="113" w:type="dxa"/>
            </w:tcMar>
            <w:vAlign w:val="center"/>
          </w:tcPr>
          <w:p w14:paraId="433C97F8" w14:textId="77777777" w:rsidR="00AE03D8" w:rsidRPr="00AE03D8" w:rsidRDefault="00AE03D8" w:rsidP="0043652D">
            <w:pPr>
              <w:pStyle w:val="CDIFigure-Table-BodyTextCentre"/>
            </w:pPr>
            <w:r w:rsidRPr="00AE03D8">
              <w:t>0.2%</w:t>
            </w:r>
          </w:p>
        </w:tc>
        <w:tc>
          <w:tcPr>
            <w:tcW w:w="963" w:type="dxa"/>
            <w:tcBorders>
              <w:bottom w:val="single" w:sz="4" w:space="0" w:color="033636" w:themeColor="text2"/>
            </w:tcBorders>
            <w:tcMar>
              <w:top w:w="96" w:type="dxa"/>
              <w:left w:w="113" w:type="dxa"/>
              <w:bottom w:w="96" w:type="dxa"/>
              <w:right w:w="113" w:type="dxa"/>
            </w:tcMar>
            <w:vAlign w:val="center"/>
          </w:tcPr>
          <w:p w14:paraId="069EE9BA"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tcMar>
              <w:top w:w="96" w:type="dxa"/>
              <w:left w:w="113" w:type="dxa"/>
              <w:bottom w:w="96" w:type="dxa"/>
              <w:right w:w="113" w:type="dxa"/>
            </w:tcMar>
            <w:vAlign w:val="center"/>
          </w:tcPr>
          <w:p w14:paraId="197935E0"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tcMar>
              <w:top w:w="96" w:type="dxa"/>
              <w:left w:w="113" w:type="dxa"/>
              <w:bottom w:w="96" w:type="dxa"/>
              <w:right w:w="113" w:type="dxa"/>
            </w:tcMar>
            <w:vAlign w:val="center"/>
          </w:tcPr>
          <w:p w14:paraId="5A1499C8"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tcMar>
              <w:top w:w="96" w:type="dxa"/>
              <w:left w:w="113" w:type="dxa"/>
              <w:bottom w:w="96" w:type="dxa"/>
              <w:right w:w="113" w:type="dxa"/>
            </w:tcMar>
            <w:vAlign w:val="center"/>
          </w:tcPr>
          <w:p w14:paraId="635C6B77"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tcMar>
              <w:top w:w="96" w:type="dxa"/>
              <w:left w:w="113" w:type="dxa"/>
              <w:bottom w:w="96" w:type="dxa"/>
              <w:right w:w="113" w:type="dxa"/>
            </w:tcMar>
            <w:vAlign w:val="center"/>
          </w:tcPr>
          <w:p w14:paraId="6B939DF4"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tcMar>
              <w:top w:w="96" w:type="dxa"/>
              <w:left w:w="113" w:type="dxa"/>
              <w:bottom w:w="96" w:type="dxa"/>
              <w:right w:w="113" w:type="dxa"/>
            </w:tcMar>
            <w:vAlign w:val="center"/>
          </w:tcPr>
          <w:p w14:paraId="191F7ECC" w14:textId="77777777" w:rsidR="00AE03D8" w:rsidRPr="00AE03D8" w:rsidRDefault="00AE03D8" w:rsidP="0043652D">
            <w:pPr>
              <w:pStyle w:val="CDIFigure-Table-BodyTextCentre"/>
            </w:pPr>
            <w:r w:rsidRPr="00AE03D8">
              <w:t>0%</w:t>
            </w:r>
          </w:p>
        </w:tc>
      </w:tr>
      <w:tr w:rsidR="0043652D" w:rsidRPr="00AE03D8" w14:paraId="63CEDC4A"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631B3CAD" w14:textId="77777777" w:rsidR="00AE03D8" w:rsidRPr="00AE03D8" w:rsidRDefault="00AE03D8" w:rsidP="0043652D">
            <w:pPr>
              <w:pStyle w:val="CDIFigure-Table-BodyTextLeft"/>
            </w:pPr>
            <w:r w:rsidRPr="00AE03D8">
              <w:t>Anti-spike serostatus (unadjusted)</w:t>
            </w:r>
          </w:p>
        </w:tc>
        <w:tc>
          <w:tcPr>
            <w:tcW w:w="2155"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6F3B767" w14:textId="77777777" w:rsidR="00AE03D8" w:rsidRPr="00AE03D8" w:rsidRDefault="00AE03D8" w:rsidP="0043652D">
            <w:pPr>
              <w:pStyle w:val="CDIFigure-Table-BodyTextLeft"/>
            </w:pPr>
            <w:r w:rsidRPr="00AE03D8">
              <w:t>Negative</w:t>
            </w:r>
          </w:p>
        </w:tc>
        <w:tc>
          <w:tcPr>
            <w:tcW w:w="963"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ECFBC3D" w14:textId="77777777" w:rsidR="00AE03D8" w:rsidRPr="00AE03D8" w:rsidRDefault="00AE03D8" w:rsidP="0043652D">
            <w:pPr>
              <w:pStyle w:val="CDIFigure-Table-BodyTextCentre"/>
            </w:pPr>
            <w:r w:rsidRPr="00AE03D8">
              <w:t>38</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275577D" w14:textId="77777777" w:rsidR="00AE03D8" w:rsidRPr="00AE03D8" w:rsidRDefault="00AE03D8" w:rsidP="0043652D">
            <w:pPr>
              <w:pStyle w:val="CDIFigure-Table-BodyTextCentre"/>
            </w:pPr>
            <w:r w:rsidRPr="00AE03D8">
              <w:t>1.9%</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AAA1C78" w14:textId="77777777" w:rsidR="00AE03D8" w:rsidRPr="00AE03D8" w:rsidRDefault="00AE03D8" w:rsidP="0043652D">
            <w:pPr>
              <w:pStyle w:val="CDIFigure-Table-BodyTextCentre"/>
            </w:pPr>
            <w:r w:rsidRPr="00AE03D8">
              <w:t>19</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B12FB10" w14:textId="77777777" w:rsidR="00AE03D8" w:rsidRPr="00AE03D8" w:rsidRDefault="00AE03D8" w:rsidP="0043652D">
            <w:pPr>
              <w:pStyle w:val="CDIFigure-Table-BodyTextCentre"/>
            </w:pPr>
            <w:r w:rsidRPr="00AE03D8">
              <w:t>3.6%</w:t>
            </w:r>
          </w:p>
        </w:tc>
        <w:tc>
          <w:tcPr>
            <w:tcW w:w="963"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2367BFD" w14:textId="77777777" w:rsidR="00AE03D8" w:rsidRPr="00AE03D8" w:rsidRDefault="00AE03D8" w:rsidP="0043652D">
            <w:pPr>
              <w:pStyle w:val="CDIFigure-Table-BodyTextCentre"/>
            </w:pPr>
            <w:r w:rsidRPr="00AE03D8">
              <w:t>11</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F3F7751" w14:textId="77777777" w:rsidR="00AE03D8" w:rsidRPr="00AE03D8" w:rsidRDefault="00AE03D8" w:rsidP="0043652D">
            <w:pPr>
              <w:pStyle w:val="CDIFigure-Table-BodyTextCentre"/>
            </w:pPr>
            <w:r w:rsidRPr="00AE03D8">
              <w:t>2.3%</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0D15988" w14:textId="77777777" w:rsidR="00AE03D8" w:rsidRPr="00AE03D8" w:rsidRDefault="00AE03D8" w:rsidP="0043652D">
            <w:pPr>
              <w:pStyle w:val="CDIFigure-Table-BodyTextCentre"/>
            </w:pPr>
            <w:r w:rsidRPr="00AE03D8">
              <w:t>4</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A64A108" w14:textId="77777777" w:rsidR="00AE03D8" w:rsidRPr="00AE03D8" w:rsidRDefault="00AE03D8" w:rsidP="0043652D">
            <w:pPr>
              <w:pStyle w:val="CDIFigure-Table-BodyTextCentre"/>
            </w:pPr>
            <w:r w:rsidRPr="00AE03D8">
              <w:t>0.9%</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18275A9" w14:textId="77777777" w:rsidR="00AE03D8" w:rsidRPr="00AE03D8" w:rsidRDefault="00AE03D8" w:rsidP="0043652D">
            <w:pPr>
              <w:pStyle w:val="CDIFigure-Table-BodyTextCentre"/>
            </w:pPr>
            <w:r w:rsidRPr="00AE03D8">
              <w:t>3</w:t>
            </w:r>
          </w:p>
        </w:tc>
        <w:tc>
          <w:tcPr>
            <w:tcW w:w="963"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4E8D8B8" w14:textId="77777777" w:rsidR="00AE03D8" w:rsidRPr="00AE03D8" w:rsidRDefault="00AE03D8" w:rsidP="0043652D">
            <w:pPr>
              <w:pStyle w:val="CDIFigure-Table-BodyTextCentre"/>
            </w:pPr>
            <w:r w:rsidRPr="00AE03D8">
              <w:t>0.6%</w:t>
            </w:r>
          </w:p>
        </w:tc>
      </w:tr>
      <w:tr w:rsidR="00AE03D8" w:rsidRPr="00AE03D8" w14:paraId="63CDC737"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11E5EDBC" w14:textId="77777777" w:rsidR="00AE03D8" w:rsidRPr="00AE03D8" w:rsidRDefault="00AE03D8" w:rsidP="00AE03D8"/>
        </w:tc>
        <w:tc>
          <w:tcPr>
            <w:tcW w:w="2155" w:type="dxa"/>
            <w:tcMar>
              <w:top w:w="96" w:type="dxa"/>
              <w:left w:w="113" w:type="dxa"/>
              <w:bottom w:w="96" w:type="dxa"/>
              <w:right w:w="113" w:type="dxa"/>
            </w:tcMar>
            <w:vAlign w:val="center"/>
          </w:tcPr>
          <w:p w14:paraId="3CDDF986" w14:textId="77777777" w:rsidR="00AE03D8" w:rsidRPr="00AE03D8" w:rsidRDefault="00AE03D8" w:rsidP="0043652D">
            <w:pPr>
              <w:pStyle w:val="CDIFigure-Table-BodyTextLeft"/>
            </w:pPr>
            <w:r w:rsidRPr="00AE03D8">
              <w:t>Positive</w:t>
            </w:r>
          </w:p>
        </w:tc>
        <w:tc>
          <w:tcPr>
            <w:tcW w:w="963" w:type="dxa"/>
            <w:tcMar>
              <w:top w:w="96" w:type="dxa"/>
              <w:left w:w="113" w:type="dxa"/>
              <w:bottom w:w="96" w:type="dxa"/>
              <w:right w:w="113" w:type="dxa"/>
            </w:tcMar>
            <w:vAlign w:val="center"/>
          </w:tcPr>
          <w:p w14:paraId="2ABA544F" w14:textId="77777777" w:rsidR="00AE03D8" w:rsidRPr="00AE03D8" w:rsidRDefault="00AE03D8" w:rsidP="0043652D">
            <w:pPr>
              <w:pStyle w:val="CDIFigure-Table-BodyTextCentre"/>
            </w:pPr>
            <w:r w:rsidRPr="00AE03D8">
              <w:t>1,935</w:t>
            </w:r>
          </w:p>
        </w:tc>
        <w:tc>
          <w:tcPr>
            <w:tcW w:w="964" w:type="dxa"/>
            <w:tcMar>
              <w:top w:w="96" w:type="dxa"/>
              <w:left w:w="113" w:type="dxa"/>
              <w:bottom w:w="96" w:type="dxa"/>
              <w:right w:w="113" w:type="dxa"/>
            </w:tcMar>
            <w:vAlign w:val="center"/>
          </w:tcPr>
          <w:p w14:paraId="4941313E" w14:textId="77777777" w:rsidR="00AE03D8" w:rsidRPr="00AE03D8" w:rsidRDefault="00AE03D8" w:rsidP="0043652D">
            <w:pPr>
              <w:pStyle w:val="CDIFigure-Table-BodyTextCentre"/>
            </w:pPr>
            <w:r w:rsidRPr="00AE03D8">
              <w:t>98.0%</w:t>
            </w:r>
          </w:p>
        </w:tc>
        <w:tc>
          <w:tcPr>
            <w:tcW w:w="964" w:type="dxa"/>
            <w:tcMar>
              <w:top w:w="96" w:type="dxa"/>
              <w:left w:w="113" w:type="dxa"/>
              <w:bottom w:w="96" w:type="dxa"/>
              <w:right w:w="113" w:type="dxa"/>
            </w:tcMar>
            <w:vAlign w:val="center"/>
          </w:tcPr>
          <w:p w14:paraId="650AE97E" w14:textId="77777777" w:rsidR="00AE03D8" w:rsidRPr="00AE03D8" w:rsidRDefault="00AE03D8" w:rsidP="0043652D">
            <w:pPr>
              <w:pStyle w:val="CDIFigure-Table-BodyTextCentre"/>
            </w:pPr>
            <w:r w:rsidRPr="00AE03D8">
              <w:t>509</w:t>
            </w:r>
          </w:p>
        </w:tc>
        <w:tc>
          <w:tcPr>
            <w:tcW w:w="964" w:type="dxa"/>
            <w:tcMar>
              <w:top w:w="96" w:type="dxa"/>
              <w:left w:w="113" w:type="dxa"/>
              <w:bottom w:w="96" w:type="dxa"/>
              <w:right w:w="113" w:type="dxa"/>
            </w:tcMar>
            <w:vAlign w:val="center"/>
          </w:tcPr>
          <w:p w14:paraId="6EAC7C09" w14:textId="77777777" w:rsidR="00AE03D8" w:rsidRPr="00AE03D8" w:rsidRDefault="00AE03D8" w:rsidP="0043652D">
            <w:pPr>
              <w:pStyle w:val="CDIFigure-Table-BodyTextCentre"/>
            </w:pPr>
            <w:r w:rsidRPr="00AE03D8">
              <w:t>96.2%</w:t>
            </w:r>
          </w:p>
        </w:tc>
        <w:tc>
          <w:tcPr>
            <w:tcW w:w="963" w:type="dxa"/>
            <w:tcMar>
              <w:top w:w="96" w:type="dxa"/>
              <w:left w:w="113" w:type="dxa"/>
              <w:bottom w:w="96" w:type="dxa"/>
              <w:right w:w="113" w:type="dxa"/>
            </w:tcMar>
            <w:vAlign w:val="center"/>
          </w:tcPr>
          <w:p w14:paraId="6A1F495F" w14:textId="77777777" w:rsidR="00AE03D8" w:rsidRPr="00AE03D8" w:rsidRDefault="00AE03D8" w:rsidP="0043652D">
            <w:pPr>
              <w:pStyle w:val="CDIFigure-Table-BodyTextCentre"/>
            </w:pPr>
            <w:r w:rsidRPr="00AE03D8">
              <w:t>459</w:t>
            </w:r>
          </w:p>
        </w:tc>
        <w:tc>
          <w:tcPr>
            <w:tcW w:w="964" w:type="dxa"/>
            <w:tcMar>
              <w:top w:w="96" w:type="dxa"/>
              <w:left w:w="113" w:type="dxa"/>
              <w:bottom w:w="96" w:type="dxa"/>
              <w:right w:w="113" w:type="dxa"/>
            </w:tcMar>
            <w:vAlign w:val="center"/>
          </w:tcPr>
          <w:p w14:paraId="4D4EB520" w14:textId="77777777" w:rsidR="00AE03D8" w:rsidRPr="00AE03D8" w:rsidRDefault="00AE03D8" w:rsidP="0043652D">
            <w:pPr>
              <w:pStyle w:val="CDIFigure-Table-BodyTextCentre"/>
            </w:pPr>
            <w:r w:rsidRPr="00AE03D8">
              <w:t>97.7%</w:t>
            </w:r>
          </w:p>
        </w:tc>
        <w:tc>
          <w:tcPr>
            <w:tcW w:w="964" w:type="dxa"/>
            <w:tcMar>
              <w:top w:w="96" w:type="dxa"/>
              <w:left w:w="113" w:type="dxa"/>
              <w:bottom w:w="96" w:type="dxa"/>
              <w:right w:w="113" w:type="dxa"/>
            </w:tcMar>
            <w:vAlign w:val="center"/>
          </w:tcPr>
          <w:p w14:paraId="5F8770E1" w14:textId="77777777" w:rsidR="00AE03D8" w:rsidRPr="00AE03D8" w:rsidRDefault="00AE03D8" w:rsidP="0043652D">
            <w:pPr>
              <w:pStyle w:val="CDIFigure-Table-BodyTextCentre"/>
            </w:pPr>
            <w:r w:rsidRPr="00AE03D8">
              <w:t>465</w:t>
            </w:r>
          </w:p>
        </w:tc>
        <w:tc>
          <w:tcPr>
            <w:tcW w:w="964" w:type="dxa"/>
            <w:tcMar>
              <w:top w:w="96" w:type="dxa"/>
              <w:left w:w="113" w:type="dxa"/>
              <w:bottom w:w="96" w:type="dxa"/>
              <w:right w:w="113" w:type="dxa"/>
            </w:tcMar>
            <w:vAlign w:val="center"/>
          </w:tcPr>
          <w:p w14:paraId="6A0242EC" w14:textId="77777777" w:rsidR="00AE03D8" w:rsidRPr="00AE03D8" w:rsidRDefault="00AE03D8" w:rsidP="0043652D">
            <w:pPr>
              <w:pStyle w:val="CDIFigure-Table-BodyTextCentre"/>
            </w:pPr>
            <w:r w:rsidRPr="00AE03D8">
              <w:t>99.1%</w:t>
            </w:r>
          </w:p>
        </w:tc>
        <w:tc>
          <w:tcPr>
            <w:tcW w:w="964" w:type="dxa"/>
            <w:tcMar>
              <w:top w:w="96" w:type="dxa"/>
              <w:left w:w="113" w:type="dxa"/>
              <w:bottom w:w="96" w:type="dxa"/>
              <w:right w:w="113" w:type="dxa"/>
            </w:tcMar>
            <w:vAlign w:val="center"/>
          </w:tcPr>
          <w:p w14:paraId="73CE5A1B" w14:textId="77777777" w:rsidR="00AE03D8" w:rsidRPr="00AE03D8" w:rsidRDefault="00AE03D8" w:rsidP="0043652D">
            <w:pPr>
              <w:pStyle w:val="CDIFigure-Table-BodyTextCentre"/>
            </w:pPr>
            <w:r w:rsidRPr="00AE03D8">
              <w:t>497</w:t>
            </w:r>
          </w:p>
        </w:tc>
        <w:tc>
          <w:tcPr>
            <w:tcW w:w="963" w:type="dxa"/>
            <w:tcMar>
              <w:top w:w="96" w:type="dxa"/>
              <w:left w:w="113" w:type="dxa"/>
              <w:bottom w:w="96" w:type="dxa"/>
              <w:right w:w="113" w:type="dxa"/>
            </w:tcMar>
            <w:vAlign w:val="center"/>
          </w:tcPr>
          <w:p w14:paraId="4E63C01C" w14:textId="77777777" w:rsidR="00AE03D8" w:rsidRPr="00AE03D8" w:rsidRDefault="00AE03D8" w:rsidP="0043652D">
            <w:pPr>
              <w:pStyle w:val="CDIFigure-Table-BodyTextCentre"/>
            </w:pPr>
            <w:r w:rsidRPr="00AE03D8">
              <w:t>99.4%</w:t>
            </w:r>
          </w:p>
        </w:tc>
      </w:tr>
      <w:tr w:rsidR="0043652D" w:rsidRPr="00AE03D8" w14:paraId="2226C9A2"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68606909" w14:textId="77777777" w:rsidR="00AE03D8" w:rsidRPr="00AE03D8" w:rsidRDefault="00AE03D8" w:rsidP="00AE03D8"/>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5AA793A" w14:textId="77777777" w:rsidR="00AE03D8" w:rsidRPr="00AE03D8" w:rsidRDefault="00AE03D8" w:rsidP="0043652D">
            <w:pPr>
              <w:pStyle w:val="CDIFigure-Table-BodyTextLeft"/>
            </w:pPr>
            <w:r w:rsidRPr="00AE03D8">
              <w:t>Missing</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7F982AF"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A173A89" w14:textId="77777777" w:rsidR="00AE03D8" w:rsidRPr="00AE03D8" w:rsidRDefault="00AE03D8" w:rsidP="0043652D">
            <w:pPr>
              <w:pStyle w:val="CDIFigure-Table-BodyTextCentre"/>
            </w:pPr>
            <w:r w:rsidRPr="00AE03D8">
              <w:t>0.1%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82D4DC5"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D0D5AA7" w14:textId="77777777" w:rsidR="00AE03D8" w:rsidRPr="00AE03D8" w:rsidRDefault="00AE03D8" w:rsidP="0043652D">
            <w:pPr>
              <w:pStyle w:val="CDIFigure-Table-BodyTextCentre"/>
            </w:pPr>
            <w:r w:rsidRPr="00AE03D8">
              <w:t>0.2%</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45B9B93"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96C2741"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52A9BB8"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EA490AD"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A4F047B"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46BAF09" w14:textId="77777777" w:rsidR="00AE03D8" w:rsidRPr="00AE03D8" w:rsidRDefault="00AE03D8" w:rsidP="0043652D">
            <w:pPr>
              <w:pStyle w:val="CDIFigure-Table-BodyTextCentre"/>
            </w:pPr>
            <w:r w:rsidRPr="00AE03D8">
              <w:t>0%</w:t>
            </w:r>
          </w:p>
        </w:tc>
      </w:tr>
    </w:tbl>
    <w:p w14:paraId="4367FC45" w14:textId="77777777" w:rsidR="006B480D" w:rsidRDefault="006B480D" w:rsidP="006B480D">
      <w:pPr>
        <w:pStyle w:val="CDIFigure-Table-FirstFootnote"/>
        <w:divId w:val="935526654"/>
      </w:pPr>
      <w:r>
        <w:t>a</w:t>
      </w:r>
      <w:r>
        <w:tab/>
        <w:t>Specimen collection date was missing for six samples.</w:t>
      </w:r>
    </w:p>
    <w:p w14:paraId="255C1942" w14:textId="56782365" w:rsidR="005E29B9" w:rsidRDefault="006B480D" w:rsidP="005E29B9">
      <w:pPr>
        <w:pStyle w:val="CDIFigure-Table-Footnote"/>
      </w:pPr>
      <w:r>
        <w:t>b</w:t>
      </w:r>
      <w:r>
        <w:tab/>
        <w:t>IQR: interquartile range.</w:t>
      </w:r>
      <w:r w:rsidR="005E29B9">
        <w:br w:type="page"/>
      </w:r>
    </w:p>
    <w:p w14:paraId="60705EF9" w14:textId="45A0EC3B" w:rsidR="006B480D" w:rsidRDefault="00217C2E" w:rsidP="005E29B9">
      <w:pPr>
        <w:pStyle w:val="CDIFigure-Table-Title"/>
        <w:divId w:val="935526654"/>
      </w:pPr>
      <w:r w:rsidRPr="00217C2E">
        <w:lastRenderedPageBreak/>
        <w:t xml:space="preserve">Figure 1: Anti-spike and anti-nucleocapsid antibody seroprevalence (and 95% confidence intervals) among the study cohort, by specimen collection month and demographic </w:t>
      </w:r>
      <w:proofErr w:type="spellStart"/>
      <w:proofErr w:type="gramStart"/>
      <w:r w:rsidRPr="00217C2E">
        <w:t>group</w:t>
      </w:r>
      <w:r w:rsidRPr="00217C2E">
        <w:rPr>
          <w:vertAlign w:val="superscript"/>
        </w:rPr>
        <w:t>a,b</w:t>
      </w:r>
      <w:proofErr w:type="spellEnd"/>
      <w:proofErr w:type="gramEnd"/>
    </w:p>
    <w:p w14:paraId="2658F3F8" w14:textId="767FB5A3" w:rsidR="006B480D" w:rsidRDefault="00293354" w:rsidP="00217C2E">
      <w:pPr>
        <w:pStyle w:val="CDIFigure-Table-ImagePlaceholder"/>
        <w:divId w:val="935526654"/>
      </w:pPr>
      <w:r>
        <w:rPr>
          <w:noProof/>
          <w14:ligatures w14:val="none"/>
        </w:rPr>
        <w:drawing>
          <wp:inline distT="0" distB="0" distL="0" distR="0" wp14:anchorId="1C6819BD" wp14:editId="68E4E939">
            <wp:extent cx="8604000" cy="4932552"/>
            <wp:effectExtent l="0" t="0" r="6985" b="1905"/>
            <wp:docPr id="2" name="Picture 2" descr="Anti-spike and anti-nucleocapsid antibody seroprevalence (and 95% confidence intervals) among the study cohort for June/July, August, September and October serosurveys by demographic group (sex, age and region of residence). All estimates are adjusted for sex, age and region of residence as applicable. Anti-spike seroprevalence was high across all demographic groups throughout the study period. Anti-nucleocapsid antibody seroprevalence rose in all demographic groups between the first and last specimen collection period. It was highest among the youngest age group (18 to 29 years) and lowest among the oldest age group (80 years and 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ti-spike and anti-nucleocapsid antibody seroprevalence (and 95% confidence intervals) among the study cohort for June/July, August, September and October serosurveys by demographic group (sex, age and region of residence). All estimates are adjusted for sex, age and region of residence as applicable. Anti-spike seroprevalence was high across all demographic groups throughout the study period. Anti-nucleocapsid antibody seroprevalence rose in all demographic groups between the first and last specimen collection period. It was highest among the youngest age group (18 to 29 years) and lowest among the oldest age group (80 years and over)."/>
                    <pic:cNvPicPr/>
                  </pic:nvPicPr>
                  <pic:blipFill>
                    <a:blip r:embed="rId15">
                      <a:extLst>
                        <a:ext uri="{28A0092B-C50C-407E-A947-70E740481C1C}">
                          <a14:useLocalDpi xmlns:a14="http://schemas.microsoft.com/office/drawing/2010/main" val="0"/>
                        </a:ext>
                      </a:extLst>
                    </a:blip>
                    <a:stretch>
                      <a:fillRect/>
                    </a:stretch>
                  </pic:blipFill>
                  <pic:spPr>
                    <a:xfrm>
                      <a:off x="0" y="0"/>
                      <a:ext cx="8604000" cy="4932552"/>
                    </a:xfrm>
                    <a:prstGeom prst="rect">
                      <a:avLst/>
                    </a:prstGeom>
                  </pic:spPr>
                </pic:pic>
              </a:graphicData>
            </a:graphic>
          </wp:inline>
        </w:drawing>
      </w:r>
    </w:p>
    <w:p w14:paraId="1E2A9D83" w14:textId="77777777" w:rsidR="00217C2E" w:rsidRDefault="00217C2E" w:rsidP="00217C2E">
      <w:pPr>
        <w:pStyle w:val="CDIFigure-Table-Footnote"/>
        <w:divId w:val="935526654"/>
      </w:pPr>
      <w:r>
        <w:t>a</w:t>
      </w:r>
      <w:r>
        <w:tab/>
        <w:t xml:space="preserve">Specimens were collected during the following months of 2022: June/July (n = 529), August (n = 470), September (n = 469) and October (n = 500). Serosurveys were analysed by collection month and by demographic group (sex, </w:t>
      </w:r>
      <w:proofErr w:type="gramStart"/>
      <w:r>
        <w:t>age</w:t>
      </w:r>
      <w:proofErr w:type="gramEnd"/>
      <w:r>
        <w:t xml:space="preserve"> and region of residence). All estimates are adjusted for sex, </w:t>
      </w:r>
      <w:proofErr w:type="gramStart"/>
      <w:r>
        <w:t>age</w:t>
      </w:r>
      <w:proofErr w:type="gramEnd"/>
      <w:r>
        <w:t xml:space="preserve"> and region of residence as applicable.</w:t>
      </w:r>
    </w:p>
    <w:p w14:paraId="4452A670" w14:textId="711AECCC" w:rsidR="00217C2E" w:rsidRDefault="00217C2E" w:rsidP="002B2D97">
      <w:pPr>
        <w:pStyle w:val="CDIFigure-Table-Footnote"/>
        <w:divId w:val="935526654"/>
      </w:pPr>
      <w:r>
        <w:t>b</w:t>
      </w:r>
      <w:r>
        <w:tab/>
        <w:t>95% CI: 95% confidence interval.</w:t>
      </w:r>
    </w:p>
    <w:p w14:paraId="0B3C88CD" w14:textId="77777777" w:rsidR="006B480D" w:rsidRDefault="006B480D" w:rsidP="006B480D">
      <w:pPr>
        <w:divId w:val="935526654"/>
        <w:sectPr w:rsidR="006B480D" w:rsidSect="006B480D">
          <w:footnotePr>
            <w:numFmt w:val="lowerRoman"/>
          </w:footnotePr>
          <w:pgSz w:w="16840" w:h="11907" w:orient="landscape" w:code="9"/>
          <w:pgMar w:top="1134" w:right="1304" w:bottom="1134" w:left="1304" w:header="709" w:footer="527" w:gutter="0"/>
          <w:cols w:space="708"/>
          <w:docGrid w:linePitch="360"/>
        </w:sectPr>
      </w:pPr>
    </w:p>
    <w:p w14:paraId="663DE928" w14:textId="2ADB97AE" w:rsidR="006B480D" w:rsidRPr="006B480D" w:rsidRDefault="006B480D" w:rsidP="006B480D">
      <w:pPr>
        <w:divId w:val="935526654"/>
        <w:rPr>
          <w:lang w:val="en-GB"/>
        </w:rPr>
      </w:pPr>
      <w:r w:rsidRPr="006B480D">
        <w:rPr>
          <w:lang w:val="en-GB"/>
        </w:rPr>
        <w:lastRenderedPageBreak/>
        <w:t xml:space="preserve">Figure 1 shows anti-S and anti-N seropositivity over the sample collection period, by age, </w:t>
      </w:r>
      <w:proofErr w:type="gramStart"/>
      <w:r w:rsidRPr="006B480D">
        <w:rPr>
          <w:lang w:val="en-GB"/>
        </w:rPr>
        <w:t>sex</w:t>
      </w:r>
      <w:proofErr w:type="gramEnd"/>
      <w:r w:rsidRPr="006B480D">
        <w:rPr>
          <w:lang w:val="en-GB"/>
        </w:rPr>
        <w:t xml:space="preserve"> and region of residence. Anti-S seropositivity remained high over the specimen collection period in all demographic groups. Anti-N seropositivity increased between the first and last specimen collection period in all demographic strata. Adjusted anti-N seropositivity in October was highest amongst the youngest age group (18–29 years) at 84% (95% confidence interval [CI]: 75–93%) and lowest amongst the oldest age group (≥</w:t>
      </w:r>
      <w:r>
        <w:rPr>
          <w:lang w:val="en-GB"/>
        </w:rPr>
        <w:t> </w:t>
      </w:r>
      <w:r w:rsidRPr="006B480D">
        <w:rPr>
          <w:lang w:val="en-GB"/>
        </w:rPr>
        <w:t>80</w:t>
      </w:r>
      <w:r>
        <w:rPr>
          <w:lang w:val="en-GB"/>
        </w:rPr>
        <w:t> </w:t>
      </w:r>
      <w:r w:rsidRPr="006B480D">
        <w:rPr>
          <w:lang w:val="en-GB"/>
        </w:rPr>
        <w:t>years) at 39% (95% CI: 27–52%).</w:t>
      </w:r>
    </w:p>
    <w:p w14:paraId="7C403D52" w14:textId="77777777" w:rsidR="00217C2E" w:rsidRPr="00217C2E" w:rsidRDefault="00217C2E" w:rsidP="00217C2E">
      <w:pPr>
        <w:divId w:val="935526654"/>
        <w:rPr>
          <w:lang w:val="en-GB"/>
        </w:rPr>
      </w:pPr>
      <w:r w:rsidRPr="00217C2E">
        <w:rPr>
          <w:lang w:val="en-GB"/>
        </w:rPr>
        <w:t>The adjusted proportion of cases notified by anti-N serostatus, stratified by age, is shown in Figure 2(A). Among anti-N negative samples (n = 782), the adjusted proportion of case notifications was low, particularly among those aged ≥ 60 years; for example, 4% (95% CI: 1–7%) among those aged 60–69 years compared with 13% (95% CI: 7–20%) among samples from people aged 50–59 years. For anti-N positive individuals younger than 80 years, the adjusted proportion of case notifications was approximately 40%; this was higher (65% [95% CI: 54–75%]) for people aged ≥ 80 years. Among all anti-N seropositive individuals (n = 1,191), the adjusted proportion of case notifications increased with additional COVID-19 vaccine doses received (Figure 2(B)). For example, this was 36% (95% CI: 29–42%) among anti-N seropositive individuals who had received two vaccine doses and 54% (95% CI: 46–61%) among anti-N seropositive individuals who had received four or more vaccine doses.</w:t>
      </w:r>
    </w:p>
    <w:p w14:paraId="03E33534" w14:textId="77777777" w:rsidR="00217C2E" w:rsidRPr="00217C2E" w:rsidRDefault="00217C2E" w:rsidP="00217C2E">
      <w:pPr>
        <w:divId w:val="935526654"/>
        <w:rPr>
          <w:lang w:val="en-GB"/>
        </w:rPr>
      </w:pPr>
      <w:r w:rsidRPr="00217C2E">
        <w:rPr>
          <w:lang w:val="en-GB"/>
        </w:rPr>
        <w:t>The adjusted proportion of individuals who were anti-N seropositive by case notification status, stratified by age, is shown in Figure 3(A). Note that these results, and those presented in Figure 3(B), are generated from separate regression models to those presented in Figure 2. The proportion of individuals who were seropositive with no prior COVID-19 case notifications decreased with age; this was highest among individuals aged 18 to 29 years (70%, [95% CI: 63–77%]) and lowest among those aged 80 years and over (13% [95% CI: 9–18%]). When stratifying by vaccination status (Figure 3(B)), individuals who had received at least four COVID-19 vaccine doses prior to blood sampling and who had not been a notified case were the least likely to be anti-N seropositive (25% [95% CI: 21–30%]).</w:t>
      </w:r>
    </w:p>
    <w:p w14:paraId="3E7CB720" w14:textId="77777777" w:rsidR="00217C2E" w:rsidRPr="00217C2E" w:rsidRDefault="00217C2E" w:rsidP="00217C2E">
      <w:pPr>
        <w:divId w:val="935526654"/>
        <w:rPr>
          <w:lang w:val="en-GB"/>
        </w:rPr>
      </w:pPr>
      <w:r w:rsidRPr="00217C2E">
        <w:rPr>
          <w:lang w:val="en-GB"/>
        </w:rPr>
        <w:t xml:space="preserve">Figure 4 shows </w:t>
      </w:r>
      <w:proofErr w:type="spellStart"/>
      <w:r w:rsidRPr="00217C2E">
        <w:rPr>
          <w:lang w:val="en-GB"/>
        </w:rPr>
        <w:t>sVNT</w:t>
      </w:r>
      <w:proofErr w:type="spellEnd"/>
      <w:r w:rsidRPr="00217C2E">
        <w:rPr>
          <w:lang w:val="en-GB"/>
        </w:rPr>
        <w:t xml:space="preserve"> inhibition stratified by exposure history. Neutralisation activity tended to be higher against wildtype virus than against Omicron BA.4/BA.5 across all combinations of serological results and vaccination doses. Neutralisation also increased with serological evidence of previous infection (anti-N seropositivity) and with increasing vaccine doses. Lower neutralising activity was observed among older compared to younger individuals with respect to Omicron BA.4/BA.5 (Appendix A, Figure A.2).</w:t>
      </w:r>
    </w:p>
    <w:p w14:paraId="51133EAB" w14:textId="77777777" w:rsidR="00217C2E" w:rsidRDefault="00217C2E" w:rsidP="00217C2E">
      <w:pPr>
        <w:rPr>
          <w:lang w:val="en-GB"/>
        </w:rPr>
      </w:pPr>
      <w:r w:rsidRPr="00217C2E">
        <w:rPr>
          <w:lang w:val="en-GB"/>
        </w:rPr>
        <w:t>When vaccination status was re-assigned (based on the distribution of vaccine doses in Victoria by age as of 1 September 2022) for individuals not linked to a vaccination record, and analyses by vaccine dose strata were repeated as a sensitivity analysis, uncertainty substantially increased among the zero-dose cohort but overall trends in relation to other vaccination groups were maintained (Appendix A, Figure A.3).</w:t>
      </w:r>
    </w:p>
    <w:p w14:paraId="4C14BCC6" w14:textId="77777777" w:rsidR="00217C2E" w:rsidRDefault="00217C2E" w:rsidP="00217C2E">
      <w:pPr>
        <w:rPr>
          <w:lang w:val="en-GB"/>
        </w:rPr>
        <w:sectPr w:rsidR="00217C2E" w:rsidSect="006B480D">
          <w:footnotePr>
            <w:numFmt w:val="lowerRoman"/>
          </w:footnotePr>
          <w:pgSz w:w="11907" w:h="16840" w:code="9"/>
          <w:pgMar w:top="1304" w:right="1134" w:bottom="1304" w:left="1134" w:header="709" w:footer="527" w:gutter="0"/>
          <w:cols w:space="708"/>
          <w:docGrid w:linePitch="360"/>
        </w:sectPr>
      </w:pPr>
    </w:p>
    <w:p w14:paraId="3C0AC6B7" w14:textId="2E43C93C" w:rsidR="00217C2E" w:rsidRDefault="00217C2E" w:rsidP="00217C2E">
      <w:pPr>
        <w:pStyle w:val="CDIFigure-Table-Title"/>
      </w:pPr>
      <w:r w:rsidRPr="00217C2E">
        <w:lastRenderedPageBreak/>
        <w:t xml:space="preserve">Figure 2: Proportion of individuals with a COVID-19 case notification prior to blood sampling by anti-nucleocapsid serostatus, stratified (A) by age and (B) by number of COVID-19 vaccine doses </w:t>
      </w:r>
      <w:proofErr w:type="spellStart"/>
      <w:proofErr w:type="gramStart"/>
      <w:r w:rsidRPr="00217C2E">
        <w:t>received</w:t>
      </w:r>
      <w:r w:rsidRPr="00217C2E">
        <w:rPr>
          <w:vertAlign w:val="superscript"/>
        </w:rPr>
        <w:t>a,b</w:t>
      </w:r>
      <w:proofErr w:type="spellEnd"/>
      <w:proofErr w:type="gramEnd"/>
    </w:p>
    <w:p w14:paraId="277AA871" w14:textId="33691471" w:rsidR="00217C2E" w:rsidRDefault="00293354" w:rsidP="002B2D97">
      <w:pPr>
        <w:pStyle w:val="CDIFigure-Table-ImagePlaceholder"/>
        <w:rPr>
          <w:lang w:val="en-GB"/>
        </w:rPr>
      </w:pPr>
      <w:r>
        <w:rPr>
          <w:noProof/>
          <w:lang w:val="en-GB"/>
          <w14:ligatures w14:val="none"/>
        </w:rPr>
        <w:drawing>
          <wp:inline distT="0" distB="0" distL="0" distR="0" wp14:anchorId="6142137B" wp14:editId="47E73626">
            <wp:extent cx="8604000" cy="4916828"/>
            <wp:effectExtent l="0" t="0" r="6985" b="0"/>
            <wp:docPr id="3" name="Picture 3" descr="Proportion of individuals who had a reported positive SARS-CoV-2 test result prior to blood sampling by anti-nucleocapsid serostatus, stratified by age (panel A) and number of COVID-19 vaccine doses received (panel B). All estimates are adjusted for sex, age and region of residence as applicable. Among individuals who were anti-nucleocapsid positive, approximately 40% had a previous reported positive SARS-CoV-2 test in most age groups, however this was higher among individuals aged 80 years and over. For people who were anti-nucleocapsid positive, reporting also differed by vaccination status such that the highest proportion with a previous reported positive test was among people who had received 4 or more doses of a COVID-19 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portion of individuals who had a reported positive SARS-CoV-2 test result prior to blood sampling by anti-nucleocapsid serostatus, stratified by age (panel A) and number of COVID-19 vaccine doses received (panel B). All estimates are adjusted for sex, age and region of residence as applicable. Among individuals who were anti-nucleocapsid positive, approximately 40% had a previous reported positive SARS-CoV-2 test in most age groups, however this was higher among individuals aged 80 years and over. For people who were anti-nucleocapsid positive, reporting also differed by vaccination status such that the highest proportion with a previous reported positive test was among people who had received 4 or more doses of a COVID-19 vaccine."/>
                    <pic:cNvPicPr/>
                  </pic:nvPicPr>
                  <pic:blipFill>
                    <a:blip r:embed="rId16">
                      <a:extLst>
                        <a:ext uri="{28A0092B-C50C-407E-A947-70E740481C1C}">
                          <a14:useLocalDpi xmlns:a14="http://schemas.microsoft.com/office/drawing/2010/main" val="0"/>
                        </a:ext>
                      </a:extLst>
                    </a:blip>
                    <a:stretch>
                      <a:fillRect/>
                    </a:stretch>
                  </pic:blipFill>
                  <pic:spPr>
                    <a:xfrm>
                      <a:off x="0" y="0"/>
                      <a:ext cx="8604000" cy="4916828"/>
                    </a:xfrm>
                    <a:prstGeom prst="rect">
                      <a:avLst/>
                    </a:prstGeom>
                  </pic:spPr>
                </pic:pic>
              </a:graphicData>
            </a:graphic>
          </wp:inline>
        </w:drawing>
      </w:r>
    </w:p>
    <w:p w14:paraId="0BBBAFAA" w14:textId="77777777" w:rsidR="00217C2E" w:rsidRDefault="00217C2E" w:rsidP="00293354">
      <w:pPr>
        <w:pStyle w:val="CDIFigure-Table-Footnote"/>
      </w:pPr>
      <w:proofErr w:type="spellStart"/>
      <w:r>
        <w:t>a</w:t>
      </w:r>
      <w:proofErr w:type="spellEnd"/>
      <w:r>
        <w:tab/>
        <w:t xml:space="preserve">All estimates are adjusted for sex, </w:t>
      </w:r>
      <w:proofErr w:type="gramStart"/>
      <w:r>
        <w:t>age</w:t>
      </w:r>
      <w:proofErr w:type="gramEnd"/>
      <w:r>
        <w:t xml:space="preserve"> and region of residence as applicable (n = 1,971).</w:t>
      </w:r>
    </w:p>
    <w:p w14:paraId="4543154B" w14:textId="3A4ED703" w:rsidR="00217C2E" w:rsidRDefault="00217C2E" w:rsidP="00217C2E">
      <w:pPr>
        <w:pStyle w:val="CDIFigure-Table-Footnote"/>
      </w:pPr>
      <w:r>
        <w:t>b</w:t>
      </w:r>
      <w:r>
        <w:tab/>
        <w:t>95% CI: 95% confidence interval.</w:t>
      </w:r>
    </w:p>
    <w:p w14:paraId="1B162245" w14:textId="48CC7536" w:rsidR="00217C2E" w:rsidRDefault="002B2D97" w:rsidP="002B2D97">
      <w:pPr>
        <w:pStyle w:val="CDIFigure-Table-Titlemorespacebefore"/>
      </w:pPr>
      <w:r w:rsidRPr="002B2D97">
        <w:lastRenderedPageBreak/>
        <w:t xml:space="preserve">Figure 3: Proportion of individuals who are anti-nucleocapsid seropositive by prior COVID-19 case notification status, stratified (A) by age and (B) by number of COVID-19 vaccine doses </w:t>
      </w:r>
      <w:proofErr w:type="spellStart"/>
      <w:proofErr w:type="gramStart"/>
      <w:r w:rsidRPr="002B2D97">
        <w:t>received</w:t>
      </w:r>
      <w:r w:rsidRPr="002B2D97">
        <w:rPr>
          <w:vertAlign w:val="superscript"/>
        </w:rPr>
        <w:t>a,b</w:t>
      </w:r>
      <w:proofErr w:type="spellEnd"/>
      <w:proofErr w:type="gramEnd"/>
    </w:p>
    <w:p w14:paraId="024A6C74" w14:textId="271EEC11" w:rsidR="00217C2E" w:rsidRDefault="00293354" w:rsidP="002B2D97">
      <w:pPr>
        <w:pStyle w:val="CDIFigure-Table-ImagePlaceholder"/>
        <w:divId w:val="935526654"/>
        <w:rPr>
          <w:lang w:val="en-GB"/>
        </w:rPr>
      </w:pPr>
      <w:r>
        <w:rPr>
          <w:noProof/>
          <w:lang w:val="en-GB"/>
          <w14:ligatures w14:val="none"/>
        </w:rPr>
        <w:drawing>
          <wp:inline distT="0" distB="0" distL="0" distR="0" wp14:anchorId="68530C0F" wp14:editId="232874C4">
            <wp:extent cx="8604000" cy="5025049"/>
            <wp:effectExtent l="0" t="0" r="6985" b="4445"/>
            <wp:docPr id="4" name="Picture 4" descr="Proportion of individuals who are anti-nucleocapsid seropositive by preceding reported SARS-CoV-2 test result, stratified by age (panel A) and number of COVID-19 vaccine doses received (panel B). All estimates are adjusted for sex, age and region of residence as applicable. Among people without a prior reported positive SARS-CoV-2 test, the proportion who were anti-nucleocapsid seropositive fell with increasing age and increasing vaccine doses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oportion of individuals who are anti-nucleocapsid seropositive by preceding reported SARS-CoV-2 test result, stratified by age (panel A) and number of COVID-19 vaccine doses received (panel B). All estimates are adjusted for sex, age and region of residence as applicable. Among people without a prior reported positive SARS-CoV-2 test, the proportion who were anti-nucleocapsid seropositive fell with increasing age and increasing vaccine doses received."/>
                    <pic:cNvPicPr/>
                  </pic:nvPicPr>
                  <pic:blipFill>
                    <a:blip r:embed="rId17">
                      <a:extLst>
                        <a:ext uri="{28A0092B-C50C-407E-A947-70E740481C1C}">
                          <a14:useLocalDpi xmlns:a14="http://schemas.microsoft.com/office/drawing/2010/main" val="0"/>
                        </a:ext>
                      </a:extLst>
                    </a:blip>
                    <a:stretch>
                      <a:fillRect/>
                    </a:stretch>
                  </pic:blipFill>
                  <pic:spPr>
                    <a:xfrm>
                      <a:off x="0" y="0"/>
                      <a:ext cx="8604000" cy="5025049"/>
                    </a:xfrm>
                    <a:prstGeom prst="rect">
                      <a:avLst/>
                    </a:prstGeom>
                  </pic:spPr>
                </pic:pic>
              </a:graphicData>
            </a:graphic>
          </wp:inline>
        </w:drawing>
      </w:r>
    </w:p>
    <w:p w14:paraId="3BEDB622" w14:textId="35B48010" w:rsidR="002B2D97" w:rsidRDefault="002B2D97" w:rsidP="00293354">
      <w:pPr>
        <w:pStyle w:val="CDIFigure-Table-Footnote"/>
        <w:divId w:val="935526654"/>
      </w:pPr>
      <w:proofErr w:type="spellStart"/>
      <w:r>
        <w:t>a</w:t>
      </w:r>
      <w:proofErr w:type="spellEnd"/>
      <w:r>
        <w:tab/>
        <w:t xml:space="preserve">All estimates are adjusted for sex, </w:t>
      </w:r>
      <w:proofErr w:type="gramStart"/>
      <w:r>
        <w:t>age</w:t>
      </w:r>
      <w:proofErr w:type="gramEnd"/>
      <w:r>
        <w:t xml:space="preserve"> and region of residence as applicable (n = 1,971).</w:t>
      </w:r>
    </w:p>
    <w:p w14:paraId="74ECD2B7" w14:textId="29711570" w:rsidR="002B2D97" w:rsidRDefault="002B2D97" w:rsidP="002B2D97">
      <w:pPr>
        <w:pStyle w:val="CDIFigure-Table-Footnote"/>
        <w:divId w:val="935526654"/>
      </w:pPr>
      <w:r>
        <w:t>b</w:t>
      </w:r>
      <w:r>
        <w:tab/>
        <w:t>95% CI: 95% confidence interval.</w:t>
      </w:r>
    </w:p>
    <w:p w14:paraId="48E52B42" w14:textId="2F9310CE" w:rsidR="002B2D97" w:rsidRDefault="002B2D97" w:rsidP="002B2D97">
      <w:pPr>
        <w:pStyle w:val="CDIFigure-Table-Titlemorespacebefore"/>
        <w:divId w:val="935526654"/>
      </w:pPr>
      <w:r w:rsidRPr="002B2D97">
        <w:lastRenderedPageBreak/>
        <w:t xml:space="preserve">Figure 4: Adjusted percentage inhibition against wildtype SARS-CoV-2 and Omicron BA.4/BA.5, by exposure </w:t>
      </w:r>
      <w:proofErr w:type="spellStart"/>
      <w:proofErr w:type="gramStart"/>
      <w:r w:rsidRPr="002B2D97">
        <w:t>history</w:t>
      </w:r>
      <w:r w:rsidRPr="002B2D97">
        <w:rPr>
          <w:vertAlign w:val="superscript"/>
        </w:rPr>
        <w:t>a,b</w:t>
      </w:r>
      <w:proofErr w:type="spellEnd"/>
      <w:proofErr w:type="gramEnd"/>
    </w:p>
    <w:p w14:paraId="2061D9EB" w14:textId="7873E847" w:rsidR="002B2D97" w:rsidRDefault="00293354" w:rsidP="002B2D97">
      <w:pPr>
        <w:pStyle w:val="CDIFigure-Table-ImagePlaceholder"/>
        <w:divId w:val="935526654"/>
        <w:rPr>
          <w:lang w:val="en-GB"/>
        </w:rPr>
      </w:pPr>
      <w:r>
        <w:rPr>
          <w:noProof/>
          <w:lang w:val="en-GB"/>
          <w14:ligatures w14:val="none"/>
        </w:rPr>
        <w:drawing>
          <wp:inline distT="0" distB="0" distL="0" distR="0" wp14:anchorId="11A2DCB7" wp14:editId="37CC3939">
            <wp:extent cx="8604000" cy="4954916"/>
            <wp:effectExtent l="0" t="0" r="6985" b="0"/>
            <wp:docPr id="5" name="Picture 5" descr="Adjusted percentage inhibition against wildtype SARS-CoV-2 and Omicron BA.4/5, by exposure history (based on anti-nucleocapsid seropositivity and COVID-19 vaccine doses received). Points represent percentage inhibition for each sample, whereas diamonds and error bars represent the mean and 95% confidence interval percentage inhibition as estimated by the beta regression model. All estimates are adjusted for sex, age and region of residence. The threshold for test positivity (20%) is indicated by the horizontal dotted line. Inhibition against wildtype SARS-CoV-2 was relatively high among all groups, but for Omicron BA.4/5 inhibition was negligible for people who were anti-nucleocapsid seronegative and had only received two vaccine doses. Inhibition against Omicron BA.4/5 rose with increasing vaccine doses received and with serological evidence of prior in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djusted percentage inhibition against wildtype SARS-CoV-2 and Omicron BA.4/5, by exposure history (based on anti-nucleocapsid seropositivity and COVID-19 vaccine doses received). Points represent percentage inhibition for each sample, whereas diamonds and error bars represent the mean and 95% confidence interval percentage inhibition as estimated by the beta regression model. All estimates are adjusted for sex, age and region of residence. The threshold for test positivity (20%) is indicated by the horizontal dotted line. Inhibition against wildtype SARS-CoV-2 was relatively high among all groups, but for Omicron BA.4/5 inhibition was negligible for people who were anti-nucleocapsid seronegative and had only received two vaccine doses. Inhibition against Omicron BA.4/5 rose with increasing vaccine doses received and with serological evidence of prior infection."/>
                    <pic:cNvPicPr/>
                  </pic:nvPicPr>
                  <pic:blipFill>
                    <a:blip r:embed="rId18">
                      <a:extLst>
                        <a:ext uri="{28A0092B-C50C-407E-A947-70E740481C1C}">
                          <a14:useLocalDpi xmlns:a14="http://schemas.microsoft.com/office/drawing/2010/main" val="0"/>
                        </a:ext>
                      </a:extLst>
                    </a:blip>
                    <a:stretch>
                      <a:fillRect/>
                    </a:stretch>
                  </pic:blipFill>
                  <pic:spPr>
                    <a:xfrm>
                      <a:off x="0" y="0"/>
                      <a:ext cx="8604000" cy="4954916"/>
                    </a:xfrm>
                    <a:prstGeom prst="rect">
                      <a:avLst/>
                    </a:prstGeom>
                  </pic:spPr>
                </pic:pic>
              </a:graphicData>
            </a:graphic>
          </wp:inline>
        </w:drawing>
      </w:r>
    </w:p>
    <w:p w14:paraId="2CFDB10D" w14:textId="77777777" w:rsidR="002B2D97" w:rsidRDefault="002B2D97" w:rsidP="00293354">
      <w:pPr>
        <w:pStyle w:val="CDIFigure-Table-Footnote"/>
        <w:divId w:val="935526654"/>
      </w:pPr>
      <w:proofErr w:type="gramStart"/>
      <w:r>
        <w:t>a</w:t>
      </w:r>
      <w:proofErr w:type="gramEnd"/>
      <w:r>
        <w:tab/>
        <w:t xml:space="preserve">Exposure history is based on anti-nucleocapsid seropositivity and on the number of COVID-19 vaccine doses received. Points represent percentage inhibition for each sample, whereas diamonds and error bars represent the mean and 95% confidence interval percentage inhibition as estimated by the beta regression model. All estimates are adjusted for sex, </w:t>
      </w:r>
      <w:proofErr w:type="gramStart"/>
      <w:r>
        <w:t>age</w:t>
      </w:r>
      <w:proofErr w:type="gramEnd"/>
      <w:r>
        <w:t xml:space="preserve"> and region of residence. The threshold for test positivity (20%) is indicated by the horizontal dotted line (n = 342). </w:t>
      </w:r>
    </w:p>
    <w:p w14:paraId="4ABFE695" w14:textId="5995D220" w:rsidR="002B2D97" w:rsidRDefault="002B2D97" w:rsidP="002B2D97">
      <w:pPr>
        <w:pStyle w:val="CDIFigure-Table-Footnote"/>
        <w:divId w:val="935526654"/>
      </w:pPr>
      <w:r>
        <w:t>b</w:t>
      </w:r>
      <w:r>
        <w:tab/>
        <w:t xml:space="preserve">WT: wildtype; BA.4/BA.5: Omicron BA.4/BA.5 sub-variants; </w:t>
      </w:r>
      <w:proofErr w:type="spellStart"/>
      <w:r>
        <w:t>sVNT</w:t>
      </w:r>
      <w:proofErr w:type="spellEnd"/>
      <w:r>
        <w:t>: surrogate virus neutralisation test; anti-N: anti-nucleocapsid.</w:t>
      </w:r>
    </w:p>
    <w:p w14:paraId="29769A73" w14:textId="77777777" w:rsidR="00217C2E" w:rsidRDefault="00217C2E" w:rsidP="00217C2E">
      <w:pPr>
        <w:divId w:val="935526654"/>
        <w:rPr>
          <w:lang w:val="en-GB"/>
        </w:rPr>
        <w:sectPr w:rsidR="00217C2E" w:rsidSect="00217C2E">
          <w:footnotePr>
            <w:numFmt w:val="lowerRoman"/>
          </w:footnotePr>
          <w:pgSz w:w="16840" w:h="11907" w:orient="landscape" w:code="9"/>
          <w:pgMar w:top="1134" w:right="1304" w:bottom="1134" w:left="1304" w:header="709" w:footer="527" w:gutter="0"/>
          <w:cols w:space="708"/>
          <w:docGrid w:linePitch="360"/>
        </w:sectPr>
      </w:pPr>
    </w:p>
    <w:p w14:paraId="008D552F" w14:textId="77777777" w:rsidR="00470C19" w:rsidRDefault="00470C19" w:rsidP="00470C19">
      <w:pPr>
        <w:pStyle w:val="Heading1"/>
        <w:divId w:val="935526654"/>
        <w:rPr>
          <w:lang w:val="en-GB"/>
        </w:rPr>
      </w:pPr>
      <w:r w:rsidRPr="00702D05">
        <w:rPr>
          <w:lang w:val="en-GB"/>
        </w:rPr>
        <w:lastRenderedPageBreak/>
        <w:t>Discussion</w:t>
      </w:r>
    </w:p>
    <w:p w14:paraId="36A54F28" w14:textId="77777777" w:rsidR="002B2D97" w:rsidRPr="002B2D97" w:rsidRDefault="002B2D97" w:rsidP="002B2D97">
      <w:pPr>
        <w:divId w:val="935526654"/>
        <w:rPr>
          <w:lang w:val="en-GB"/>
        </w:rPr>
      </w:pPr>
      <w:r w:rsidRPr="002B2D97">
        <w:rPr>
          <w:lang w:val="en-GB"/>
        </w:rPr>
        <w:t>This study, conducted between 30 June and 31 October 2022, suggests that COVID-19 case ascertainment in Victoria varies by age and vaccination status. The findings indicate relatively low notification of SARS-CoV-2 infections, particularly among younger age groups (approximately 40%, for example, among those aged 18–29 years). Higher case detection among those ≥ 80 years of age may be a result of the increased propensity for symptomatic disease amongst older individuals,</w:t>
      </w:r>
      <w:r w:rsidRPr="002B2D97">
        <w:rPr>
          <w:vertAlign w:val="superscript"/>
          <w:lang w:val="en-GB"/>
        </w:rPr>
        <w:t>12</w:t>
      </w:r>
      <w:r w:rsidRPr="002B2D97">
        <w:rPr>
          <w:lang w:val="en-GB"/>
        </w:rPr>
        <w:t xml:space="preserve"> differences in test-seeking behaviour by age and vaccination status, exposure to SARS-CoV-2 testing in the context of presentations to health care services, and/or routine testing in aged-care facilities. Case notification also varied by the number of </w:t>
      </w:r>
      <w:proofErr w:type="gramStart"/>
      <w:r w:rsidRPr="002B2D97">
        <w:rPr>
          <w:lang w:val="en-GB"/>
        </w:rPr>
        <w:t>vaccine</w:t>
      </w:r>
      <w:proofErr w:type="gramEnd"/>
      <w:r w:rsidRPr="002B2D97">
        <w:rPr>
          <w:lang w:val="en-GB"/>
        </w:rPr>
        <w:t xml:space="preserve"> doses an individual had received, with more highly vaccinated individuals who had serological evidence of prior infection being more likely to be a notified case. This proportion ranged from 19% (95% CI: 14–24%) among individuals who had not completed a primary (two-course) vaccination series to 54% (95% CI: 46–61%) among those who had received four or more vaccine doses after adjusting for age, sex, and region of residence.</w:t>
      </w:r>
    </w:p>
    <w:p w14:paraId="7EDA7FFA" w14:textId="77777777" w:rsidR="002B2D97" w:rsidRPr="002B2D97" w:rsidRDefault="002B2D97" w:rsidP="002B2D97">
      <w:pPr>
        <w:divId w:val="935526654"/>
        <w:rPr>
          <w:lang w:val="en-GB"/>
        </w:rPr>
      </w:pPr>
      <w:r w:rsidRPr="002B2D97">
        <w:rPr>
          <w:lang w:val="en-GB"/>
        </w:rPr>
        <w:t>When examining functional antibody responses, the highest levels of neutralisation (particularly against Omicron BA.4 and BA.5) were observed among individuals with evidence of both booster vaccination and previous infection, reflecting the results of studies finding that protection resulting from previous infection and vaccination in combination is higher than that from infection or vaccination alone.</w:t>
      </w:r>
      <w:r w:rsidRPr="002B2D97">
        <w:rPr>
          <w:vertAlign w:val="superscript"/>
          <w:lang w:val="en-GB"/>
        </w:rPr>
        <w:t>13,14</w:t>
      </w:r>
      <w:r w:rsidRPr="002B2D97">
        <w:rPr>
          <w:lang w:val="en-GB"/>
        </w:rPr>
        <w:t xml:space="preserve"> It is not currently possible, however, to directly and quantitatively correlate percentage inhibition values derived from </w:t>
      </w:r>
      <w:proofErr w:type="spellStart"/>
      <w:r w:rsidRPr="002B2D97">
        <w:rPr>
          <w:lang w:val="en-GB"/>
        </w:rPr>
        <w:t>sVNT</w:t>
      </w:r>
      <w:proofErr w:type="spellEnd"/>
      <w:r w:rsidRPr="002B2D97">
        <w:rPr>
          <w:lang w:val="en-GB"/>
        </w:rPr>
        <w:t xml:space="preserve"> assays with a specific level of protection against SARS-CoV-2 infection, as there is no defined correlate of protection for </w:t>
      </w:r>
      <w:proofErr w:type="spellStart"/>
      <w:r w:rsidRPr="002B2D97">
        <w:rPr>
          <w:lang w:val="en-GB"/>
        </w:rPr>
        <w:t>sVNT</w:t>
      </w:r>
      <w:proofErr w:type="spellEnd"/>
      <w:r w:rsidRPr="002B2D97">
        <w:rPr>
          <w:lang w:val="en-GB"/>
        </w:rPr>
        <w:t xml:space="preserve"> titres. The clinical significance of </w:t>
      </w:r>
      <w:r w:rsidRPr="002B2D97">
        <w:rPr>
          <w:i/>
          <w:iCs/>
          <w:lang w:val="en-GB"/>
        </w:rPr>
        <w:t>in vitro</w:t>
      </w:r>
      <w:r w:rsidRPr="002B2D97">
        <w:rPr>
          <w:lang w:val="en-GB"/>
        </w:rPr>
        <w:t xml:space="preserve"> neutralisation responses in terms of protection against severe or critical COVID-19 are also unclear.</w:t>
      </w:r>
    </w:p>
    <w:p w14:paraId="093B1161" w14:textId="6EF0D28C" w:rsidR="002B2D97" w:rsidRPr="002B2D97" w:rsidRDefault="002B2D97" w:rsidP="002B2D97">
      <w:pPr>
        <w:divId w:val="935526654"/>
        <w:rPr>
          <w:lang w:val="en-GB"/>
        </w:rPr>
      </w:pPr>
      <w:r w:rsidRPr="002B2D97">
        <w:rPr>
          <w:lang w:val="en-GB"/>
        </w:rPr>
        <w:t>The importance of these results is not that COVID-19 case notifications were incomplete, but that this was not uniform across age and vaccination uptake strata. Therefore, for example, if one was to attempt to validate a SARS-CoV-2 transmission model against Victorian data, one would have to account not only for under-reporting but also for how this under-reporting varies among different groups. Accordingly, a strength of this analysis is linkage of seroprevalence results with COVID-19 vaccination and notification data which has not been conducted previously in Australia.</w:t>
      </w:r>
      <w:r>
        <w:rPr>
          <w:lang w:val="en-GB"/>
        </w:rPr>
        <w:t xml:space="preserve"> </w:t>
      </w:r>
      <w:r w:rsidRPr="002B2D97">
        <w:rPr>
          <w:lang w:val="en-GB"/>
        </w:rPr>
        <w:t>Internationally, such an approach has been used in Canada to identify predictors of infection by socio-economic status and estimate case ascertainment,</w:t>
      </w:r>
      <w:r w:rsidRPr="002B2D97">
        <w:rPr>
          <w:vertAlign w:val="superscript"/>
          <w:lang w:val="en-GB"/>
        </w:rPr>
        <w:t>15</w:t>
      </w:r>
      <w:r w:rsidRPr="002B2D97">
        <w:rPr>
          <w:lang w:val="en-GB"/>
        </w:rPr>
        <w:t xml:space="preserve"> and in Denmark to estimate the percentage of individuals infected soon after Omicron variant emergence, case ascertainment, and the then-current COVID-19 infection fatality ratio.</w:t>
      </w:r>
      <w:r w:rsidRPr="002B2D97">
        <w:rPr>
          <w:vertAlign w:val="superscript"/>
          <w:lang w:val="en-GB"/>
        </w:rPr>
        <w:t>1</w:t>
      </w:r>
      <w:r w:rsidRPr="002B2D97">
        <w:rPr>
          <w:lang w:val="en-GB"/>
        </w:rPr>
        <w:t xml:space="preserve"> </w:t>
      </w:r>
    </w:p>
    <w:p w14:paraId="3A167DB8" w14:textId="77777777" w:rsidR="002B2D97" w:rsidRPr="002B2D97" w:rsidRDefault="002B2D97" w:rsidP="002B2D97">
      <w:pPr>
        <w:divId w:val="935526654"/>
        <w:rPr>
          <w:lang w:val="en-GB"/>
        </w:rPr>
      </w:pPr>
      <w:r w:rsidRPr="002B2D97">
        <w:rPr>
          <w:lang w:val="en-GB"/>
        </w:rPr>
        <w:t xml:space="preserve">While this study provides novel insights into COVID-19 in Victoria, results should be interpreted </w:t>
      </w:r>
      <w:proofErr w:type="gramStart"/>
      <w:r w:rsidRPr="002B2D97">
        <w:rPr>
          <w:lang w:val="en-GB"/>
        </w:rPr>
        <w:t>in light of</w:t>
      </w:r>
      <w:proofErr w:type="gramEnd"/>
      <w:r w:rsidRPr="002B2D97">
        <w:rPr>
          <w:lang w:val="en-GB"/>
        </w:rPr>
        <w:t xml:space="preserve"> potential biases due to, for example, limitations inherent in the deterministic data linkage approach utilised. Specifically, 15.5% of individuals were not able to be linked to a record in the vaccination database, suggesting they were either unvaccinated or linkage was unsuccessful. There was therefore a substantial discrepancy between the percentage of individuals appearing unvaccinated in this cohort following linkage to immunisation records and COVID-19 vaccination coverage in Victoria – only an estimated 3% of Victorians aged 16 years and over have not received a COVID-19 vaccine.</w:t>
      </w:r>
      <w:r w:rsidRPr="002B2D97">
        <w:rPr>
          <w:vertAlign w:val="superscript"/>
          <w:lang w:val="en-GB"/>
        </w:rPr>
        <w:t>16</w:t>
      </w:r>
      <w:r w:rsidRPr="002B2D97">
        <w:rPr>
          <w:lang w:val="en-GB"/>
        </w:rPr>
        <w:t xml:space="preserve"> Sensitivity analyses did, however, reflect trends observed in the primary analysis and therefore do not change our conclusions.</w:t>
      </w:r>
    </w:p>
    <w:p w14:paraId="0BE1E0A0" w14:textId="77777777" w:rsidR="002B2D97" w:rsidRPr="002B2D97" w:rsidRDefault="002B2D97" w:rsidP="002B2D97">
      <w:pPr>
        <w:divId w:val="935526654"/>
        <w:rPr>
          <w:lang w:val="en-GB"/>
        </w:rPr>
      </w:pPr>
      <w:r w:rsidRPr="002B2D97">
        <w:rPr>
          <w:lang w:val="en-GB"/>
        </w:rPr>
        <w:lastRenderedPageBreak/>
        <w:t xml:space="preserve">Furthermore, analyses were performed on residual serum samples and therefore participants may not be representative of the general Victorian population. Study participants broadly reflected the Victorian population in terms of age distribution, </w:t>
      </w:r>
      <w:proofErr w:type="gramStart"/>
      <w:r w:rsidRPr="002B2D97">
        <w:rPr>
          <w:lang w:val="en-GB"/>
        </w:rPr>
        <w:t>sex</w:t>
      </w:r>
      <w:proofErr w:type="gramEnd"/>
      <w:r w:rsidRPr="002B2D97">
        <w:rPr>
          <w:lang w:val="en-GB"/>
        </w:rPr>
        <w:t xml:space="preserve"> and residence in metropolitan Melbourne. However, it was not possible to further assess representativeness in terms of other demographic factors, comorbidities, or healthcare seeking behaviour given data limitations.</w:t>
      </w:r>
    </w:p>
    <w:p w14:paraId="7373195D" w14:textId="27CA3900" w:rsidR="002B2D97" w:rsidRPr="002B2D97" w:rsidRDefault="002B2D97" w:rsidP="002B2D97">
      <w:pPr>
        <w:divId w:val="935526654"/>
        <w:rPr>
          <w:lang w:val="en-GB"/>
        </w:rPr>
      </w:pPr>
      <w:r w:rsidRPr="002B2D97">
        <w:rPr>
          <w:lang w:val="en-GB"/>
        </w:rPr>
        <w:t>It is also important to consider the lower sensitivity of anti-N assays for asymptomatic</w:t>
      </w:r>
      <w:r w:rsidRPr="002B2D97">
        <w:rPr>
          <w:vertAlign w:val="superscript"/>
          <w:lang w:val="en-GB"/>
        </w:rPr>
        <w:t>17</w:t>
      </w:r>
      <w:r w:rsidRPr="002B2D97">
        <w:rPr>
          <w:lang w:val="en-GB"/>
        </w:rPr>
        <w:t xml:space="preserve"> and vaccinated</w:t>
      </w:r>
      <w:r w:rsidRPr="002B2D97">
        <w:rPr>
          <w:vertAlign w:val="superscript"/>
          <w:lang w:val="en-GB"/>
        </w:rPr>
        <w:t>3</w:t>
      </w:r>
      <w:r w:rsidRPr="002B2D97">
        <w:rPr>
          <w:lang w:val="en-GB"/>
        </w:rPr>
        <w:t xml:space="preserve"> individuals, the possible presence of repeated infections which cannot be differentiated using serology, and anti-N waning.</w:t>
      </w:r>
      <w:r w:rsidRPr="002B2D97">
        <w:rPr>
          <w:vertAlign w:val="superscript"/>
          <w:lang w:val="en-GB"/>
        </w:rPr>
        <w:t>17</w:t>
      </w:r>
      <w:r w:rsidRPr="002B2D97">
        <w:rPr>
          <w:lang w:val="en-GB"/>
        </w:rPr>
        <w:t xml:space="preserve"> Published estimates of the longitudinal trajectory of anti-N antibodies vary, but the estimated half-life of anti-N IgG has been reported as 85 days (95% credibility interval: 81–90 days) in a longitudinal seroprevalence study of healthcare workers in the United Kingdom.</w:t>
      </w:r>
      <w:r w:rsidRPr="002B2D97">
        <w:rPr>
          <w:vertAlign w:val="superscript"/>
          <w:lang w:val="en-GB"/>
        </w:rPr>
        <w:t>17</w:t>
      </w:r>
      <w:r w:rsidRPr="002B2D97">
        <w:rPr>
          <w:lang w:val="en-GB"/>
        </w:rPr>
        <w:t xml:space="preserve"> Higher peak anti-N levels have been observed among older individuals and individuals symptomatic with their acute infection.</w:t>
      </w:r>
      <w:r w:rsidRPr="002B2D97">
        <w:rPr>
          <w:vertAlign w:val="superscript"/>
          <w:lang w:val="en-GB"/>
        </w:rPr>
        <w:t>17</w:t>
      </w:r>
      <w:r w:rsidRPr="002B2D97">
        <w:rPr>
          <w:lang w:val="en-GB"/>
        </w:rPr>
        <w:t xml:space="preserve"> The probability of anti-N seroconversion may also vary by COVID-19 vaccination status; for example, in one study seroconversion following PCR-confirmed SARS-CoV-2 infection occurred in only 40% of vaccinees compared to 93% of placebo recipients.</w:t>
      </w:r>
      <w:r w:rsidRPr="002B2D97">
        <w:rPr>
          <w:vertAlign w:val="superscript"/>
          <w:lang w:val="en-GB"/>
        </w:rPr>
        <w:t>3</w:t>
      </w:r>
      <w:r w:rsidRPr="002B2D97">
        <w:rPr>
          <w:lang w:val="en-GB"/>
        </w:rPr>
        <w:t xml:space="preserve"> Factors such as these likely explain the observation that not all notified cases were anti-N positive in this analysis. Importantly, however, while the sensitivity of commercial anti-S assays has been shown to be reduced for detecting Omicron-induced compared to wildtype-induced antibodies, this is not the case for anti-N assays.</w:t>
      </w:r>
      <w:r w:rsidRPr="002B2D97">
        <w:rPr>
          <w:vertAlign w:val="superscript"/>
          <w:lang w:val="en-GB"/>
        </w:rPr>
        <w:t>18,</w:t>
      </w:r>
      <w:proofErr w:type="gramStart"/>
      <w:r w:rsidRPr="002B2D97">
        <w:rPr>
          <w:vertAlign w:val="superscript"/>
          <w:lang w:val="en-GB"/>
        </w:rPr>
        <w:t>19</w:t>
      </w:r>
      <w:proofErr w:type="gramEnd"/>
    </w:p>
    <w:p w14:paraId="21A0EA51" w14:textId="77777777" w:rsidR="002B2D97" w:rsidRPr="002B2D97" w:rsidRDefault="002B2D97" w:rsidP="002B2D97">
      <w:pPr>
        <w:divId w:val="935526654"/>
        <w:rPr>
          <w:vertAlign w:val="superscript"/>
          <w:lang w:val="en-GB"/>
        </w:rPr>
      </w:pPr>
      <w:r w:rsidRPr="002B2D97">
        <w:rPr>
          <w:lang w:val="en-GB"/>
        </w:rPr>
        <w:t xml:space="preserve">This project successfully piloted a </w:t>
      </w:r>
      <w:proofErr w:type="spellStart"/>
      <w:r w:rsidRPr="002B2D97">
        <w:rPr>
          <w:lang w:val="en-GB"/>
        </w:rPr>
        <w:t>serosurveillance</w:t>
      </w:r>
      <w:proofErr w:type="spellEnd"/>
      <w:r w:rsidRPr="002B2D97">
        <w:rPr>
          <w:lang w:val="en-GB"/>
        </w:rPr>
        <w:t xml:space="preserve"> approach that provided new insights into the prevalence of prior SARS-CoV-2 infection in Victoria. Now that a transition period has been reached in which there is sustained community transmission of SARS-CoV-2 in Australia and the virus is being managed alongside other communicable diseases, the objectives of </w:t>
      </w:r>
      <w:proofErr w:type="spellStart"/>
      <w:r w:rsidRPr="002B2D97">
        <w:rPr>
          <w:lang w:val="en-GB"/>
        </w:rPr>
        <w:t>serosurveillance</w:t>
      </w:r>
      <w:proofErr w:type="spellEnd"/>
      <w:r w:rsidRPr="002B2D97">
        <w:rPr>
          <w:lang w:val="en-GB"/>
        </w:rPr>
        <w:t xml:space="preserve"> will inevitably shift from obtaining simple estimates of total population exposure to more nuanced analyses aiming, for example, to identify sub-populations at highest risk of morbidity and mortality and to inform ongoing vaccination strategies.</w:t>
      </w:r>
      <w:r w:rsidRPr="002B2D97">
        <w:rPr>
          <w:vertAlign w:val="superscript"/>
          <w:lang w:val="en-GB"/>
        </w:rPr>
        <w:t>20</w:t>
      </w:r>
      <w:r w:rsidRPr="002B2D97">
        <w:rPr>
          <w:lang w:val="en-GB"/>
        </w:rPr>
        <w:t xml:space="preserve"> This could be facilitated in future through the use of data linkage approaches. As prior infection with SARS-CoV-2 is now widespread, the utility of anti-N assays in informing pandemic intelligence and response may become limited; in this context, variant-specific neutralisation assays, as demonstrated in this study, may become increasingly informative.</w:t>
      </w:r>
      <w:r w:rsidRPr="002B2D97">
        <w:rPr>
          <w:vertAlign w:val="superscript"/>
          <w:lang w:val="en-GB"/>
        </w:rPr>
        <w:t>20</w:t>
      </w:r>
    </w:p>
    <w:p w14:paraId="665215A8" w14:textId="77777777" w:rsidR="00470C19" w:rsidRPr="00702D05" w:rsidRDefault="00470C19" w:rsidP="00470C19">
      <w:pPr>
        <w:pStyle w:val="Heading1"/>
        <w:divId w:val="935526654"/>
        <w:rPr>
          <w:lang w:val="en-GB"/>
        </w:rPr>
      </w:pPr>
      <w:r>
        <w:rPr>
          <w:lang w:val="en-GB"/>
        </w:rPr>
        <w:t>Acknowledgments</w:t>
      </w:r>
    </w:p>
    <w:p w14:paraId="654EBDC7" w14:textId="77777777" w:rsidR="002B2D97" w:rsidRDefault="002B2D97" w:rsidP="002B2D97">
      <w:pPr>
        <w:divId w:val="935526654"/>
        <w:rPr>
          <w:lang w:val="en-GB"/>
        </w:rPr>
      </w:pPr>
      <w:r w:rsidRPr="002B2D97">
        <w:rPr>
          <w:lang w:val="en-GB"/>
        </w:rPr>
        <w:t>The authors would like to acknowledge all staff at the Victorian Infectious Diseases Reference Laboratory and the Victorian Department of Health who provided laboratory and technical support for this project.</w:t>
      </w:r>
    </w:p>
    <w:p w14:paraId="55428252" w14:textId="56B9F780" w:rsidR="002B2D97" w:rsidRDefault="002B2D97" w:rsidP="002B2D97">
      <w:pPr>
        <w:pStyle w:val="Heading1"/>
        <w:divId w:val="935526654"/>
        <w:rPr>
          <w:lang w:val="en-GB"/>
        </w:rPr>
      </w:pPr>
      <w:r>
        <w:rPr>
          <w:lang w:val="en-GB"/>
        </w:rPr>
        <w:t>Declaration of interests</w:t>
      </w:r>
    </w:p>
    <w:p w14:paraId="66139234" w14:textId="198D58B3" w:rsidR="002B2D97" w:rsidRDefault="002B2D97" w:rsidP="002B2D97">
      <w:pPr>
        <w:divId w:val="935526654"/>
        <w:rPr>
          <w:lang w:val="en-GB"/>
        </w:rPr>
      </w:pPr>
      <w:r w:rsidRPr="002B2D97">
        <w:rPr>
          <w:lang w:val="en-GB"/>
        </w:rPr>
        <w:t>JS, separate to this work, is currently conducting a study of COVID-19 vaccine effectiveness at the Melbourne School of Population and Global Health (The University of Melbourne) which is sponsored by Moderna. Moderna had no role in the current study.</w:t>
      </w:r>
    </w:p>
    <w:p w14:paraId="6CEC7782" w14:textId="6A82BAC9" w:rsidR="002B2D97" w:rsidRDefault="002B2D97" w:rsidP="002B2D97">
      <w:pPr>
        <w:pStyle w:val="Heading1"/>
        <w:divId w:val="935526654"/>
        <w:rPr>
          <w:lang w:val="en-GB"/>
        </w:rPr>
      </w:pPr>
      <w:r>
        <w:rPr>
          <w:lang w:val="en-GB"/>
        </w:rPr>
        <w:lastRenderedPageBreak/>
        <w:t>Role of the funding source</w:t>
      </w:r>
    </w:p>
    <w:p w14:paraId="16680EC9" w14:textId="77777777" w:rsidR="002B2D97" w:rsidRPr="002B2D97" w:rsidRDefault="002B2D97" w:rsidP="002B2D97">
      <w:pPr>
        <w:divId w:val="935526654"/>
        <w:rPr>
          <w:lang w:val="en-GB"/>
        </w:rPr>
      </w:pPr>
      <w:r w:rsidRPr="002B2D97">
        <w:rPr>
          <w:lang w:val="en-GB"/>
        </w:rPr>
        <w:t xml:space="preserve">The Victorian Department of Health commissioned and funded VIDRL to conduct this project. </w:t>
      </w:r>
      <w:proofErr w:type="spellStart"/>
      <w:r w:rsidRPr="002B2D97">
        <w:rPr>
          <w:lang w:val="en-GB"/>
        </w:rPr>
        <w:t>sVNT</w:t>
      </w:r>
      <w:proofErr w:type="spellEnd"/>
      <w:r w:rsidRPr="002B2D97">
        <w:rPr>
          <w:lang w:val="en-GB"/>
        </w:rPr>
        <w:t xml:space="preserve"> testing and analysis was funded and performed by VIDRL. The Victorian Department of Health reviewed and approved the study design and interim reports and performed data linkage.</w:t>
      </w:r>
    </w:p>
    <w:p w14:paraId="4A978625" w14:textId="50E5DFA0" w:rsidR="002B2D97" w:rsidRDefault="002B2D97" w:rsidP="002B2D97">
      <w:pPr>
        <w:pStyle w:val="Heading1"/>
        <w:divId w:val="935526654"/>
        <w:rPr>
          <w:lang w:val="en-GB"/>
        </w:rPr>
      </w:pPr>
      <w:r>
        <w:rPr>
          <w:lang w:val="en-GB"/>
        </w:rPr>
        <w:t>Data sharing statement</w:t>
      </w:r>
    </w:p>
    <w:p w14:paraId="0705509F" w14:textId="77777777" w:rsidR="002B2D97" w:rsidRPr="002B2D97" w:rsidRDefault="002B2D97" w:rsidP="002B2D97">
      <w:pPr>
        <w:divId w:val="935526654"/>
        <w:rPr>
          <w:lang w:val="en-GB"/>
        </w:rPr>
      </w:pPr>
      <w:r w:rsidRPr="002B2D97">
        <w:rPr>
          <w:lang w:val="en-GB"/>
        </w:rPr>
        <w:t>Individual participant data from this study are not able to be shared.</w:t>
      </w:r>
    </w:p>
    <w:p w14:paraId="3C4DF436" w14:textId="77777777" w:rsidR="00470C19" w:rsidRDefault="00470C19" w:rsidP="00470C19">
      <w:pPr>
        <w:pStyle w:val="Heading1"/>
        <w:divId w:val="935526654"/>
      </w:pPr>
      <w:r>
        <w:t>Author details</w:t>
      </w:r>
    </w:p>
    <w:p w14:paraId="61DC2758" w14:textId="77777777" w:rsidR="002B2D97" w:rsidRDefault="002B2D97" w:rsidP="002B2D97">
      <w:pPr>
        <w:divId w:val="935526654"/>
      </w:pPr>
      <w:r>
        <w:t xml:space="preserve">Joshua </w:t>
      </w:r>
      <w:proofErr w:type="spellStart"/>
      <w:r>
        <w:t>Szanyi</w:t>
      </w:r>
      <w:proofErr w:type="spellEnd"/>
      <w:r>
        <w:t xml:space="preserve"> (MD)</w:t>
      </w:r>
      <w:r w:rsidRPr="002B2D97">
        <w:rPr>
          <w:vertAlign w:val="superscript"/>
        </w:rPr>
        <w:t>1,2</w:t>
      </w:r>
    </w:p>
    <w:p w14:paraId="55DE4E48" w14:textId="77777777" w:rsidR="002B2D97" w:rsidRDefault="002B2D97" w:rsidP="002B2D97">
      <w:pPr>
        <w:pStyle w:val="Normal-lessspace"/>
        <w:divId w:val="935526654"/>
      </w:pPr>
      <w:r>
        <w:t>David J Price (PhD)</w:t>
      </w:r>
      <w:r w:rsidRPr="002B2D97">
        <w:rPr>
          <w:vertAlign w:val="superscript"/>
        </w:rPr>
        <w:t>1,2</w:t>
      </w:r>
    </w:p>
    <w:p w14:paraId="4C6E0EE6" w14:textId="77777777" w:rsidR="002B2D97" w:rsidRDefault="002B2D97" w:rsidP="002B2D97">
      <w:pPr>
        <w:pStyle w:val="Normal-lessspace"/>
        <w:divId w:val="935526654"/>
      </w:pPr>
      <w:r>
        <w:t>Kylie S Carville (</w:t>
      </w:r>
      <w:proofErr w:type="spellStart"/>
      <w:r>
        <w:t>MAppEpid</w:t>
      </w:r>
      <w:proofErr w:type="spellEnd"/>
      <w:r>
        <w:t>)</w:t>
      </w:r>
      <w:r w:rsidRPr="002B2D97">
        <w:rPr>
          <w:vertAlign w:val="superscript"/>
        </w:rPr>
        <w:t>1,3</w:t>
      </w:r>
    </w:p>
    <w:p w14:paraId="353E793A" w14:textId="77777777" w:rsidR="002B2D97" w:rsidRDefault="002B2D97" w:rsidP="002B2D97">
      <w:pPr>
        <w:pStyle w:val="Normal-lessspace"/>
        <w:divId w:val="935526654"/>
      </w:pPr>
      <w:r>
        <w:t>Mitch Batty (PhD)</w:t>
      </w:r>
      <w:r w:rsidRPr="002B2D97">
        <w:rPr>
          <w:vertAlign w:val="superscript"/>
        </w:rPr>
        <w:t>3</w:t>
      </w:r>
    </w:p>
    <w:p w14:paraId="38BD8096" w14:textId="77777777" w:rsidR="002B2D97" w:rsidRDefault="002B2D97" w:rsidP="002B2D97">
      <w:pPr>
        <w:pStyle w:val="Normal-lessspace"/>
        <w:divId w:val="935526654"/>
      </w:pPr>
      <w:r>
        <w:t xml:space="preserve">Sarah </w:t>
      </w:r>
      <w:proofErr w:type="spellStart"/>
      <w:r>
        <w:t>Yallop</w:t>
      </w:r>
      <w:proofErr w:type="spellEnd"/>
      <w:r>
        <w:t xml:space="preserve"> (MPS)</w:t>
      </w:r>
      <w:r w:rsidRPr="002B2D97">
        <w:rPr>
          <w:vertAlign w:val="superscript"/>
        </w:rPr>
        <w:t>3</w:t>
      </w:r>
    </w:p>
    <w:p w14:paraId="58FABE27" w14:textId="77777777" w:rsidR="002B2D97" w:rsidRDefault="002B2D97" w:rsidP="002B2D97">
      <w:pPr>
        <w:pStyle w:val="Normal-lessspace"/>
        <w:divId w:val="935526654"/>
      </w:pPr>
      <w:r>
        <w:t>Suellen Nicholson (BSc)</w:t>
      </w:r>
      <w:r w:rsidRPr="002B2D97">
        <w:rPr>
          <w:vertAlign w:val="superscript"/>
        </w:rPr>
        <w:t>3</w:t>
      </w:r>
    </w:p>
    <w:p w14:paraId="265DB8D5" w14:textId="77777777" w:rsidR="002B2D97" w:rsidRDefault="002B2D97" w:rsidP="002B2D97">
      <w:pPr>
        <w:pStyle w:val="Normal-lessspace"/>
        <w:divId w:val="935526654"/>
      </w:pPr>
      <w:r>
        <w:t xml:space="preserve">Theo </w:t>
      </w:r>
      <w:proofErr w:type="spellStart"/>
      <w:r>
        <w:t>Karapanagiotidis</w:t>
      </w:r>
      <w:proofErr w:type="spellEnd"/>
      <w:r>
        <w:t xml:space="preserve"> (BAS)</w:t>
      </w:r>
      <w:r w:rsidRPr="002B2D97">
        <w:rPr>
          <w:vertAlign w:val="superscript"/>
        </w:rPr>
        <w:t>3</w:t>
      </w:r>
    </w:p>
    <w:p w14:paraId="748894F9" w14:textId="77777777" w:rsidR="002B2D97" w:rsidRDefault="002B2D97" w:rsidP="002B2D97">
      <w:pPr>
        <w:pStyle w:val="Normal-lessspace"/>
        <w:divId w:val="935526654"/>
      </w:pPr>
      <w:r>
        <w:t>Stacey Rowe (PhD)</w:t>
      </w:r>
      <w:r w:rsidRPr="002B2D97">
        <w:rPr>
          <w:vertAlign w:val="superscript"/>
        </w:rPr>
        <w:t>4,5</w:t>
      </w:r>
    </w:p>
    <w:p w14:paraId="36C80D3E" w14:textId="77777777" w:rsidR="002B2D97" w:rsidRDefault="002B2D97" w:rsidP="002B2D97">
      <w:pPr>
        <w:pStyle w:val="Normal-lessspace"/>
        <w:divId w:val="935526654"/>
      </w:pPr>
      <w:r>
        <w:t>Sheena Sullivan (PhD)</w:t>
      </w:r>
      <w:r w:rsidRPr="002B2D97">
        <w:rPr>
          <w:vertAlign w:val="superscript"/>
        </w:rPr>
        <w:t>1,2,3,6</w:t>
      </w:r>
    </w:p>
    <w:p w14:paraId="33B0D5DF" w14:textId="77777777" w:rsidR="002B2D97" w:rsidRDefault="002B2D97" w:rsidP="002B2D97">
      <w:pPr>
        <w:pStyle w:val="Normal-lessspace"/>
        <w:divId w:val="935526654"/>
      </w:pPr>
      <w:r>
        <w:t>Vinay Menon (MPH)</w:t>
      </w:r>
      <w:r w:rsidRPr="002B2D97">
        <w:rPr>
          <w:vertAlign w:val="superscript"/>
        </w:rPr>
        <w:t>6</w:t>
      </w:r>
    </w:p>
    <w:p w14:paraId="22099764" w14:textId="77777777" w:rsidR="002B2D97" w:rsidRDefault="002B2D97" w:rsidP="002B2D97">
      <w:pPr>
        <w:pStyle w:val="Normal-lessspace"/>
        <w:divId w:val="935526654"/>
      </w:pPr>
      <w:r>
        <w:t>Daniel West (</w:t>
      </w:r>
      <w:proofErr w:type="spellStart"/>
      <w:r>
        <w:t>MFinAnal</w:t>
      </w:r>
      <w:proofErr w:type="spellEnd"/>
      <w:r>
        <w:t>/MBA)</w:t>
      </w:r>
      <w:r w:rsidRPr="002B2D97">
        <w:rPr>
          <w:vertAlign w:val="superscript"/>
        </w:rPr>
        <w:t>6</w:t>
      </w:r>
    </w:p>
    <w:p w14:paraId="6501A6D3" w14:textId="77777777" w:rsidR="002B2D97" w:rsidRDefault="002B2D97" w:rsidP="002B2D97">
      <w:pPr>
        <w:pStyle w:val="Normal-lessspace"/>
        <w:divId w:val="935526654"/>
      </w:pPr>
      <w:r>
        <w:t>Lakshmi Manoharan (MPH)</w:t>
      </w:r>
      <w:r w:rsidRPr="002B2D97">
        <w:rPr>
          <w:vertAlign w:val="superscript"/>
        </w:rPr>
        <w:t>6</w:t>
      </w:r>
    </w:p>
    <w:p w14:paraId="0B69E225" w14:textId="77777777" w:rsidR="002B2D97" w:rsidRDefault="002B2D97" w:rsidP="002B2D97">
      <w:pPr>
        <w:pStyle w:val="Normal-lessspace"/>
        <w:divId w:val="935526654"/>
      </w:pPr>
      <w:r>
        <w:t>Eliza Copsey (</w:t>
      </w:r>
      <w:proofErr w:type="spellStart"/>
      <w:r>
        <w:t>GradCertEpi</w:t>
      </w:r>
      <w:proofErr w:type="spellEnd"/>
      <w:r>
        <w:t>)</w:t>
      </w:r>
      <w:r w:rsidRPr="002B2D97">
        <w:rPr>
          <w:vertAlign w:val="superscript"/>
        </w:rPr>
        <w:t>6</w:t>
      </w:r>
    </w:p>
    <w:p w14:paraId="781551B9" w14:textId="77777777" w:rsidR="002B2D97" w:rsidRDefault="002B2D97" w:rsidP="002B2D97">
      <w:pPr>
        <w:pStyle w:val="Normal-lessspace"/>
        <w:divId w:val="935526654"/>
      </w:pPr>
      <w:r>
        <w:t>Suman S Majumdar (FRACP)</w:t>
      </w:r>
      <w:r w:rsidRPr="002B2D97">
        <w:rPr>
          <w:vertAlign w:val="superscript"/>
        </w:rPr>
        <w:t>4,6,7</w:t>
      </w:r>
    </w:p>
    <w:p w14:paraId="64ED0D75" w14:textId="77777777" w:rsidR="002B2D97" w:rsidRDefault="002B2D97" w:rsidP="002B2D97">
      <w:pPr>
        <w:pStyle w:val="Normal-lessspace"/>
        <w:divId w:val="935526654"/>
      </w:pPr>
      <w:r>
        <w:t>Brett Sutton (FAFPHM)</w:t>
      </w:r>
      <w:r w:rsidRPr="002B2D97">
        <w:rPr>
          <w:vertAlign w:val="superscript"/>
        </w:rPr>
        <w:t>4,6</w:t>
      </w:r>
    </w:p>
    <w:p w14:paraId="752A2707" w14:textId="77777777" w:rsidR="002B2D97" w:rsidRDefault="002B2D97" w:rsidP="002B2D97">
      <w:pPr>
        <w:pStyle w:val="Normal-lessspace"/>
        <w:divId w:val="935526654"/>
      </w:pPr>
      <w:r>
        <w:t>Deborah A Williamson (PhD)</w:t>
      </w:r>
      <w:r w:rsidRPr="002B2D97">
        <w:rPr>
          <w:vertAlign w:val="superscript"/>
        </w:rPr>
        <w:t>1,3,8</w:t>
      </w:r>
    </w:p>
    <w:p w14:paraId="6D283C77" w14:textId="77777777" w:rsidR="002B2D97" w:rsidRDefault="002B2D97" w:rsidP="002B2D97">
      <w:pPr>
        <w:pStyle w:val="Normal-lessspace"/>
        <w:divId w:val="935526654"/>
      </w:pPr>
      <w:r>
        <w:t xml:space="preserve">Jodie </w:t>
      </w:r>
      <w:proofErr w:type="spellStart"/>
      <w:r>
        <w:t>McVernon</w:t>
      </w:r>
      <w:proofErr w:type="spellEnd"/>
      <w:r>
        <w:t xml:space="preserve"> (PhD)</w:t>
      </w:r>
      <w:r w:rsidRPr="002B2D97">
        <w:rPr>
          <w:vertAlign w:val="superscript"/>
        </w:rPr>
        <w:t>1,3</w:t>
      </w:r>
    </w:p>
    <w:p w14:paraId="3BA48410" w14:textId="77777777" w:rsidR="002B2D97" w:rsidRDefault="002B2D97" w:rsidP="002B2D97">
      <w:pPr>
        <w:pStyle w:val="CDINumberedList1L1"/>
        <w:divId w:val="935526654"/>
      </w:pPr>
      <w:r>
        <w:t>Department of Infectious Diseases, University of Melbourne, at the Peter Doherty Institute for Infection and Immunity, Victoria, Australia</w:t>
      </w:r>
    </w:p>
    <w:p w14:paraId="316B23C5" w14:textId="77777777" w:rsidR="002B2D97" w:rsidRDefault="002B2D97" w:rsidP="002B2D97">
      <w:pPr>
        <w:pStyle w:val="CDINumberedList1L1"/>
        <w:divId w:val="935526654"/>
      </w:pPr>
      <w:r>
        <w:t>Centre for Epidemiology and Biostatistics, Melbourne School of Population and Global Health, University of Melbourne, Victoria, Australia</w:t>
      </w:r>
    </w:p>
    <w:p w14:paraId="7647FAC1" w14:textId="77777777" w:rsidR="002B2D97" w:rsidRDefault="002B2D97" w:rsidP="002B2D97">
      <w:pPr>
        <w:pStyle w:val="CDINumberedList1L1"/>
        <w:divId w:val="935526654"/>
      </w:pPr>
      <w:r>
        <w:lastRenderedPageBreak/>
        <w:t>Victorian Infectious Diseases Reference Laboratory, Royal Melbourne Hospital, at the Peter Doherty Institute for Infection and Immunity, Victoria, Australia</w:t>
      </w:r>
    </w:p>
    <w:p w14:paraId="426BB52D" w14:textId="77777777" w:rsidR="002B2D97" w:rsidRDefault="002B2D97" w:rsidP="002B2D97">
      <w:pPr>
        <w:pStyle w:val="CDINumberedList1L1"/>
        <w:divId w:val="935526654"/>
      </w:pPr>
      <w:r>
        <w:t>School of Public Health and Preventive Medicine, Monash University, Melbourne, Australia</w:t>
      </w:r>
    </w:p>
    <w:p w14:paraId="39124AF3" w14:textId="77777777" w:rsidR="002B2D97" w:rsidRDefault="002B2D97" w:rsidP="002B2D97">
      <w:pPr>
        <w:pStyle w:val="CDINumberedList1L1"/>
        <w:divId w:val="935526654"/>
      </w:pPr>
      <w:r>
        <w:t>Department of Health Professions, University of San Francisco, San Francisco, California, US</w:t>
      </w:r>
    </w:p>
    <w:p w14:paraId="0DD230AF" w14:textId="77777777" w:rsidR="002B2D97" w:rsidRDefault="002B2D97" w:rsidP="002B2D97">
      <w:pPr>
        <w:pStyle w:val="CDINumberedList1L1"/>
        <w:divId w:val="935526654"/>
      </w:pPr>
      <w:r>
        <w:t>Victorian Department of Health, Melbourne, Victoria, Australia</w:t>
      </w:r>
    </w:p>
    <w:p w14:paraId="53A26C56" w14:textId="77777777" w:rsidR="002B2D97" w:rsidRDefault="002B2D97" w:rsidP="002B2D97">
      <w:pPr>
        <w:pStyle w:val="CDINumberedList1L1"/>
        <w:divId w:val="935526654"/>
      </w:pPr>
      <w:r>
        <w:t xml:space="preserve">Burnet Institute, Melbourne, Victoria, Australia </w:t>
      </w:r>
    </w:p>
    <w:p w14:paraId="1922F304" w14:textId="77777777" w:rsidR="002B2D97" w:rsidRDefault="002B2D97" w:rsidP="002B2D97">
      <w:pPr>
        <w:pStyle w:val="CDINumberedList1L1"/>
        <w:divId w:val="935526654"/>
      </w:pPr>
      <w:r>
        <w:t>Walter and Eliza Hall Institute, Melbourne, Victoria, Australia</w:t>
      </w:r>
    </w:p>
    <w:p w14:paraId="6CD196C6" w14:textId="77777777" w:rsidR="002B2D97" w:rsidRPr="002B2D97" w:rsidRDefault="002B2D97" w:rsidP="002B2D97">
      <w:pPr>
        <w:divId w:val="935526654"/>
        <w:rPr>
          <w:rStyle w:val="Bold"/>
        </w:rPr>
      </w:pPr>
      <w:r w:rsidRPr="002B2D97">
        <w:rPr>
          <w:rStyle w:val="Bold"/>
        </w:rPr>
        <w:t>Corresponding author</w:t>
      </w:r>
    </w:p>
    <w:p w14:paraId="3F921E38" w14:textId="77777777" w:rsidR="002B2D97" w:rsidRDefault="002B2D97" w:rsidP="002B2D97">
      <w:pPr>
        <w:divId w:val="935526654"/>
      </w:pPr>
      <w:r>
        <w:t xml:space="preserve">Dr Joshua </w:t>
      </w:r>
      <w:proofErr w:type="spellStart"/>
      <w:r>
        <w:t>Szanyi</w:t>
      </w:r>
      <w:proofErr w:type="spellEnd"/>
    </w:p>
    <w:p w14:paraId="639E2096" w14:textId="77777777" w:rsidR="002B2D97" w:rsidRDefault="002B2D97" w:rsidP="002B2D97">
      <w:pPr>
        <w:pStyle w:val="Normal-lessspace"/>
        <w:divId w:val="935526654"/>
      </w:pPr>
      <w:r>
        <w:t xml:space="preserve">Population Interventions Unit | Centre for Epidemiology and Biostatistics, The University of Melbourne, Victoria 3010 Australia </w:t>
      </w:r>
    </w:p>
    <w:p w14:paraId="01316BA9" w14:textId="4545CED4" w:rsidR="00470C19" w:rsidRPr="007A2D74" w:rsidRDefault="002B2D97" w:rsidP="002B2D97">
      <w:pPr>
        <w:pStyle w:val="Normal-lessspace"/>
        <w:divId w:val="935526654"/>
      </w:pPr>
      <w:r>
        <w:t>email: joshua.szanyi@unimelb.edu.au</w:t>
      </w:r>
      <w:r w:rsidR="00470C19" w:rsidRPr="007A2D74">
        <w:br w:type="page"/>
      </w:r>
    </w:p>
    <w:p w14:paraId="5FFBE99D" w14:textId="77777777" w:rsidR="00470C19" w:rsidRDefault="00470C19" w:rsidP="00470C19">
      <w:pPr>
        <w:pStyle w:val="Heading1"/>
        <w:divId w:val="935526654"/>
      </w:pPr>
      <w:r>
        <w:lastRenderedPageBreak/>
        <w:t>References</w:t>
      </w:r>
    </w:p>
    <w:p w14:paraId="392BA306" w14:textId="77777777" w:rsidR="000E0AC0" w:rsidRPr="000E0AC0" w:rsidRDefault="000E0AC0" w:rsidP="000E0AC0">
      <w:pPr>
        <w:pStyle w:val="CDINumberedList1L1"/>
        <w:numPr>
          <w:ilvl w:val="0"/>
          <w:numId w:val="33"/>
        </w:numPr>
        <w:divId w:val="935526654"/>
      </w:pPr>
      <w:proofErr w:type="spellStart"/>
      <w:r w:rsidRPr="000E0AC0">
        <w:t>Erikstrup</w:t>
      </w:r>
      <w:proofErr w:type="spellEnd"/>
      <w:r w:rsidRPr="000E0AC0">
        <w:t xml:space="preserve"> C, </w:t>
      </w:r>
      <w:proofErr w:type="spellStart"/>
      <w:r w:rsidRPr="000E0AC0">
        <w:t>Laksafoss</w:t>
      </w:r>
      <w:proofErr w:type="spellEnd"/>
      <w:r w:rsidRPr="000E0AC0">
        <w:t xml:space="preserve"> AD, </w:t>
      </w:r>
      <w:proofErr w:type="spellStart"/>
      <w:r w:rsidRPr="000E0AC0">
        <w:t>Gladov</w:t>
      </w:r>
      <w:proofErr w:type="spellEnd"/>
      <w:r w:rsidRPr="000E0AC0">
        <w:t xml:space="preserve"> J, </w:t>
      </w:r>
      <w:proofErr w:type="spellStart"/>
      <w:r w:rsidRPr="000E0AC0">
        <w:t>Kaspersen</w:t>
      </w:r>
      <w:proofErr w:type="spellEnd"/>
      <w:r w:rsidRPr="000E0AC0">
        <w:t xml:space="preserve"> KA, Mikkelsen S, </w:t>
      </w:r>
      <w:proofErr w:type="spellStart"/>
      <w:r w:rsidRPr="000E0AC0">
        <w:t>Hindhede</w:t>
      </w:r>
      <w:proofErr w:type="spellEnd"/>
      <w:r w:rsidRPr="000E0AC0">
        <w:t xml:space="preserve"> L et al. Seroprevalence and infection fatality rate of the SARS-CoV-2 Omicron variant in Denmark: a nationwide </w:t>
      </w:r>
      <w:proofErr w:type="spellStart"/>
      <w:r w:rsidRPr="000E0AC0">
        <w:t>serosurveillance</w:t>
      </w:r>
      <w:proofErr w:type="spellEnd"/>
      <w:r w:rsidRPr="000E0AC0">
        <w:t xml:space="preserve"> study. </w:t>
      </w:r>
      <w:r w:rsidRPr="000E0AC0">
        <w:rPr>
          <w:i/>
          <w:iCs/>
        </w:rPr>
        <w:t>Lancet Reg Health Eur</w:t>
      </w:r>
      <w:r w:rsidRPr="000E0AC0">
        <w:t xml:space="preserve">. </w:t>
      </w:r>
      <w:proofErr w:type="gramStart"/>
      <w:r w:rsidRPr="000E0AC0">
        <w:t>2022;21:100479</w:t>
      </w:r>
      <w:proofErr w:type="gramEnd"/>
      <w:r w:rsidRPr="000E0AC0">
        <w:t xml:space="preserve">. </w:t>
      </w:r>
      <w:proofErr w:type="spellStart"/>
      <w:r w:rsidRPr="000E0AC0">
        <w:t>doi</w:t>
      </w:r>
      <w:proofErr w:type="spellEnd"/>
      <w:r w:rsidRPr="000E0AC0">
        <w:t>: https://doi.org/10.1016/j.lanepe.2022.100479.</w:t>
      </w:r>
    </w:p>
    <w:p w14:paraId="5A19E004" w14:textId="0F8E206D" w:rsidR="000E0AC0" w:rsidRPr="000E0AC0" w:rsidRDefault="000E0AC0" w:rsidP="000E0AC0">
      <w:pPr>
        <w:pStyle w:val="CDINumberedList1L1"/>
        <w:divId w:val="935526654"/>
      </w:pPr>
      <w:r w:rsidRPr="000E0AC0">
        <w:t xml:space="preserve">Venekamp RP, </w:t>
      </w:r>
      <w:proofErr w:type="spellStart"/>
      <w:r w:rsidRPr="000E0AC0">
        <w:t>Schuit</w:t>
      </w:r>
      <w:proofErr w:type="spellEnd"/>
      <w:r w:rsidRPr="000E0AC0">
        <w:t xml:space="preserve"> E, Hooft L, </w:t>
      </w:r>
      <w:proofErr w:type="spellStart"/>
      <w:r w:rsidRPr="000E0AC0">
        <w:t>Veldhuijzen</w:t>
      </w:r>
      <w:proofErr w:type="spellEnd"/>
      <w:r w:rsidRPr="000E0AC0">
        <w:t xml:space="preserve"> IK, van den </w:t>
      </w:r>
      <w:proofErr w:type="spellStart"/>
      <w:r w:rsidRPr="000E0AC0">
        <w:t>Bijllaardt</w:t>
      </w:r>
      <w:proofErr w:type="spellEnd"/>
      <w:r w:rsidRPr="000E0AC0">
        <w:t xml:space="preserve"> W, Pas SD et al. Diagnostic accuracy of SARS-CoV-2 rapid antigen self-tests in asymptomatic individuals in the omicron period: a cross-sectional study. </w:t>
      </w:r>
      <w:r w:rsidRPr="000E0AC0">
        <w:rPr>
          <w:i/>
          <w:iCs/>
        </w:rPr>
        <w:t xml:space="preserve">Clin </w:t>
      </w:r>
      <w:proofErr w:type="spellStart"/>
      <w:r w:rsidRPr="000E0AC0">
        <w:rPr>
          <w:i/>
          <w:iCs/>
        </w:rPr>
        <w:t>Microbiol</w:t>
      </w:r>
      <w:proofErr w:type="spellEnd"/>
      <w:r w:rsidRPr="000E0AC0">
        <w:rPr>
          <w:i/>
          <w:iCs/>
        </w:rPr>
        <w:t xml:space="preserve"> Infect</w:t>
      </w:r>
      <w:r w:rsidRPr="000E0AC0">
        <w:t>. 2023;29(3</w:t>
      </w:r>
      <w:proofErr w:type="gramStart"/>
      <w:r w:rsidRPr="000E0AC0">
        <w:t>):391.e</w:t>
      </w:r>
      <w:proofErr w:type="gramEnd"/>
      <w:r w:rsidRPr="000E0AC0">
        <w:t xml:space="preserve">1–7. </w:t>
      </w:r>
      <w:proofErr w:type="spellStart"/>
      <w:r w:rsidRPr="000E0AC0">
        <w:t>doi</w:t>
      </w:r>
      <w:proofErr w:type="spellEnd"/>
      <w:r w:rsidRPr="000E0AC0">
        <w:t>:</w:t>
      </w:r>
      <w:r>
        <w:t> </w:t>
      </w:r>
      <w:r w:rsidRPr="000E0AC0">
        <w:t>https://doi.org/10.1016/j.cmi.2022.11.004.</w:t>
      </w:r>
    </w:p>
    <w:p w14:paraId="2DB3D431" w14:textId="47DB7311" w:rsidR="000E0AC0" w:rsidRPr="000E0AC0" w:rsidRDefault="000E0AC0" w:rsidP="000E0AC0">
      <w:pPr>
        <w:pStyle w:val="CDINumberedList1L1"/>
        <w:divId w:val="935526654"/>
      </w:pPr>
      <w:proofErr w:type="spellStart"/>
      <w:r w:rsidRPr="000E0AC0">
        <w:t>Follmann</w:t>
      </w:r>
      <w:proofErr w:type="spellEnd"/>
      <w:r w:rsidRPr="000E0AC0">
        <w:t xml:space="preserve"> D, Janes HE, </w:t>
      </w:r>
      <w:proofErr w:type="spellStart"/>
      <w:r w:rsidRPr="000E0AC0">
        <w:t>Buhule</w:t>
      </w:r>
      <w:proofErr w:type="spellEnd"/>
      <w:r w:rsidRPr="000E0AC0">
        <w:t xml:space="preserve"> OD, Zhou H, Girard B, Marks K et al. </w:t>
      </w:r>
      <w:proofErr w:type="spellStart"/>
      <w:r w:rsidRPr="000E0AC0">
        <w:t>Antinucleocapsid</w:t>
      </w:r>
      <w:proofErr w:type="spellEnd"/>
      <w:r w:rsidRPr="000E0AC0">
        <w:t xml:space="preserve"> antibodies after SARS-CoV-2 infection in the blinded phase of the randomized, placebo-controlled mRNA-1273 COVID-19 vaccine efficacy clinical trial. </w:t>
      </w:r>
      <w:r w:rsidRPr="000E0AC0">
        <w:rPr>
          <w:i/>
          <w:iCs/>
        </w:rPr>
        <w:t>Ann Intern Med</w:t>
      </w:r>
      <w:r w:rsidRPr="000E0AC0">
        <w:t xml:space="preserve">. 2022;175(9):1258–65. </w:t>
      </w:r>
      <w:proofErr w:type="spellStart"/>
      <w:r w:rsidRPr="000E0AC0">
        <w:t>doi</w:t>
      </w:r>
      <w:proofErr w:type="spellEnd"/>
      <w:r w:rsidRPr="000E0AC0">
        <w:t>:</w:t>
      </w:r>
      <w:r>
        <w:t> </w:t>
      </w:r>
      <w:r w:rsidRPr="000E0AC0">
        <w:t>https://doi.org/10.7326/M22-1300.</w:t>
      </w:r>
    </w:p>
    <w:p w14:paraId="66E0345D" w14:textId="77777777" w:rsidR="000E0AC0" w:rsidRPr="000E0AC0" w:rsidRDefault="000E0AC0" w:rsidP="000E0AC0">
      <w:pPr>
        <w:pStyle w:val="CDINumberedList1L1"/>
        <w:divId w:val="935526654"/>
      </w:pPr>
      <w:r w:rsidRPr="000E0AC0">
        <w:t>Australian Government Department of Health and Aged Care. AHPPC statement on COVID-19 winter update and ongoing health protection measures to support our community. [Internet.] Canberra: Australian Government Department of Health and Aged Care; 8 July 2022. [Accessed on 2 April 2023.] Available from: https://www.health.gov.au/news/ahppc-statement-on-covid-19-winter-update-and-ongoing-health-protection-measures-to-support-our-community.</w:t>
      </w:r>
    </w:p>
    <w:p w14:paraId="4245C873" w14:textId="77777777" w:rsidR="000E0AC0" w:rsidRPr="000E0AC0" w:rsidRDefault="000E0AC0" w:rsidP="000E0AC0">
      <w:pPr>
        <w:pStyle w:val="CDINumberedList1L1"/>
        <w:divId w:val="935526654"/>
      </w:pPr>
      <w:r w:rsidRPr="000E0AC0">
        <w:t>Victoria State Government. Victorian COVID-19 data: COVID-19 case numbers and vaccinations. [Webpage.] Melbourne: Victoria State Government; 2022. [Accessed on 1 December 2022.] Available from: https://www.coronavirus.vic.gov.au/victorian-coronavirus-covid-19-data.</w:t>
      </w:r>
    </w:p>
    <w:p w14:paraId="0A27B680" w14:textId="77777777" w:rsidR="000E0AC0" w:rsidRPr="000E0AC0" w:rsidRDefault="000E0AC0" w:rsidP="000E0AC0">
      <w:pPr>
        <w:pStyle w:val="CDINumberedList1L1"/>
        <w:divId w:val="935526654"/>
      </w:pPr>
      <w:r w:rsidRPr="000E0AC0">
        <w:t xml:space="preserve">The Australian COVID-19 </w:t>
      </w:r>
      <w:proofErr w:type="spellStart"/>
      <w:r w:rsidRPr="000E0AC0">
        <w:t>Serosurveillance</w:t>
      </w:r>
      <w:proofErr w:type="spellEnd"/>
      <w:r w:rsidRPr="000E0AC0">
        <w:t xml:space="preserve"> Network. </w:t>
      </w:r>
      <w:r w:rsidRPr="000E0AC0">
        <w:rPr>
          <w:i/>
          <w:iCs/>
        </w:rPr>
        <w:t>Seroprevalence of SARS-CoV-2-specific antibodies among Australian blood donors: Round 2 update</w:t>
      </w:r>
      <w:r w:rsidRPr="000E0AC0">
        <w:t xml:space="preserve">. Sydney: University of New South Wales (UNSW), the Kirby </w:t>
      </w:r>
      <w:proofErr w:type="spellStart"/>
      <w:r w:rsidRPr="000E0AC0">
        <w:t>Institude</w:t>
      </w:r>
      <w:proofErr w:type="spellEnd"/>
      <w:r w:rsidRPr="000E0AC0">
        <w:t>; 26 July 2022. Available from: https://www.kirby.unsw.edu.au/sites/default/files/documents/COVID19-Blood-Donor-Report-Round2-May-Jun-2022%5B1%5D.pdf.</w:t>
      </w:r>
    </w:p>
    <w:p w14:paraId="3091145C" w14:textId="77777777" w:rsidR="000E0AC0" w:rsidRPr="000E0AC0" w:rsidRDefault="000E0AC0" w:rsidP="000E0AC0">
      <w:pPr>
        <w:pStyle w:val="CDINumberedList1L1"/>
        <w:divId w:val="935526654"/>
      </w:pPr>
      <w:r w:rsidRPr="000E0AC0">
        <w:t xml:space="preserve">The Australian COVID-19 </w:t>
      </w:r>
      <w:proofErr w:type="spellStart"/>
      <w:r w:rsidRPr="000E0AC0">
        <w:t>Serosurveillance</w:t>
      </w:r>
      <w:proofErr w:type="spellEnd"/>
      <w:r w:rsidRPr="000E0AC0">
        <w:t xml:space="preserve"> Network. </w:t>
      </w:r>
      <w:r w:rsidRPr="000E0AC0">
        <w:rPr>
          <w:i/>
          <w:iCs/>
        </w:rPr>
        <w:t>Seroprevalence of SARS-CoV-2-specific antibodies among Australian blood donors, February–March 2022</w:t>
      </w:r>
      <w:r w:rsidRPr="000E0AC0">
        <w:t xml:space="preserve">. Sydney: UNSW, the Kirby </w:t>
      </w:r>
      <w:proofErr w:type="spellStart"/>
      <w:r w:rsidRPr="000E0AC0">
        <w:t>Institude</w:t>
      </w:r>
      <w:proofErr w:type="spellEnd"/>
      <w:r w:rsidRPr="000E0AC0">
        <w:t>; 3 June 2022. Available from: https://www.kirby.unsw.edu.au/sites/default/files/documents/COVID19-Blood-Donor-Report-Round1-Feb-Mar-2022%5B1%5D.pdf.</w:t>
      </w:r>
    </w:p>
    <w:p w14:paraId="48C6C851" w14:textId="7459EB7E" w:rsidR="000E0AC0" w:rsidRPr="000E0AC0" w:rsidRDefault="000E0AC0" w:rsidP="000E0AC0">
      <w:pPr>
        <w:pStyle w:val="CDINumberedList1L1"/>
        <w:divId w:val="935526654"/>
      </w:pPr>
      <w:r w:rsidRPr="000E0AC0">
        <w:t xml:space="preserve">The Australian COVID-19 </w:t>
      </w:r>
      <w:proofErr w:type="spellStart"/>
      <w:r w:rsidRPr="000E0AC0">
        <w:t>Serosurveillance</w:t>
      </w:r>
      <w:proofErr w:type="spellEnd"/>
      <w:r w:rsidRPr="000E0AC0">
        <w:t xml:space="preserve"> Network. </w:t>
      </w:r>
      <w:r w:rsidRPr="000E0AC0">
        <w:rPr>
          <w:i/>
          <w:iCs/>
        </w:rPr>
        <w:t>Seroprevalence of SARS-CoV-2-specific antibodies among Australian blood donors: Round 3 update, 2022</w:t>
      </w:r>
      <w:r w:rsidRPr="000E0AC0">
        <w:t xml:space="preserve">. Sydney: UNSW, the Kirby </w:t>
      </w:r>
      <w:proofErr w:type="spellStart"/>
      <w:r w:rsidRPr="000E0AC0">
        <w:t>Institude</w:t>
      </w:r>
      <w:proofErr w:type="spellEnd"/>
      <w:r w:rsidRPr="000E0AC0">
        <w:t>; 3</w:t>
      </w:r>
      <w:r>
        <w:t> </w:t>
      </w:r>
      <w:r w:rsidRPr="000E0AC0">
        <w:t>November 2022. Available from: https://www.kirby.unsw.edu.au/sites/default/files/documents/COVID19-Blood-Donor-Report-Round3-Aug-Sep-2022%5B1%5D.pdf.</w:t>
      </w:r>
    </w:p>
    <w:p w14:paraId="0CFF9C6D" w14:textId="77777777" w:rsidR="000E0AC0" w:rsidRPr="000E0AC0" w:rsidRDefault="000E0AC0" w:rsidP="000E0AC0">
      <w:pPr>
        <w:pStyle w:val="CDINumberedList1L1"/>
        <w:divId w:val="935526654"/>
      </w:pPr>
      <w:r w:rsidRPr="000E0AC0">
        <w:lastRenderedPageBreak/>
        <w:t xml:space="preserve">Tan CW, Chia WN, Qin X, Liu P, Chen MIC, Tiu C et al. A SARS-CoV-2 surrogate virus neutralization test based on antibody-mediated blockage of ACE2–spike protein–protein interaction. </w:t>
      </w:r>
      <w:r w:rsidRPr="000E0AC0">
        <w:rPr>
          <w:i/>
          <w:iCs/>
        </w:rPr>
        <w:t xml:space="preserve">Nat </w:t>
      </w:r>
      <w:proofErr w:type="spellStart"/>
      <w:r w:rsidRPr="000E0AC0">
        <w:rPr>
          <w:i/>
          <w:iCs/>
        </w:rPr>
        <w:t>Biotechnol</w:t>
      </w:r>
      <w:proofErr w:type="spellEnd"/>
      <w:r w:rsidRPr="000E0AC0">
        <w:t xml:space="preserve">. 2020;38(9):1073–8. </w:t>
      </w:r>
      <w:proofErr w:type="spellStart"/>
      <w:r w:rsidRPr="000E0AC0">
        <w:t>doi</w:t>
      </w:r>
      <w:proofErr w:type="spellEnd"/>
      <w:r w:rsidRPr="000E0AC0">
        <w:t>: https://doi.org/10.1038/s41587-020-0631-z.</w:t>
      </w:r>
    </w:p>
    <w:p w14:paraId="4520C2A3" w14:textId="77777777" w:rsidR="000E0AC0" w:rsidRPr="000E0AC0" w:rsidRDefault="000E0AC0" w:rsidP="000E0AC0">
      <w:pPr>
        <w:pStyle w:val="CDINumberedList1L1"/>
        <w:divId w:val="935526654"/>
      </w:pPr>
      <w:r w:rsidRPr="000E0AC0">
        <w:t xml:space="preserve">Australian Bureau of Statistics. Census </w:t>
      </w:r>
      <w:proofErr w:type="spellStart"/>
      <w:r w:rsidRPr="000E0AC0">
        <w:t>DataPacks</w:t>
      </w:r>
      <w:proofErr w:type="spellEnd"/>
      <w:r w:rsidRPr="000E0AC0">
        <w:t>. [Webpage.] Canberra: Australian Bureau of Statistics; 2021. [Accessed in November 2022.] Available from: https://www.abs.gov.au/census/find-census-data/datapacks.</w:t>
      </w:r>
    </w:p>
    <w:p w14:paraId="14D7B42B" w14:textId="77777777" w:rsidR="000E0AC0" w:rsidRPr="000E0AC0" w:rsidRDefault="000E0AC0" w:rsidP="000E0AC0">
      <w:pPr>
        <w:pStyle w:val="CDINumberedList1L1"/>
        <w:divId w:val="935526654"/>
      </w:pPr>
      <w:r w:rsidRPr="000E0AC0">
        <w:t>Victoria State Government. Weekly COVID-19 vaccine data. [Webpage.] Melbourne: Victoria State Government; 2021. [Accessed on 5 January 2022.] Available from: https://www.coronavirus.vic.gov.au/weekly-covid-19-vaccine-data.</w:t>
      </w:r>
    </w:p>
    <w:p w14:paraId="32279E01" w14:textId="77777777" w:rsidR="000E0AC0" w:rsidRPr="000E0AC0" w:rsidRDefault="000E0AC0" w:rsidP="000E0AC0">
      <w:pPr>
        <w:pStyle w:val="CDINumberedList1L1"/>
        <w:divId w:val="935526654"/>
      </w:pPr>
      <w:r w:rsidRPr="000E0AC0">
        <w:t xml:space="preserve">Sah P, Fitzpatrick MC, Zimmer CF, </w:t>
      </w:r>
      <w:proofErr w:type="spellStart"/>
      <w:r w:rsidRPr="000E0AC0">
        <w:t>Abdollahi</w:t>
      </w:r>
      <w:proofErr w:type="spellEnd"/>
      <w:r w:rsidRPr="000E0AC0">
        <w:t xml:space="preserve"> E, </w:t>
      </w:r>
      <w:proofErr w:type="spellStart"/>
      <w:r w:rsidRPr="000E0AC0">
        <w:t>Juden</w:t>
      </w:r>
      <w:proofErr w:type="spellEnd"/>
      <w:r w:rsidRPr="000E0AC0">
        <w:t xml:space="preserve">-Kelly L, </w:t>
      </w:r>
      <w:proofErr w:type="spellStart"/>
      <w:r w:rsidRPr="000E0AC0">
        <w:t>Moghadas</w:t>
      </w:r>
      <w:proofErr w:type="spellEnd"/>
      <w:r w:rsidRPr="000E0AC0">
        <w:t xml:space="preserve"> SM et al. Asymptomatic SARS-CoV-2 infection: a systematic review and meta-analysis. </w:t>
      </w:r>
      <w:r w:rsidRPr="000E0AC0">
        <w:rPr>
          <w:i/>
          <w:iCs/>
        </w:rPr>
        <w:t xml:space="preserve">Proc Natl </w:t>
      </w:r>
      <w:proofErr w:type="spellStart"/>
      <w:r w:rsidRPr="000E0AC0">
        <w:rPr>
          <w:i/>
          <w:iCs/>
        </w:rPr>
        <w:t>Acad</w:t>
      </w:r>
      <w:proofErr w:type="spellEnd"/>
      <w:r w:rsidRPr="000E0AC0">
        <w:rPr>
          <w:i/>
          <w:iCs/>
        </w:rPr>
        <w:t xml:space="preserve"> Sci U S A</w:t>
      </w:r>
      <w:r w:rsidRPr="000E0AC0">
        <w:t>. 2021;118(34</w:t>
      </w:r>
      <w:proofErr w:type="gramStart"/>
      <w:r w:rsidRPr="000E0AC0">
        <w:t>):e</w:t>
      </w:r>
      <w:proofErr w:type="gramEnd"/>
      <w:r w:rsidRPr="000E0AC0">
        <w:t xml:space="preserve">2109229118. </w:t>
      </w:r>
      <w:proofErr w:type="spellStart"/>
      <w:r w:rsidRPr="000E0AC0">
        <w:t>doi</w:t>
      </w:r>
      <w:proofErr w:type="spellEnd"/>
      <w:r w:rsidRPr="000E0AC0">
        <w:t>: https://doi.org/10.1073/pnas.2109229118.</w:t>
      </w:r>
    </w:p>
    <w:p w14:paraId="34E551AC" w14:textId="43E9611F" w:rsidR="000E0AC0" w:rsidRPr="000E0AC0" w:rsidRDefault="000E0AC0" w:rsidP="000E0AC0">
      <w:pPr>
        <w:pStyle w:val="CDINumberedList1L1"/>
        <w:divId w:val="935526654"/>
      </w:pPr>
      <w:proofErr w:type="spellStart"/>
      <w:r w:rsidRPr="000E0AC0">
        <w:t>Altarawneh</w:t>
      </w:r>
      <w:proofErr w:type="spellEnd"/>
      <w:r w:rsidRPr="000E0AC0">
        <w:t xml:space="preserve"> HN, </w:t>
      </w:r>
      <w:proofErr w:type="spellStart"/>
      <w:r w:rsidRPr="000E0AC0">
        <w:t>Chemaitelly</w:t>
      </w:r>
      <w:proofErr w:type="spellEnd"/>
      <w:r w:rsidRPr="000E0AC0">
        <w:t xml:space="preserve"> H, Ayoub HH, Tang P, Hasan MR, Yassine HM et al. Effects of previous infection and vaccination on symptomatic Omicron infections. </w:t>
      </w:r>
      <w:r w:rsidRPr="000E0AC0">
        <w:rPr>
          <w:i/>
          <w:iCs/>
        </w:rPr>
        <w:t>N Engl J Med</w:t>
      </w:r>
      <w:r w:rsidRPr="000E0AC0">
        <w:t xml:space="preserve">. 2022;387(1):21–34. </w:t>
      </w:r>
      <w:proofErr w:type="spellStart"/>
      <w:r w:rsidRPr="000E0AC0">
        <w:t>doi</w:t>
      </w:r>
      <w:proofErr w:type="spellEnd"/>
      <w:r w:rsidRPr="000E0AC0">
        <w:t>:</w:t>
      </w:r>
      <w:r>
        <w:t> </w:t>
      </w:r>
      <w:r w:rsidRPr="000E0AC0">
        <w:t>https://doi.org/10.1056/NEJMoa2203965.</w:t>
      </w:r>
    </w:p>
    <w:p w14:paraId="5C7B0DFF" w14:textId="77777777" w:rsidR="000E0AC0" w:rsidRPr="000E0AC0" w:rsidRDefault="000E0AC0" w:rsidP="000E0AC0">
      <w:pPr>
        <w:pStyle w:val="CDINumberedList1L1"/>
        <w:divId w:val="935526654"/>
      </w:pPr>
      <w:proofErr w:type="spellStart"/>
      <w:r w:rsidRPr="000E0AC0">
        <w:t>Bobrovitz</w:t>
      </w:r>
      <w:proofErr w:type="spellEnd"/>
      <w:r w:rsidRPr="000E0AC0">
        <w:t xml:space="preserve"> N, Ware H, Ma X, Li Z, Hosseini R, Cao C et al. Protective effectiveness of previous SARS-CoV-2 infection and hybrid immunity against the omicron variant and severe disease: a systematic review and meta-regression. </w:t>
      </w:r>
      <w:r w:rsidRPr="000E0AC0">
        <w:rPr>
          <w:i/>
          <w:iCs/>
        </w:rPr>
        <w:t>Lancet Infect Dis</w:t>
      </w:r>
      <w:r w:rsidRPr="000E0AC0">
        <w:t xml:space="preserve">. 2023;23(5):556–67. </w:t>
      </w:r>
      <w:proofErr w:type="spellStart"/>
      <w:r w:rsidRPr="000E0AC0">
        <w:t>doi</w:t>
      </w:r>
      <w:proofErr w:type="spellEnd"/>
      <w:r w:rsidRPr="000E0AC0">
        <w:t>: https://doi.org/10.1016/S1473-3099(22)00801-5.</w:t>
      </w:r>
    </w:p>
    <w:p w14:paraId="77D4D9A8" w14:textId="77777777" w:rsidR="000E0AC0" w:rsidRPr="000E0AC0" w:rsidRDefault="000E0AC0" w:rsidP="000E0AC0">
      <w:pPr>
        <w:pStyle w:val="CDINumberedList1L1"/>
        <w:divId w:val="935526654"/>
      </w:pPr>
      <w:r w:rsidRPr="000E0AC0">
        <w:t xml:space="preserve">Kanji JN, Nguyen LT, Plitt SS, Charlton CL, Fenton J, Braun S et al. Seropositivity to SARS-CoV-2 in Alberta, Canada in a post-vaccination period (March 2021–July 2021). </w:t>
      </w:r>
      <w:r w:rsidRPr="000E0AC0">
        <w:rPr>
          <w:i/>
          <w:iCs/>
        </w:rPr>
        <w:t>Infect Dis (Lond)</w:t>
      </w:r>
      <w:r w:rsidRPr="000E0AC0">
        <w:t xml:space="preserve">. 2022;54(9):666–76. </w:t>
      </w:r>
      <w:proofErr w:type="spellStart"/>
      <w:r w:rsidRPr="000E0AC0">
        <w:t>doi</w:t>
      </w:r>
      <w:proofErr w:type="spellEnd"/>
      <w:r w:rsidRPr="000E0AC0">
        <w:t>: https://doi.org/10.1080/23744235.2022.2080250.</w:t>
      </w:r>
    </w:p>
    <w:p w14:paraId="3BAF030F" w14:textId="77777777" w:rsidR="000E0AC0" w:rsidRPr="000E0AC0" w:rsidRDefault="000E0AC0" w:rsidP="000E0AC0">
      <w:pPr>
        <w:pStyle w:val="CDINumberedList1L1"/>
        <w:divId w:val="935526654"/>
      </w:pPr>
      <w:r w:rsidRPr="000E0AC0">
        <w:t>Australian Government Department of Health and Aged Care. Vaccination numbers and statistics. [Webpage.] Canberra: Australian Government Department of Health and Aged Care; 2022. [Accessed on 19 December 2022.] Available from: https://www.health.gov.au/our-work/covid-19-vaccines/vaccination-numbers-and-statistics.</w:t>
      </w:r>
    </w:p>
    <w:p w14:paraId="44152832" w14:textId="77777777" w:rsidR="000E0AC0" w:rsidRPr="000E0AC0" w:rsidRDefault="000E0AC0" w:rsidP="000E0AC0">
      <w:pPr>
        <w:pStyle w:val="CDINumberedList1L1"/>
        <w:divId w:val="935526654"/>
      </w:pPr>
      <w:r w:rsidRPr="000E0AC0">
        <w:t xml:space="preserve">Lumley SF, Wei J, O’Donnell D, </w:t>
      </w:r>
      <w:proofErr w:type="spellStart"/>
      <w:r w:rsidRPr="000E0AC0">
        <w:t>Stoesser</w:t>
      </w:r>
      <w:proofErr w:type="spellEnd"/>
      <w:r w:rsidRPr="000E0AC0">
        <w:t xml:space="preserve"> NE, Matthews PC, Howarth A et al. The duration, dynamics, and determinants of severe acute respiratory syndrome coronavirus 2 (SARS-CoV-2) antibody responses in individual healthcare workers. </w:t>
      </w:r>
      <w:r w:rsidRPr="000E0AC0">
        <w:rPr>
          <w:i/>
          <w:iCs/>
        </w:rPr>
        <w:t>Clin Infect Dis</w:t>
      </w:r>
      <w:r w:rsidRPr="000E0AC0">
        <w:t>. 2021;73(3</w:t>
      </w:r>
      <w:proofErr w:type="gramStart"/>
      <w:r w:rsidRPr="000E0AC0">
        <w:t>):e</w:t>
      </w:r>
      <w:proofErr w:type="gramEnd"/>
      <w:r w:rsidRPr="000E0AC0">
        <w:t xml:space="preserve">699–709. </w:t>
      </w:r>
      <w:proofErr w:type="spellStart"/>
      <w:r w:rsidRPr="000E0AC0">
        <w:t>doi</w:t>
      </w:r>
      <w:proofErr w:type="spellEnd"/>
      <w:r w:rsidRPr="000E0AC0">
        <w:t>: https://doi.org/10.1093/cid/ciab004.</w:t>
      </w:r>
    </w:p>
    <w:p w14:paraId="7AB3E685" w14:textId="77777777" w:rsidR="000E0AC0" w:rsidRPr="000E0AC0" w:rsidRDefault="000E0AC0" w:rsidP="000E0AC0">
      <w:pPr>
        <w:pStyle w:val="CDINumberedList1L1"/>
        <w:divId w:val="935526654"/>
      </w:pPr>
      <w:r w:rsidRPr="000E0AC0">
        <w:t>Grunau B, Tom J, Asamoah-</w:t>
      </w:r>
      <w:proofErr w:type="spellStart"/>
      <w:r w:rsidRPr="000E0AC0">
        <w:t>Boaheng</w:t>
      </w:r>
      <w:proofErr w:type="spellEnd"/>
      <w:r w:rsidRPr="000E0AC0">
        <w:t xml:space="preserve"> M, O’Brien SF, Drews SJ, </w:t>
      </w:r>
      <w:proofErr w:type="spellStart"/>
      <w:r w:rsidRPr="000E0AC0">
        <w:t>Sediqi</w:t>
      </w:r>
      <w:proofErr w:type="spellEnd"/>
      <w:r w:rsidRPr="000E0AC0">
        <w:t xml:space="preserve"> S et al. Sensitivity of the </w:t>
      </w:r>
      <w:proofErr w:type="spellStart"/>
      <w:r w:rsidRPr="000E0AC0">
        <w:t>Elecsys</w:t>
      </w:r>
      <w:proofErr w:type="spellEnd"/>
      <w:r w:rsidRPr="000E0AC0">
        <w:t xml:space="preserve"> nucleocapsid assay for the detection of preceding SARS-CoV-2 infections. </w:t>
      </w:r>
      <w:r w:rsidRPr="000E0AC0">
        <w:rPr>
          <w:i/>
          <w:iCs/>
        </w:rPr>
        <w:t>Open Forum Infect Dis</w:t>
      </w:r>
      <w:r w:rsidRPr="000E0AC0">
        <w:t>. 2022;9(8</w:t>
      </w:r>
      <w:proofErr w:type="gramStart"/>
      <w:r w:rsidRPr="000E0AC0">
        <w:t>):ofac</w:t>
      </w:r>
      <w:proofErr w:type="gramEnd"/>
      <w:r w:rsidRPr="000E0AC0">
        <w:t xml:space="preserve">349. </w:t>
      </w:r>
      <w:proofErr w:type="spellStart"/>
      <w:r w:rsidRPr="000E0AC0">
        <w:t>doi</w:t>
      </w:r>
      <w:proofErr w:type="spellEnd"/>
      <w:r w:rsidRPr="000E0AC0">
        <w:t>: https://doi.org/10.1093/ofid/ofac349.</w:t>
      </w:r>
    </w:p>
    <w:p w14:paraId="629F6CC8" w14:textId="77777777" w:rsidR="000E0AC0" w:rsidRPr="000E0AC0" w:rsidRDefault="000E0AC0" w:rsidP="000E0AC0">
      <w:pPr>
        <w:pStyle w:val="CDINumberedList1L1"/>
        <w:divId w:val="935526654"/>
      </w:pPr>
      <w:r w:rsidRPr="000E0AC0">
        <w:t xml:space="preserve">Springer DN, </w:t>
      </w:r>
      <w:proofErr w:type="spellStart"/>
      <w:r w:rsidRPr="000E0AC0">
        <w:t>Perkmann</w:t>
      </w:r>
      <w:proofErr w:type="spellEnd"/>
      <w:r w:rsidRPr="000E0AC0">
        <w:t xml:space="preserve"> T, Jani CM, </w:t>
      </w:r>
      <w:proofErr w:type="spellStart"/>
      <w:r w:rsidRPr="000E0AC0">
        <w:t>Mucher</w:t>
      </w:r>
      <w:proofErr w:type="spellEnd"/>
      <w:r w:rsidRPr="000E0AC0">
        <w:t xml:space="preserve"> P, </w:t>
      </w:r>
      <w:proofErr w:type="spellStart"/>
      <w:r w:rsidRPr="000E0AC0">
        <w:t>Prüger</w:t>
      </w:r>
      <w:proofErr w:type="spellEnd"/>
      <w:r w:rsidRPr="000E0AC0">
        <w:t xml:space="preserve"> K, </w:t>
      </w:r>
      <w:proofErr w:type="spellStart"/>
      <w:r w:rsidRPr="000E0AC0">
        <w:t>Marculescu</w:t>
      </w:r>
      <w:proofErr w:type="spellEnd"/>
      <w:r w:rsidRPr="000E0AC0">
        <w:t xml:space="preserve"> R et al. Reduced sensitivity of commercial spike-specific antibody assays after primary infection with the SARS-CoV-2 omicron variant. </w:t>
      </w:r>
      <w:proofErr w:type="spellStart"/>
      <w:r w:rsidRPr="000E0AC0">
        <w:rPr>
          <w:i/>
          <w:iCs/>
        </w:rPr>
        <w:t>Microbiol</w:t>
      </w:r>
      <w:proofErr w:type="spellEnd"/>
      <w:r w:rsidRPr="000E0AC0">
        <w:rPr>
          <w:i/>
          <w:iCs/>
        </w:rPr>
        <w:t xml:space="preserve"> </w:t>
      </w:r>
      <w:proofErr w:type="spellStart"/>
      <w:r w:rsidRPr="000E0AC0">
        <w:rPr>
          <w:i/>
          <w:iCs/>
        </w:rPr>
        <w:t>Spectr</w:t>
      </w:r>
      <w:proofErr w:type="spellEnd"/>
      <w:r w:rsidRPr="000E0AC0">
        <w:t>. 2022;10(5</w:t>
      </w:r>
      <w:proofErr w:type="gramStart"/>
      <w:r w:rsidRPr="000E0AC0">
        <w:t>):e</w:t>
      </w:r>
      <w:proofErr w:type="gramEnd"/>
      <w:r w:rsidRPr="000E0AC0">
        <w:t xml:space="preserve">0212922. </w:t>
      </w:r>
      <w:proofErr w:type="spellStart"/>
      <w:r w:rsidRPr="000E0AC0">
        <w:t>doi</w:t>
      </w:r>
      <w:proofErr w:type="spellEnd"/>
      <w:r w:rsidRPr="000E0AC0">
        <w:t>: https://doi.org/10.1128/spectrum.02129-22.</w:t>
      </w:r>
    </w:p>
    <w:p w14:paraId="2F8688CD" w14:textId="22D9CBEF" w:rsidR="00620509" w:rsidRPr="00620509" w:rsidRDefault="000E0AC0" w:rsidP="000E0AC0">
      <w:pPr>
        <w:pStyle w:val="CDINumberedList1L1"/>
        <w:divId w:val="935526654"/>
      </w:pPr>
      <w:r w:rsidRPr="000E0AC0">
        <w:lastRenderedPageBreak/>
        <w:t xml:space="preserve">Duarte N, </w:t>
      </w:r>
      <w:proofErr w:type="spellStart"/>
      <w:r w:rsidRPr="000E0AC0">
        <w:t>Yanes</w:t>
      </w:r>
      <w:proofErr w:type="spellEnd"/>
      <w:r w:rsidRPr="000E0AC0">
        <w:t xml:space="preserve">-Lane M, Arora RK, </w:t>
      </w:r>
      <w:proofErr w:type="spellStart"/>
      <w:r w:rsidRPr="000E0AC0">
        <w:t>Bobrovitz</w:t>
      </w:r>
      <w:proofErr w:type="spellEnd"/>
      <w:r w:rsidRPr="000E0AC0">
        <w:t xml:space="preserve"> N, Liu M, </w:t>
      </w:r>
      <w:proofErr w:type="spellStart"/>
      <w:r w:rsidRPr="000E0AC0">
        <w:t>Bego</w:t>
      </w:r>
      <w:proofErr w:type="spellEnd"/>
      <w:r w:rsidRPr="000E0AC0">
        <w:t xml:space="preserve"> MG et al. Adapting serosurveys for the SARS-CoV-2 vaccine era. </w:t>
      </w:r>
      <w:r w:rsidRPr="000E0AC0">
        <w:rPr>
          <w:i/>
          <w:iCs/>
        </w:rPr>
        <w:t>Open Forum Infect Dis</w:t>
      </w:r>
      <w:r w:rsidRPr="000E0AC0">
        <w:t>. 2021;9(2</w:t>
      </w:r>
      <w:proofErr w:type="gramStart"/>
      <w:r w:rsidRPr="000E0AC0">
        <w:t>):ofab</w:t>
      </w:r>
      <w:proofErr w:type="gramEnd"/>
      <w:r w:rsidRPr="000E0AC0">
        <w:t xml:space="preserve">632. </w:t>
      </w:r>
      <w:proofErr w:type="spellStart"/>
      <w:r w:rsidRPr="000E0AC0">
        <w:t>doi</w:t>
      </w:r>
      <w:proofErr w:type="spellEnd"/>
      <w:r w:rsidRPr="000E0AC0">
        <w:t>:</w:t>
      </w:r>
      <w:r>
        <w:t> </w:t>
      </w:r>
      <w:r w:rsidRPr="000E0AC0">
        <w:t>https://doi.org/10.1093/ofid/ofab632.</w:t>
      </w:r>
    </w:p>
    <w:p w14:paraId="573AEA33" w14:textId="77777777" w:rsidR="001A26DD" w:rsidRDefault="001A26DD" w:rsidP="0037146D">
      <w:pPr>
        <w:divId w:val="935526654"/>
        <w:sectPr w:rsidR="001A26DD" w:rsidSect="006B480D">
          <w:footnotePr>
            <w:numFmt w:val="lowerRoman"/>
          </w:footnotePr>
          <w:pgSz w:w="11907" w:h="16840" w:code="9"/>
          <w:pgMar w:top="1304" w:right="1134" w:bottom="1304" w:left="1134" w:header="709" w:footer="527" w:gutter="0"/>
          <w:cols w:space="708"/>
          <w:docGrid w:linePitch="360"/>
        </w:sectPr>
      </w:pPr>
    </w:p>
    <w:p w14:paraId="0A379C8B" w14:textId="77777777" w:rsidR="00AC0F5D" w:rsidRDefault="00AC0F5D" w:rsidP="00293354">
      <w:pPr>
        <w:pStyle w:val="Heading1"/>
      </w:pPr>
      <w:r>
        <w:lastRenderedPageBreak/>
        <w:t>Appendix A</w:t>
      </w:r>
    </w:p>
    <w:p w14:paraId="127D3732" w14:textId="1685C2CC" w:rsidR="00AC0F5D" w:rsidRDefault="000E0AC0" w:rsidP="00AC0F5D">
      <w:pPr>
        <w:pStyle w:val="CDIFigure-Table-Title"/>
      </w:pPr>
      <w:r w:rsidRPr="000E0AC0">
        <w:t>Table A.1: Percentage distribution of vaccine doses by age in Victoria as of 1 September 2022</w:t>
      </w:r>
      <w:r w:rsidRPr="000E0AC0">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A.1: Percentage distribution of vaccine doses by age in Victoria as of 1 September 2022"/>
        <w:tblDescription w:val="Distribution of COVID-19 vaccine doses in Victoria as of 1 September 2022. Percentage vaccine uptake (for 0–5 doses) is shown for the age groups 18–29, 30–39, 40–49, 50–59¬, 60–69, 70–79, and 80+ years."/>
      </w:tblPr>
      <w:tblGrid>
        <w:gridCol w:w="1205"/>
        <w:gridCol w:w="1204"/>
        <w:gridCol w:w="1205"/>
        <w:gridCol w:w="1205"/>
        <w:gridCol w:w="1205"/>
        <w:gridCol w:w="1204"/>
        <w:gridCol w:w="1205"/>
        <w:gridCol w:w="1205"/>
      </w:tblGrid>
      <w:tr w:rsidR="00AC7141" w:rsidRPr="00AC7141" w14:paraId="5A3761FF" w14:textId="77777777" w:rsidTr="00AC7141">
        <w:trPr>
          <w:trHeight w:val="57"/>
          <w:tblHeader/>
        </w:trPr>
        <w:tc>
          <w:tcPr>
            <w:tcW w:w="1205" w:type="dxa"/>
            <w:vMerge w:val="restart"/>
            <w:shd w:val="clear" w:color="auto" w:fill="033636" w:themeFill="text2"/>
            <w:tcMar>
              <w:top w:w="113" w:type="dxa"/>
              <w:left w:w="113" w:type="dxa"/>
              <w:bottom w:w="113" w:type="dxa"/>
              <w:right w:w="113" w:type="dxa"/>
            </w:tcMar>
            <w:vAlign w:val="bottom"/>
          </w:tcPr>
          <w:p w14:paraId="18B898AF" w14:textId="77777777" w:rsidR="00AC7141" w:rsidRPr="00AC7141" w:rsidRDefault="00AC7141" w:rsidP="00AC7141">
            <w:pPr>
              <w:pStyle w:val="CDIFigure-Table-H1"/>
            </w:pPr>
            <w:r w:rsidRPr="00AC7141">
              <w:t>Vaccine doses</w:t>
            </w:r>
          </w:p>
        </w:tc>
        <w:tc>
          <w:tcPr>
            <w:tcW w:w="8433" w:type="dxa"/>
            <w:gridSpan w:val="7"/>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7CC63049" w14:textId="77777777" w:rsidR="00AC7141" w:rsidRPr="00AC7141" w:rsidRDefault="00AC7141" w:rsidP="00AC7141">
            <w:pPr>
              <w:pStyle w:val="CDIFigure-Table-H1"/>
            </w:pPr>
            <w:r w:rsidRPr="00AC7141">
              <w:t>Age group (years)</w:t>
            </w:r>
          </w:p>
        </w:tc>
      </w:tr>
      <w:tr w:rsidR="00AC7141" w:rsidRPr="00AC7141" w14:paraId="61E1FB17" w14:textId="77777777" w:rsidTr="00AC7141">
        <w:trPr>
          <w:trHeight w:val="57"/>
          <w:tblHeader/>
        </w:trPr>
        <w:tc>
          <w:tcPr>
            <w:tcW w:w="1205" w:type="dxa"/>
            <w:vMerge/>
            <w:shd w:val="clear" w:color="auto" w:fill="033636" w:themeFill="text2"/>
          </w:tcPr>
          <w:p w14:paraId="19B748AF" w14:textId="77777777" w:rsidR="00AC7141" w:rsidRPr="00AC7141" w:rsidRDefault="00AC7141" w:rsidP="00AC7141"/>
        </w:tc>
        <w:tc>
          <w:tcPr>
            <w:tcW w:w="120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76C1B45" w14:textId="77777777" w:rsidR="00AC7141" w:rsidRPr="00AC7141" w:rsidRDefault="00AC7141" w:rsidP="00AC7141">
            <w:pPr>
              <w:pStyle w:val="CDIFigure-Table-H1"/>
            </w:pPr>
            <w:r w:rsidRPr="00AC7141">
              <w:t>18–29</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95EFAA8" w14:textId="77777777" w:rsidR="00AC7141" w:rsidRPr="00AC7141" w:rsidRDefault="00AC7141" w:rsidP="00AC7141">
            <w:pPr>
              <w:pStyle w:val="CDIFigure-Table-H1"/>
            </w:pPr>
            <w:r w:rsidRPr="00AC7141">
              <w:t>30–39</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4BC30201" w14:textId="77777777" w:rsidR="00AC7141" w:rsidRPr="00AC7141" w:rsidRDefault="00AC7141" w:rsidP="00AC7141">
            <w:pPr>
              <w:pStyle w:val="CDIFigure-Table-H1"/>
            </w:pPr>
            <w:r w:rsidRPr="00AC7141">
              <w:t>40–49</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330CDB0" w14:textId="77777777" w:rsidR="00AC7141" w:rsidRPr="00AC7141" w:rsidRDefault="00AC7141" w:rsidP="00AC7141">
            <w:pPr>
              <w:pStyle w:val="CDIFigure-Table-H1"/>
            </w:pPr>
            <w:r w:rsidRPr="00AC7141">
              <w:t>50–59</w:t>
            </w:r>
          </w:p>
        </w:tc>
        <w:tc>
          <w:tcPr>
            <w:tcW w:w="1204"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24F8CF0" w14:textId="77777777" w:rsidR="00AC7141" w:rsidRPr="00AC7141" w:rsidRDefault="00AC7141" w:rsidP="00AC7141">
            <w:pPr>
              <w:pStyle w:val="CDIFigure-Table-H1"/>
            </w:pPr>
            <w:r w:rsidRPr="00AC7141">
              <w:t>60–69</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0DEAF46" w14:textId="77777777" w:rsidR="00AC7141" w:rsidRPr="00AC7141" w:rsidRDefault="00AC7141" w:rsidP="00AC7141">
            <w:pPr>
              <w:pStyle w:val="CDIFigure-Table-H1"/>
            </w:pPr>
            <w:r w:rsidRPr="00AC7141">
              <w:t>70–79</w:t>
            </w:r>
            <w:r w:rsidRPr="00AC7141">
              <w:rPr>
                <w:vertAlign w:val="superscript"/>
              </w:rPr>
              <w:t>b</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09F6F357" w14:textId="77777777" w:rsidR="00AC7141" w:rsidRPr="00AC7141" w:rsidRDefault="00AC7141" w:rsidP="00AC7141">
            <w:pPr>
              <w:pStyle w:val="CDIFigure-Table-H1"/>
            </w:pPr>
            <w:r w:rsidRPr="00AC7141">
              <w:t>80+</w:t>
            </w:r>
            <w:r w:rsidRPr="00AC7141">
              <w:rPr>
                <w:vertAlign w:val="superscript"/>
              </w:rPr>
              <w:t>b</w:t>
            </w:r>
          </w:p>
        </w:tc>
      </w:tr>
      <w:tr w:rsidR="00AC7141" w:rsidRPr="00AC7141" w14:paraId="4685F1E1" w14:textId="77777777" w:rsidTr="00AC7141">
        <w:trPr>
          <w:trHeight w:val="57"/>
        </w:trPr>
        <w:tc>
          <w:tcPr>
            <w:tcW w:w="1205" w:type="dxa"/>
            <w:shd w:val="clear" w:color="auto" w:fill="F2F2F2" w:themeFill="background1" w:themeFillShade="F2"/>
            <w:tcMar>
              <w:top w:w="113" w:type="dxa"/>
              <w:left w:w="113" w:type="dxa"/>
              <w:bottom w:w="113" w:type="dxa"/>
              <w:right w:w="113" w:type="dxa"/>
            </w:tcMar>
            <w:vAlign w:val="center"/>
          </w:tcPr>
          <w:p w14:paraId="356A7AD2" w14:textId="77777777" w:rsidR="00AC7141" w:rsidRPr="00AC7141" w:rsidRDefault="00AC7141" w:rsidP="00AC7141">
            <w:pPr>
              <w:pStyle w:val="CDIFigure-Table-BodyTextCentre"/>
            </w:pPr>
            <w:r w:rsidRPr="00AC7141">
              <w:t>0</w:t>
            </w:r>
          </w:p>
        </w:tc>
        <w:tc>
          <w:tcPr>
            <w:tcW w:w="1204" w:type="dxa"/>
            <w:shd w:val="clear" w:color="auto" w:fill="F2F2F2" w:themeFill="background1" w:themeFillShade="F2"/>
            <w:tcMar>
              <w:top w:w="113" w:type="dxa"/>
              <w:left w:w="113" w:type="dxa"/>
              <w:bottom w:w="113" w:type="dxa"/>
              <w:right w:w="113" w:type="dxa"/>
            </w:tcMar>
            <w:vAlign w:val="center"/>
          </w:tcPr>
          <w:p w14:paraId="50F69F7B" w14:textId="77777777" w:rsidR="00AC7141" w:rsidRPr="00AC7141" w:rsidRDefault="00AC7141" w:rsidP="00AC7141">
            <w:pPr>
              <w:pStyle w:val="CDIFigure-Table-BodyTextCentre"/>
            </w:pPr>
            <w:r w:rsidRPr="00AC7141">
              <w:t>10.1</w:t>
            </w:r>
          </w:p>
        </w:tc>
        <w:tc>
          <w:tcPr>
            <w:tcW w:w="1205" w:type="dxa"/>
            <w:shd w:val="clear" w:color="auto" w:fill="F2F2F2" w:themeFill="background1" w:themeFillShade="F2"/>
            <w:tcMar>
              <w:top w:w="113" w:type="dxa"/>
              <w:left w:w="113" w:type="dxa"/>
              <w:bottom w:w="113" w:type="dxa"/>
              <w:right w:w="113" w:type="dxa"/>
            </w:tcMar>
            <w:vAlign w:val="center"/>
          </w:tcPr>
          <w:p w14:paraId="20511FAE" w14:textId="77777777" w:rsidR="00AC7141" w:rsidRPr="00AC7141" w:rsidRDefault="00AC7141" w:rsidP="00AC7141">
            <w:pPr>
              <w:pStyle w:val="CDIFigure-Table-BodyTextCentre"/>
            </w:pPr>
            <w:r w:rsidRPr="00AC7141">
              <w:t>4.2</w:t>
            </w:r>
          </w:p>
        </w:tc>
        <w:tc>
          <w:tcPr>
            <w:tcW w:w="1205" w:type="dxa"/>
            <w:shd w:val="clear" w:color="auto" w:fill="F2F2F2" w:themeFill="background1" w:themeFillShade="F2"/>
            <w:tcMar>
              <w:top w:w="113" w:type="dxa"/>
              <w:left w:w="113" w:type="dxa"/>
              <w:bottom w:w="113" w:type="dxa"/>
              <w:right w:w="113" w:type="dxa"/>
            </w:tcMar>
            <w:vAlign w:val="center"/>
          </w:tcPr>
          <w:p w14:paraId="63392290" w14:textId="77777777" w:rsidR="00AC7141" w:rsidRPr="00AC7141" w:rsidRDefault="00AC7141" w:rsidP="00AC7141">
            <w:pPr>
              <w:pStyle w:val="CDIFigure-Table-BodyTextCentre"/>
            </w:pPr>
            <w:r w:rsidRPr="00AC7141">
              <w:t>2.2</w:t>
            </w:r>
          </w:p>
        </w:tc>
        <w:tc>
          <w:tcPr>
            <w:tcW w:w="1205" w:type="dxa"/>
            <w:shd w:val="clear" w:color="auto" w:fill="F2F2F2" w:themeFill="background1" w:themeFillShade="F2"/>
            <w:tcMar>
              <w:top w:w="113" w:type="dxa"/>
              <w:left w:w="113" w:type="dxa"/>
              <w:bottom w:w="113" w:type="dxa"/>
              <w:right w:w="113" w:type="dxa"/>
            </w:tcMar>
            <w:vAlign w:val="center"/>
          </w:tcPr>
          <w:p w14:paraId="21EFCBAD" w14:textId="77777777" w:rsidR="00AC7141" w:rsidRPr="00AC7141" w:rsidRDefault="00AC7141" w:rsidP="00AC7141">
            <w:pPr>
              <w:pStyle w:val="CDIFigure-Table-BodyTextCentre"/>
            </w:pPr>
            <w:r w:rsidRPr="00AC7141">
              <w:t>1.6</w:t>
            </w:r>
          </w:p>
        </w:tc>
        <w:tc>
          <w:tcPr>
            <w:tcW w:w="1204" w:type="dxa"/>
            <w:shd w:val="clear" w:color="auto" w:fill="F2F2F2" w:themeFill="background1" w:themeFillShade="F2"/>
            <w:tcMar>
              <w:top w:w="113" w:type="dxa"/>
              <w:left w:w="113" w:type="dxa"/>
              <w:bottom w:w="113" w:type="dxa"/>
              <w:right w:w="113" w:type="dxa"/>
            </w:tcMar>
            <w:vAlign w:val="center"/>
          </w:tcPr>
          <w:p w14:paraId="07656BC4" w14:textId="77777777" w:rsidR="00AC7141" w:rsidRPr="00AC7141" w:rsidRDefault="00AC7141" w:rsidP="00AC7141">
            <w:pPr>
              <w:pStyle w:val="CDIFigure-Table-BodyTextCentre"/>
            </w:pPr>
            <w:r w:rsidRPr="00AC7141">
              <w:t>1.4</w:t>
            </w:r>
          </w:p>
        </w:tc>
        <w:tc>
          <w:tcPr>
            <w:tcW w:w="1205" w:type="dxa"/>
            <w:shd w:val="clear" w:color="auto" w:fill="F2F2F2" w:themeFill="background1" w:themeFillShade="F2"/>
            <w:tcMar>
              <w:top w:w="113" w:type="dxa"/>
              <w:left w:w="113" w:type="dxa"/>
              <w:bottom w:w="113" w:type="dxa"/>
              <w:right w:w="113" w:type="dxa"/>
            </w:tcMar>
            <w:vAlign w:val="center"/>
          </w:tcPr>
          <w:p w14:paraId="58E3EF5B" w14:textId="77777777" w:rsidR="00AC7141" w:rsidRPr="00AC7141" w:rsidRDefault="00AC7141" w:rsidP="00AC7141">
            <w:pPr>
              <w:pStyle w:val="CDIFigure-Table-BodyTextCentre"/>
            </w:pPr>
            <w:r w:rsidRPr="00AC7141">
              <w:t>0.9</w:t>
            </w:r>
          </w:p>
        </w:tc>
        <w:tc>
          <w:tcPr>
            <w:tcW w:w="1205" w:type="dxa"/>
            <w:shd w:val="clear" w:color="auto" w:fill="F2F2F2" w:themeFill="background1" w:themeFillShade="F2"/>
            <w:tcMar>
              <w:top w:w="113" w:type="dxa"/>
              <w:left w:w="113" w:type="dxa"/>
              <w:bottom w:w="113" w:type="dxa"/>
              <w:right w:w="113" w:type="dxa"/>
            </w:tcMar>
            <w:vAlign w:val="center"/>
          </w:tcPr>
          <w:p w14:paraId="3B6255E4" w14:textId="77777777" w:rsidR="00AC7141" w:rsidRPr="00AC7141" w:rsidRDefault="00AC7141" w:rsidP="00AC7141">
            <w:pPr>
              <w:pStyle w:val="CDIFigure-Table-BodyTextCentre"/>
            </w:pPr>
            <w:r w:rsidRPr="00AC7141">
              <w:t>0.9</w:t>
            </w:r>
          </w:p>
        </w:tc>
      </w:tr>
      <w:tr w:rsidR="00AC7141" w:rsidRPr="00AC7141" w14:paraId="6CCF75A5" w14:textId="77777777" w:rsidTr="00AC7141">
        <w:trPr>
          <w:trHeight w:val="57"/>
        </w:trPr>
        <w:tc>
          <w:tcPr>
            <w:tcW w:w="1205" w:type="dxa"/>
            <w:tcMar>
              <w:top w:w="113" w:type="dxa"/>
              <w:left w:w="113" w:type="dxa"/>
              <w:bottom w:w="113" w:type="dxa"/>
              <w:right w:w="113" w:type="dxa"/>
            </w:tcMar>
            <w:vAlign w:val="center"/>
          </w:tcPr>
          <w:p w14:paraId="1B9D2DB7" w14:textId="77777777" w:rsidR="00AC7141" w:rsidRPr="00AC7141" w:rsidRDefault="00AC7141" w:rsidP="00AC7141">
            <w:pPr>
              <w:pStyle w:val="CDIFigure-Table-BodyTextCentre"/>
            </w:pPr>
            <w:r w:rsidRPr="00AC7141">
              <w:t>1</w:t>
            </w:r>
          </w:p>
        </w:tc>
        <w:tc>
          <w:tcPr>
            <w:tcW w:w="1204" w:type="dxa"/>
            <w:tcMar>
              <w:top w:w="113" w:type="dxa"/>
              <w:left w:w="113" w:type="dxa"/>
              <w:bottom w:w="113" w:type="dxa"/>
              <w:right w:w="113" w:type="dxa"/>
            </w:tcMar>
            <w:vAlign w:val="center"/>
          </w:tcPr>
          <w:p w14:paraId="77EF8B50" w14:textId="77777777" w:rsidR="00AC7141" w:rsidRPr="00AC7141" w:rsidRDefault="00AC7141" w:rsidP="00AC7141">
            <w:pPr>
              <w:pStyle w:val="CDIFigure-Table-BodyTextCentre"/>
            </w:pPr>
            <w:r w:rsidRPr="00AC7141">
              <w:t>2.5</w:t>
            </w:r>
          </w:p>
        </w:tc>
        <w:tc>
          <w:tcPr>
            <w:tcW w:w="1205" w:type="dxa"/>
            <w:tcMar>
              <w:top w:w="113" w:type="dxa"/>
              <w:left w:w="113" w:type="dxa"/>
              <w:bottom w:w="113" w:type="dxa"/>
              <w:right w:w="113" w:type="dxa"/>
            </w:tcMar>
            <w:vAlign w:val="center"/>
          </w:tcPr>
          <w:p w14:paraId="3BC060FE" w14:textId="77777777" w:rsidR="00AC7141" w:rsidRPr="00AC7141" w:rsidRDefault="00AC7141" w:rsidP="00AC7141">
            <w:pPr>
              <w:pStyle w:val="CDIFigure-Table-BodyTextCentre"/>
            </w:pPr>
            <w:r w:rsidRPr="00AC7141">
              <w:t>1.6</w:t>
            </w:r>
          </w:p>
        </w:tc>
        <w:tc>
          <w:tcPr>
            <w:tcW w:w="1205" w:type="dxa"/>
            <w:tcMar>
              <w:top w:w="113" w:type="dxa"/>
              <w:left w:w="113" w:type="dxa"/>
              <w:bottom w:w="113" w:type="dxa"/>
              <w:right w:w="113" w:type="dxa"/>
            </w:tcMar>
            <w:vAlign w:val="center"/>
          </w:tcPr>
          <w:p w14:paraId="5E55BD86" w14:textId="77777777" w:rsidR="00AC7141" w:rsidRPr="00AC7141" w:rsidRDefault="00AC7141" w:rsidP="00AC7141">
            <w:pPr>
              <w:pStyle w:val="CDIFigure-Table-BodyTextCentre"/>
            </w:pPr>
            <w:r w:rsidRPr="00AC7141">
              <w:t>1.2</w:t>
            </w:r>
          </w:p>
        </w:tc>
        <w:tc>
          <w:tcPr>
            <w:tcW w:w="1205" w:type="dxa"/>
            <w:tcMar>
              <w:top w:w="113" w:type="dxa"/>
              <w:left w:w="113" w:type="dxa"/>
              <w:bottom w:w="113" w:type="dxa"/>
              <w:right w:w="113" w:type="dxa"/>
            </w:tcMar>
            <w:vAlign w:val="center"/>
          </w:tcPr>
          <w:p w14:paraId="1A54A1F0" w14:textId="77777777" w:rsidR="00AC7141" w:rsidRPr="00AC7141" w:rsidRDefault="00AC7141" w:rsidP="00AC7141">
            <w:pPr>
              <w:pStyle w:val="CDIFigure-Table-BodyTextCentre"/>
            </w:pPr>
            <w:r w:rsidRPr="00AC7141">
              <w:t>1.6</w:t>
            </w:r>
          </w:p>
        </w:tc>
        <w:tc>
          <w:tcPr>
            <w:tcW w:w="1204" w:type="dxa"/>
            <w:tcMar>
              <w:top w:w="113" w:type="dxa"/>
              <w:left w:w="113" w:type="dxa"/>
              <w:bottom w:w="113" w:type="dxa"/>
              <w:right w:w="113" w:type="dxa"/>
            </w:tcMar>
            <w:vAlign w:val="center"/>
          </w:tcPr>
          <w:p w14:paraId="3BD52903" w14:textId="77777777" w:rsidR="00AC7141" w:rsidRPr="00AC7141" w:rsidRDefault="00AC7141" w:rsidP="00AC7141">
            <w:pPr>
              <w:pStyle w:val="CDIFigure-Table-BodyTextCentre"/>
            </w:pPr>
            <w:r w:rsidRPr="00AC7141">
              <w:t>1.3</w:t>
            </w:r>
          </w:p>
        </w:tc>
        <w:tc>
          <w:tcPr>
            <w:tcW w:w="1205" w:type="dxa"/>
            <w:tcMar>
              <w:top w:w="113" w:type="dxa"/>
              <w:left w:w="113" w:type="dxa"/>
              <w:bottom w:w="113" w:type="dxa"/>
              <w:right w:w="113" w:type="dxa"/>
            </w:tcMar>
            <w:vAlign w:val="center"/>
          </w:tcPr>
          <w:p w14:paraId="7B933419" w14:textId="77777777" w:rsidR="00AC7141" w:rsidRPr="00AC7141" w:rsidRDefault="00AC7141" w:rsidP="00AC7141">
            <w:pPr>
              <w:pStyle w:val="CDIFigure-Table-BodyTextCentre"/>
            </w:pPr>
            <w:r w:rsidRPr="00AC7141">
              <w:t>0.0</w:t>
            </w:r>
          </w:p>
        </w:tc>
        <w:tc>
          <w:tcPr>
            <w:tcW w:w="1205" w:type="dxa"/>
            <w:tcMar>
              <w:top w:w="113" w:type="dxa"/>
              <w:left w:w="113" w:type="dxa"/>
              <w:bottom w:w="113" w:type="dxa"/>
              <w:right w:w="113" w:type="dxa"/>
            </w:tcMar>
            <w:vAlign w:val="center"/>
          </w:tcPr>
          <w:p w14:paraId="5942A562" w14:textId="77777777" w:rsidR="00AC7141" w:rsidRPr="00AC7141" w:rsidRDefault="00AC7141" w:rsidP="00AC7141">
            <w:pPr>
              <w:pStyle w:val="CDIFigure-Table-BodyTextCentre"/>
            </w:pPr>
            <w:r w:rsidRPr="00AC7141">
              <w:t>0.0</w:t>
            </w:r>
          </w:p>
        </w:tc>
      </w:tr>
      <w:tr w:rsidR="00AC7141" w:rsidRPr="00AC7141" w14:paraId="2A034BB4" w14:textId="77777777" w:rsidTr="00AC7141">
        <w:trPr>
          <w:trHeight w:val="57"/>
        </w:trPr>
        <w:tc>
          <w:tcPr>
            <w:tcW w:w="1205" w:type="dxa"/>
            <w:shd w:val="clear" w:color="auto" w:fill="F2F2F2" w:themeFill="background1" w:themeFillShade="F2"/>
            <w:tcMar>
              <w:top w:w="113" w:type="dxa"/>
              <w:left w:w="113" w:type="dxa"/>
              <w:bottom w:w="113" w:type="dxa"/>
              <w:right w:w="113" w:type="dxa"/>
            </w:tcMar>
            <w:vAlign w:val="center"/>
          </w:tcPr>
          <w:p w14:paraId="6DE11AFF" w14:textId="77777777" w:rsidR="00AC7141" w:rsidRPr="00AC7141" w:rsidRDefault="00AC7141" w:rsidP="00AC7141">
            <w:pPr>
              <w:pStyle w:val="CDIFigure-Table-BodyTextCentre"/>
            </w:pPr>
            <w:r w:rsidRPr="00AC7141">
              <w:t>2</w:t>
            </w:r>
          </w:p>
        </w:tc>
        <w:tc>
          <w:tcPr>
            <w:tcW w:w="1204" w:type="dxa"/>
            <w:shd w:val="clear" w:color="auto" w:fill="F2F2F2" w:themeFill="background1" w:themeFillShade="F2"/>
            <w:tcMar>
              <w:top w:w="113" w:type="dxa"/>
              <w:left w:w="113" w:type="dxa"/>
              <w:bottom w:w="113" w:type="dxa"/>
              <w:right w:w="113" w:type="dxa"/>
            </w:tcMar>
            <w:vAlign w:val="center"/>
          </w:tcPr>
          <w:p w14:paraId="6FD5A3BE" w14:textId="77777777" w:rsidR="00AC7141" w:rsidRPr="00AC7141" w:rsidRDefault="00AC7141" w:rsidP="00AC7141">
            <w:pPr>
              <w:pStyle w:val="CDIFigure-Table-BodyTextCentre"/>
            </w:pPr>
            <w:r w:rsidRPr="00AC7141">
              <w:t>37.5</w:t>
            </w:r>
          </w:p>
        </w:tc>
        <w:tc>
          <w:tcPr>
            <w:tcW w:w="1205" w:type="dxa"/>
            <w:shd w:val="clear" w:color="auto" w:fill="F2F2F2" w:themeFill="background1" w:themeFillShade="F2"/>
            <w:tcMar>
              <w:top w:w="113" w:type="dxa"/>
              <w:left w:w="113" w:type="dxa"/>
              <w:bottom w:w="113" w:type="dxa"/>
              <w:right w:w="113" w:type="dxa"/>
            </w:tcMar>
            <w:vAlign w:val="center"/>
          </w:tcPr>
          <w:p w14:paraId="71F79AA5" w14:textId="77777777" w:rsidR="00AC7141" w:rsidRPr="00AC7141" w:rsidRDefault="00AC7141" w:rsidP="00AC7141">
            <w:pPr>
              <w:pStyle w:val="CDIFigure-Table-BodyTextCentre"/>
            </w:pPr>
            <w:r w:rsidRPr="00AC7141">
              <w:t>32.6</w:t>
            </w:r>
          </w:p>
        </w:tc>
        <w:tc>
          <w:tcPr>
            <w:tcW w:w="1205" w:type="dxa"/>
            <w:shd w:val="clear" w:color="auto" w:fill="F2F2F2" w:themeFill="background1" w:themeFillShade="F2"/>
            <w:tcMar>
              <w:top w:w="113" w:type="dxa"/>
              <w:left w:w="113" w:type="dxa"/>
              <w:bottom w:w="113" w:type="dxa"/>
              <w:right w:w="113" w:type="dxa"/>
            </w:tcMar>
            <w:vAlign w:val="center"/>
          </w:tcPr>
          <w:p w14:paraId="42F49810" w14:textId="77777777" w:rsidR="00AC7141" w:rsidRPr="00AC7141" w:rsidRDefault="00AC7141" w:rsidP="00AC7141">
            <w:pPr>
              <w:pStyle w:val="CDIFigure-Table-BodyTextCentre"/>
            </w:pPr>
            <w:r w:rsidRPr="00AC7141">
              <w:t>24.9</w:t>
            </w:r>
          </w:p>
        </w:tc>
        <w:tc>
          <w:tcPr>
            <w:tcW w:w="1205" w:type="dxa"/>
            <w:shd w:val="clear" w:color="auto" w:fill="F2F2F2" w:themeFill="background1" w:themeFillShade="F2"/>
            <w:tcMar>
              <w:top w:w="113" w:type="dxa"/>
              <w:left w:w="113" w:type="dxa"/>
              <w:bottom w:w="113" w:type="dxa"/>
              <w:right w:w="113" w:type="dxa"/>
            </w:tcMar>
            <w:vAlign w:val="center"/>
          </w:tcPr>
          <w:p w14:paraId="3C7A7BD9" w14:textId="77777777" w:rsidR="00AC7141" w:rsidRPr="00AC7141" w:rsidRDefault="00AC7141" w:rsidP="00AC7141">
            <w:pPr>
              <w:pStyle w:val="CDIFigure-Table-BodyTextCentre"/>
            </w:pPr>
            <w:r w:rsidRPr="00AC7141">
              <w:t>18.8</w:t>
            </w:r>
          </w:p>
        </w:tc>
        <w:tc>
          <w:tcPr>
            <w:tcW w:w="1204" w:type="dxa"/>
            <w:shd w:val="clear" w:color="auto" w:fill="F2F2F2" w:themeFill="background1" w:themeFillShade="F2"/>
            <w:tcMar>
              <w:top w:w="113" w:type="dxa"/>
              <w:left w:w="113" w:type="dxa"/>
              <w:bottom w:w="113" w:type="dxa"/>
              <w:right w:w="113" w:type="dxa"/>
            </w:tcMar>
            <w:vAlign w:val="center"/>
          </w:tcPr>
          <w:p w14:paraId="41EE0C19" w14:textId="77777777" w:rsidR="00AC7141" w:rsidRPr="00AC7141" w:rsidRDefault="00AC7141" w:rsidP="00AC7141">
            <w:pPr>
              <w:pStyle w:val="CDIFigure-Table-BodyTextCentre"/>
            </w:pPr>
            <w:r w:rsidRPr="00AC7141">
              <w:t>12.1</w:t>
            </w:r>
          </w:p>
        </w:tc>
        <w:tc>
          <w:tcPr>
            <w:tcW w:w="1205" w:type="dxa"/>
            <w:shd w:val="clear" w:color="auto" w:fill="F2F2F2" w:themeFill="background1" w:themeFillShade="F2"/>
            <w:tcMar>
              <w:top w:w="113" w:type="dxa"/>
              <w:left w:w="113" w:type="dxa"/>
              <w:bottom w:w="113" w:type="dxa"/>
              <w:right w:w="113" w:type="dxa"/>
            </w:tcMar>
            <w:vAlign w:val="center"/>
          </w:tcPr>
          <w:p w14:paraId="6452F3DF" w14:textId="77777777" w:rsidR="00AC7141" w:rsidRPr="00AC7141" w:rsidRDefault="00AC7141" w:rsidP="00AC7141">
            <w:pPr>
              <w:pStyle w:val="CDIFigure-Table-BodyTextCentre"/>
            </w:pPr>
            <w:r w:rsidRPr="00AC7141">
              <w:t>7.1</w:t>
            </w:r>
          </w:p>
        </w:tc>
        <w:tc>
          <w:tcPr>
            <w:tcW w:w="1205" w:type="dxa"/>
            <w:shd w:val="clear" w:color="auto" w:fill="F2F2F2" w:themeFill="background1" w:themeFillShade="F2"/>
            <w:tcMar>
              <w:top w:w="113" w:type="dxa"/>
              <w:left w:w="113" w:type="dxa"/>
              <w:bottom w:w="113" w:type="dxa"/>
              <w:right w:w="113" w:type="dxa"/>
            </w:tcMar>
            <w:vAlign w:val="center"/>
          </w:tcPr>
          <w:p w14:paraId="5D629537" w14:textId="77777777" w:rsidR="00AC7141" w:rsidRPr="00AC7141" w:rsidRDefault="00AC7141" w:rsidP="00AC7141">
            <w:pPr>
              <w:pStyle w:val="CDIFigure-Table-BodyTextCentre"/>
            </w:pPr>
            <w:r w:rsidRPr="00AC7141">
              <w:t>7.1</w:t>
            </w:r>
          </w:p>
        </w:tc>
      </w:tr>
      <w:tr w:rsidR="00AC7141" w:rsidRPr="00AC7141" w14:paraId="3EE9AB6D" w14:textId="77777777" w:rsidTr="00AC7141">
        <w:trPr>
          <w:trHeight w:val="57"/>
        </w:trPr>
        <w:tc>
          <w:tcPr>
            <w:tcW w:w="1205" w:type="dxa"/>
            <w:tcMar>
              <w:top w:w="113" w:type="dxa"/>
              <w:left w:w="113" w:type="dxa"/>
              <w:bottom w:w="113" w:type="dxa"/>
              <w:right w:w="113" w:type="dxa"/>
            </w:tcMar>
            <w:vAlign w:val="center"/>
          </w:tcPr>
          <w:p w14:paraId="5B7C015F" w14:textId="77777777" w:rsidR="00AC7141" w:rsidRPr="00AC7141" w:rsidRDefault="00AC7141" w:rsidP="00AC7141">
            <w:pPr>
              <w:pStyle w:val="CDIFigure-Table-BodyTextCentre"/>
            </w:pPr>
            <w:r w:rsidRPr="00AC7141">
              <w:t>3</w:t>
            </w:r>
          </w:p>
        </w:tc>
        <w:tc>
          <w:tcPr>
            <w:tcW w:w="1204" w:type="dxa"/>
            <w:tcMar>
              <w:top w:w="113" w:type="dxa"/>
              <w:left w:w="113" w:type="dxa"/>
              <w:bottom w:w="113" w:type="dxa"/>
              <w:right w:w="113" w:type="dxa"/>
            </w:tcMar>
            <w:vAlign w:val="center"/>
          </w:tcPr>
          <w:p w14:paraId="3F4D7034" w14:textId="77777777" w:rsidR="00AC7141" w:rsidRPr="00AC7141" w:rsidRDefault="00AC7141" w:rsidP="00AC7141">
            <w:pPr>
              <w:pStyle w:val="CDIFigure-Table-BodyTextCentre"/>
            </w:pPr>
            <w:r w:rsidRPr="00AC7141">
              <w:t>50.0</w:t>
            </w:r>
          </w:p>
        </w:tc>
        <w:tc>
          <w:tcPr>
            <w:tcW w:w="1205" w:type="dxa"/>
            <w:tcMar>
              <w:top w:w="113" w:type="dxa"/>
              <w:left w:w="113" w:type="dxa"/>
              <w:bottom w:w="113" w:type="dxa"/>
              <w:right w:w="113" w:type="dxa"/>
            </w:tcMar>
            <w:vAlign w:val="center"/>
          </w:tcPr>
          <w:p w14:paraId="18D65ACD" w14:textId="77777777" w:rsidR="00AC7141" w:rsidRPr="00AC7141" w:rsidRDefault="00AC7141" w:rsidP="00AC7141">
            <w:pPr>
              <w:pStyle w:val="CDIFigure-Table-BodyTextCentre"/>
            </w:pPr>
            <w:r w:rsidRPr="00AC7141">
              <w:t>33.7</w:t>
            </w:r>
          </w:p>
        </w:tc>
        <w:tc>
          <w:tcPr>
            <w:tcW w:w="1205" w:type="dxa"/>
            <w:tcMar>
              <w:top w:w="113" w:type="dxa"/>
              <w:left w:w="113" w:type="dxa"/>
              <w:bottom w:w="113" w:type="dxa"/>
              <w:right w:w="113" w:type="dxa"/>
            </w:tcMar>
            <w:vAlign w:val="center"/>
          </w:tcPr>
          <w:p w14:paraId="72663121" w14:textId="77777777" w:rsidR="00AC7141" w:rsidRPr="00AC7141" w:rsidRDefault="00AC7141" w:rsidP="00AC7141">
            <w:pPr>
              <w:pStyle w:val="CDIFigure-Table-BodyTextCentre"/>
            </w:pPr>
            <w:r w:rsidRPr="00AC7141">
              <w:t>43.8</w:t>
            </w:r>
          </w:p>
        </w:tc>
        <w:tc>
          <w:tcPr>
            <w:tcW w:w="1205" w:type="dxa"/>
            <w:tcMar>
              <w:top w:w="113" w:type="dxa"/>
              <w:left w:w="113" w:type="dxa"/>
              <w:bottom w:w="113" w:type="dxa"/>
              <w:right w:w="113" w:type="dxa"/>
            </w:tcMar>
            <w:vAlign w:val="center"/>
          </w:tcPr>
          <w:p w14:paraId="5577A3D7" w14:textId="77777777" w:rsidR="00AC7141" w:rsidRPr="00AC7141" w:rsidRDefault="00AC7141" w:rsidP="00AC7141">
            <w:pPr>
              <w:pStyle w:val="CDIFigure-Table-BodyTextCentre"/>
            </w:pPr>
            <w:r w:rsidRPr="00AC7141">
              <w:t>50.1</w:t>
            </w:r>
          </w:p>
        </w:tc>
        <w:tc>
          <w:tcPr>
            <w:tcW w:w="1204" w:type="dxa"/>
            <w:tcMar>
              <w:top w:w="113" w:type="dxa"/>
              <w:left w:w="113" w:type="dxa"/>
              <w:bottom w:w="113" w:type="dxa"/>
              <w:right w:w="113" w:type="dxa"/>
            </w:tcMar>
            <w:vAlign w:val="center"/>
          </w:tcPr>
          <w:p w14:paraId="69D55BD3" w14:textId="77777777" w:rsidR="00AC7141" w:rsidRPr="00AC7141" w:rsidRDefault="00AC7141" w:rsidP="00AC7141">
            <w:pPr>
              <w:pStyle w:val="CDIFigure-Table-BodyTextCentre"/>
            </w:pPr>
            <w:r w:rsidRPr="00AC7141">
              <w:t>20.3</w:t>
            </w:r>
          </w:p>
        </w:tc>
        <w:tc>
          <w:tcPr>
            <w:tcW w:w="1205" w:type="dxa"/>
            <w:tcMar>
              <w:top w:w="113" w:type="dxa"/>
              <w:left w:w="113" w:type="dxa"/>
              <w:bottom w:w="113" w:type="dxa"/>
              <w:right w:w="113" w:type="dxa"/>
            </w:tcMar>
            <w:vAlign w:val="center"/>
          </w:tcPr>
          <w:p w14:paraId="39309CFF" w14:textId="77777777" w:rsidR="00AC7141" w:rsidRPr="00AC7141" w:rsidRDefault="00AC7141" w:rsidP="00AC7141">
            <w:pPr>
              <w:pStyle w:val="CDIFigure-Table-BodyTextCentre"/>
            </w:pPr>
            <w:r w:rsidRPr="00AC7141">
              <w:t>27.1</w:t>
            </w:r>
          </w:p>
        </w:tc>
        <w:tc>
          <w:tcPr>
            <w:tcW w:w="1205" w:type="dxa"/>
            <w:tcMar>
              <w:top w:w="113" w:type="dxa"/>
              <w:left w:w="113" w:type="dxa"/>
              <w:bottom w:w="113" w:type="dxa"/>
              <w:right w:w="113" w:type="dxa"/>
            </w:tcMar>
            <w:vAlign w:val="center"/>
          </w:tcPr>
          <w:p w14:paraId="1903B955" w14:textId="77777777" w:rsidR="00AC7141" w:rsidRPr="00AC7141" w:rsidRDefault="00AC7141" w:rsidP="00AC7141">
            <w:pPr>
              <w:pStyle w:val="CDIFigure-Table-BodyTextCentre"/>
            </w:pPr>
            <w:r w:rsidRPr="00AC7141">
              <w:t>27.1</w:t>
            </w:r>
          </w:p>
        </w:tc>
      </w:tr>
      <w:tr w:rsidR="00AC7141" w:rsidRPr="00AC7141" w14:paraId="5E631CD2" w14:textId="77777777" w:rsidTr="00AC7141">
        <w:trPr>
          <w:trHeight w:val="57"/>
        </w:trPr>
        <w:tc>
          <w:tcPr>
            <w:tcW w:w="1205" w:type="dxa"/>
            <w:shd w:val="clear" w:color="auto" w:fill="F2F2F2" w:themeFill="background1" w:themeFillShade="F2"/>
            <w:tcMar>
              <w:top w:w="113" w:type="dxa"/>
              <w:left w:w="113" w:type="dxa"/>
              <w:bottom w:w="113" w:type="dxa"/>
              <w:right w:w="113" w:type="dxa"/>
            </w:tcMar>
            <w:vAlign w:val="center"/>
          </w:tcPr>
          <w:p w14:paraId="25623B42" w14:textId="77777777" w:rsidR="00AC7141" w:rsidRPr="00AC7141" w:rsidRDefault="00AC7141" w:rsidP="00AC7141">
            <w:pPr>
              <w:pStyle w:val="CDIFigure-Table-BodyTextCentre"/>
            </w:pPr>
            <w:r w:rsidRPr="00AC7141">
              <w:t>4</w:t>
            </w:r>
            <w:r w:rsidRPr="00AC7141">
              <w:rPr>
                <w:vertAlign w:val="superscript"/>
              </w:rPr>
              <w:t>c</w:t>
            </w:r>
          </w:p>
        </w:tc>
        <w:tc>
          <w:tcPr>
            <w:tcW w:w="1204" w:type="dxa"/>
            <w:shd w:val="clear" w:color="auto" w:fill="F2F2F2" w:themeFill="background1" w:themeFillShade="F2"/>
            <w:tcMar>
              <w:top w:w="113" w:type="dxa"/>
              <w:left w:w="113" w:type="dxa"/>
              <w:bottom w:w="113" w:type="dxa"/>
              <w:right w:w="113" w:type="dxa"/>
            </w:tcMar>
            <w:vAlign w:val="center"/>
          </w:tcPr>
          <w:p w14:paraId="44881178" w14:textId="77777777" w:rsidR="00AC7141" w:rsidRPr="00AC7141" w:rsidRDefault="00AC7141" w:rsidP="00AC7141">
            <w:pPr>
              <w:pStyle w:val="CDIFigure-Table-BodyTextCentre"/>
            </w:pPr>
            <w:r w:rsidRPr="00AC7141">
              <w:t>0.0</w:t>
            </w:r>
          </w:p>
        </w:tc>
        <w:tc>
          <w:tcPr>
            <w:tcW w:w="1205" w:type="dxa"/>
            <w:shd w:val="clear" w:color="auto" w:fill="F2F2F2" w:themeFill="background1" w:themeFillShade="F2"/>
            <w:tcMar>
              <w:top w:w="113" w:type="dxa"/>
              <w:left w:w="113" w:type="dxa"/>
              <w:bottom w:w="113" w:type="dxa"/>
              <w:right w:w="113" w:type="dxa"/>
            </w:tcMar>
            <w:vAlign w:val="center"/>
          </w:tcPr>
          <w:p w14:paraId="3312EECD" w14:textId="77777777" w:rsidR="00AC7141" w:rsidRPr="00AC7141" w:rsidRDefault="00AC7141" w:rsidP="00AC7141">
            <w:pPr>
              <w:pStyle w:val="CDIFigure-Table-BodyTextCentre"/>
            </w:pPr>
            <w:r w:rsidRPr="00AC7141">
              <w:t>27.9</w:t>
            </w:r>
          </w:p>
        </w:tc>
        <w:tc>
          <w:tcPr>
            <w:tcW w:w="1205" w:type="dxa"/>
            <w:shd w:val="clear" w:color="auto" w:fill="F2F2F2" w:themeFill="background1" w:themeFillShade="F2"/>
            <w:tcMar>
              <w:top w:w="113" w:type="dxa"/>
              <w:left w:w="113" w:type="dxa"/>
              <w:bottom w:w="113" w:type="dxa"/>
              <w:right w:w="113" w:type="dxa"/>
            </w:tcMar>
            <w:vAlign w:val="center"/>
          </w:tcPr>
          <w:p w14:paraId="78600FE0" w14:textId="77777777" w:rsidR="00AC7141" w:rsidRPr="00AC7141" w:rsidRDefault="00AC7141" w:rsidP="00AC7141">
            <w:pPr>
              <w:pStyle w:val="CDIFigure-Table-BodyTextCentre"/>
            </w:pPr>
            <w:r w:rsidRPr="00AC7141">
              <w:t>27.9</w:t>
            </w:r>
          </w:p>
        </w:tc>
        <w:tc>
          <w:tcPr>
            <w:tcW w:w="1205" w:type="dxa"/>
            <w:shd w:val="clear" w:color="auto" w:fill="F2F2F2" w:themeFill="background1" w:themeFillShade="F2"/>
            <w:tcMar>
              <w:top w:w="113" w:type="dxa"/>
              <w:left w:w="113" w:type="dxa"/>
              <w:bottom w:w="113" w:type="dxa"/>
              <w:right w:w="113" w:type="dxa"/>
            </w:tcMar>
            <w:vAlign w:val="center"/>
          </w:tcPr>
          <w:p w14:paraId="184E09AD" w14:textId="77777777" w:rsidR="00AC7141" w:rsidRPr="00AC7141" w:rsidRDefault="00AC7141" w:rsidP="00AC7141">
            <w:pPr>
              <w:pStyle w:val="CDIFigure-Table-BodyTextCentre"/>
            </w:pPr>
            <w:r w:rsidRPr="00AC7141">
              <w:t>27.9</w:t>
            </w:r>
          </w:p>
        </w:tc>
        <w:tc>
          <w:tcPr>
            <w:tcW w:w="1204" w:type="dxa"/>
            <w:shd w:val="clear" w:color="auto" w:fill="F2F2F2" w:themeFill="background1" w:themeFillShade="F2"/>
            <w:tcMar>
              <w:top w:w="113" w:type="dxa"/>
              <w:left w:w="113" w:type="dxa"/>
              <w:bottom w:w="113" w:type="dxa"/>
              <w:right w:w="113" w:type="dxa"/>
            </w:tcMar>
            <w:vAlign w:val="center"/>
          </w:tcPr>
          <w:p w14:paraId="04D5EAB9" w14:textId="77777777" w:rsidR="00AC7141" w:rsidRPr="00AC7141" w:rsidRDefault="00AC7141" w:rsidP="00AC7141">
            <w:pPr>
              <w:pStyle w:val="CDIFigure-Table-BodyTextCentre"/>
            </w:pPr>
            <w:r w:rsidRPr="00AC7141">
              <w:t>64.9</w:t>
            </w:r>
          </w:p>
        </w:tc>
        <w:tc>
          <w:tcPr>
            <w:tcW w:w="1205" w:type="dxa"/>
            <w:shd w:val="clear" w:color="auto" w:fill="F2F2F2" w:themeFill="background1" w:themeFillShade="F2"/>
            <w:tcMar>
              <w:top w:w="113" w:type="dxa"/>
              <w:left w:w="113" w:type="dxa"/>
              <w:bottom w:w="113" w:type="dxa"/>
              <w:right w:w="113" w:type="dxa"/>
            </w:tcMar>
            <w:vAlign w:val="center"/>
          </w:tcPr>
          <w:p w14:paraId="1D9A6984" w14:textId="77777777" w:rsidR="00AC7141" w:rsidRPr="00AC7141" w:rsidRDefault="00AC7141" w:rsidP="00AC7141">
            <w:pPr>
              <w:pStyle w:val="CDIFigure-Table-BodyTextCentre"/>
            </w:pPr>
            <w:r w:rsidRPr="00AC7141">
              <w:t>64.9</w:t>
            </w:r>
          </w:p>
        </w:tc>
        <w:tc>
          <w:tcPr>
            <w:tcW w:w="1205" w:type="dxa"/>
            <w:shd w:val="clear" w:color="auto" w:fill="F2F2F2" w:themeFill="background1" w:themeFillShade="F2"/>
            <w:tcMar>
              <w:top w:w="113" w:type="dxa"/>
              <w:left w:w="113" w:type="dxa"/>
              <w:bottom w:w="113" w:type="dxa"/>
              <w:right w:w="113" w:type="dxa"/>
            </w:tcMar>
            <w:vAlign w:val="center"/>
          </w:tcPr>
          <w:p w14:paraId="47CEAA2B" w14:textId="77777777" w:rsidR="00AC7141" w:rsidRPr="00AC7141" w:rsidRDefault="00AC7141" w:rsidP="00AC7141">
            <w:pPr>
              <w:pStyle w:val="CDIFigure-Table-BodyTextCentre"/>
            </w:pPr>
            <w:r w:rsidRPr="00AC7141">
              <w:t>64.9</w:t>
            </w:r>
          </w:p>
        </w:tc>
      </w:tr>
      <w:tr w:rsidR="00AC7141" w:rsidRPr="00AC7141" w14:paraId="3E1194A0" w14:textId="77777777" w:rsidTr="00AC7141">
        <w:trPr>
          <w:trHeight w:val="57"/>
        </w:trPr>
        <w:tc>
          <w:tcPr>
            <w:tcW w:w="1205" w:type="dxa"/>
            <w:tcBorders>
              <w:bottom w:val="single" w:sz="4" w:space="0" w:color="033636" w:themeColor="text2"/>
            </w:tcBorders>
            <w:tcMar>
              <w:top w:w="113" w:type="dxa"/>
              <w:left w:w="113" w:type="dxa"/>
              <w:bottom w:w="113" w:type="dxa"/>
              <w:right w:w="113" w:type="dxa"/>
            </w:tcMar>
            <w:vAlign w:val="center"/>
          </w:tcPr>
          <w:p w14:paraId="1B557F08" w14:textId="77777777" w:rsidR="00AC7141" w:rsidRPr="00AC7141" w:rsidRDefault="00AC7141" w:rsidP="00AC7141">
            <w:pPr>
              <w:pStyle w:val="CDIFigure-Table-BodyTextCentre"/>
            </w:pPr>
            <w:r w:rsidRPr="00AC7141">
              <w:t>5</w:t>
            </w:r>
            <w:r w:rsidRPr="00AC7141">
              <w:rPr>
                <w:vertAlign w:val="superscript"/>
              </w:rPr>
              <w:t>d</w:t>
            </w:r>
          </w:p>
        </w:tc>
        <w:tc>
          <w:tcPr>
            <w:tcW w:w="1204" w:type="dxa"/>
            <w:tcBorders>
              <w:bottom w:val="single" w:sz="4" w:space="0" w:color="033636" w:themeColor="text2"/>
            </w:tcBorders>
            <w:tcMar>
              <w:top w:w="113" w:type="dxa"/>
              <w:left w:w="113" w:type="dxa"/>
              <w:bottom w:w="113" w:type="dxa"/>
              <w:right w:w="113" w:type="dxa"/>
            </w:tcMar>
            <w:vAlign w:val="center"/>
          </w:tcPr>
          <w:p w14:paraId="39F7081C"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54FEE879"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52293CAD"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1309A712" w14:textId="77777777" w:rsidR="00AC7141" w:rsidRPr="00AC7141" w:rsidRDefault="00AC7141" w:rsidP="00AC7141">
            <w:pPr>
              <w:pStyle w:val="CDIFigure-Table-BodyTextCentre"/>
            </w:pPr>
            <w:r w:rsidRPr="00AC7141">
              <w:t>—</w:t>
            </w:r>
          </w:p>
        </w:tc>
        <w:tc>
          <w:tcPr>
            <w:tcW w:w="1204" w:type="dxa"/>
            <w:tcBorders>
              <w:bottom w:val="single" w:sz="4" w:space="0" w:color="033636" w:themeColor="text2"/>
            </w:tcBorders>
            <w:tcMar>
              <w:top w:w="113" w:type="dxa"/>
              <w:left w:w="113" w:type="dxa"/>
              <w:bottom w:w="113" w:type="dxa"/>
              <w:right w:w="113" w:type="dxa"/>
            </w:tcMar>
            <w:vAlign w:val="center"/>
          </w:tcPr>
          <w:p w14:paraId="745B186E"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65C52B52"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581BD044" w14:textId="77777777" w:rsidR="00AC7141" w:rsidRPr="00AC7141" w:rsidRDefault="00AC7141" w:rsidP="00AC7141">
            <w:pPr>
              <w:pStyle w:val="CDIFigure-Table-BodyTextCentre"/>
            </w:pPr>
            <w:r w:rsidRPr="00AC7141">
              <w:t>—</w:t>
            </w:r>
          </w:p>
        </w:tc>
      </w:tr>
    </w:tbl>
    <w:p w14:paraId="4AB966B2" w14:textId="77777777" w:rsidR="000E0AC0" w:rsidRDefault="000E0AC0" w:rsidP="000E0AC0">
      <w:pPr>
        <w:pStyle w:val="CDIFigure-Table-FirstFootnote"/>
      </w:pPr>
      <w:r>
        <w:t>a</w:t>
      </w:r>
      <w:r>
        <w:tab/>
        <w:t>Values refer to percentages within each age group.</w:t>
      </w:r>
    </w:p>
    <w:p w14:paraId="45A58BA9" w14:textId="77777777" w:rsidR="000E0AC0" w:rsidRDefault="000E0AC0" w:rsidP="000E0AC0">
      <w:pPr>
        <w:pStyle w:val="CDIFigure-Table-Footnote"/>
      </w:pPr>
      <w:r>
        <w:t>b</w:t>
      </w:r>
      <w:r>
        <w:tab/>
        <w:t>Vaccine dose distributions in these two age groups were not reported separately and were thus assumed to be uniform within these age groups for purposes of the sensitivity analysis.</w:t>
      </w:r>
    </w:p>
    <w:p w14:paraId="7AEBB9CB" w14:textId="77777777" w:rsidR="000E0AC0" w:rsidRDefault="000E0AC0" w:rsidP="000E0AC0">
      <w:pPr>
        <w:pStyle w:val="CDIFigure-Table-Footnote"/>
      </w:pPr>
      <w:r>
        <w:t>c</w:t>
      </w:r>
      <w:r>
        <w:tab/>
        <w:t>Fourth dose vaccine coverage was reported in 30–59 and 60+ year age groups only and was assumed to be uniform within these age groups in this analysis.</w:t>
      </w:r>
    </w:p>
    <w:p w14:paraId="15F67109" w14:textId="40439410" w:rsidR="000E0AC0" w:rsidRDefault="000E0AC0" w:rsidP="000E0AC0">
      <w:pPr>
        <w:pStyle w:val="CDIFigure-Table-Footnote"/>
      </w:pPr>
      <w:r>
        <w:t>d</w:t>
      </w:r>
      <w:r>
        <w:tab/>
        <w:t>Not publicly reported; assumed to be zero in all age groups for this analysis.</w:t>
      </w:r>
    </w:p>
    <w:p w14:paraId="462AFD5E" w14:textId="475EDE62" w:rsidR="000E0AC0" w:rsidRDefault="000E0AC0" w:rsidP="000E0AC0">
      <w:pPr>
        <w:pStyle w:val="CDIFigure-Table-Titlemorespacebefore"/>
      </w:pPr>
      <w:r w:rsidRPr="000E0AC0">
        <w:t xml:space="preserve">Figure A.1: Age distribution of individuals included in the study cohort (grey </w:t>
      </w:r>
      <w:proofErr w:type="gramStart"/>
      <w:r w:rsidRPr="000E0AC0">
        <w:t>bars)</w:t>
      </w:r>
      <w:r w:rsidRPr="000E0AC0">
        <w:rPr>
          <w:vertAlign w:val="superscript"/>
        </w:rPr>
        <w:t>a</w:t>
      </w:r>
      <w:proofErr w:type="gramEnd"/>
    </w:p>
    <w:p w14:paraId="52DB4385" w14:textId="35E0B3BE" w:rsidR="000E0AC0" w:rsidRDefault="00293354" w:rsidP="000E0AC0">
      <w:pPr>
        <w:pStyle w:val="CDIFigure-Table-ImagePlaceholder"/>
      </w:pPr>
      <w:r>
        <w:rPr>
          <w:noProof/>
          <w14:ligatures w14:val="none"/>
        </w:rPr>
        <w:drawing>
          <wp:inline distT="0" distB="0" distL="0" distR="0" wp14:anchorId="085C3EE4" wp14:editId="411C6C15">
            <wp:extent cx="5688000" cy="3706782"/>
            <wp:effectExtent l="0" t="0" r="8255" b="8255"/>
            <wp:docPr id="7" name="Picture 7" descr="Histogram showing the age distribution of individuals included in the study (bars), with the age distribution of people aged 18 years and over in Victoria as per the 2021 census indicated with a line. The figure shows that the age distribution in the study cohort generally follows that within the Victorian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istogram showing the age distribution of individuals included in the study (bars), with the age distribution of people aged 18 years and over in Victoria as per the 2021 census indicated with a line. The figure shows that the age distribution in the study cohort generally follows that within the Victorian population. "/>
                    <pic:cNvPicPr/>
                  </pic:nvPicPr>
                  <pic:blipFill>
                    <a:blip r:embed="rId19">
                      <a:extLst>
                        <a:ext uri="{28A0092B-C50C-407E-A947-70E740481C1C}">
                          <a14:useLocalDpi xmlns:a14="http://schemas.microsoft.com/office/drawing/2010/main" val="0"/>
                        </a:ext>
                      </a:extLst>
                    </a:blip>
                    <a:stretch>
                      <a:fillRect/>
                    </a:stretch>
                  </pic:blipFill>
                  <pic:spPr>
                    <a:xfrm>
                      <a:off x="0" y="0"/>
                      <a:ext cx="5688000" cy="3706782"/>
                    </a:xfrm>
                    <a:prstGeom prst="rect">
                      <a:avLst/>
                    </a:prstGeom>
                  </pic:spPr>
                </pic:pic>
              </a:graphicData>
            </a:graphic>
          </wp:inline>
        </w:drawing>
      </w:r>
    </w:p>
    <w:p w14:paraId="731BF9AC" w14:textId="6291DB3B" w:rsidR="00AC0F5D" w:rsidRDefault="000E0AC0" w:rsidP="00AC7141">
      <w:pPr>
        <w:pStyle w:val="CDIFigure-Table-Footnote"/>
      </w:pPr>
      <w:proofErr w:type="spellStart"/>
      <w:r w:rsidRPr="000E0AC0">
        <w:t>a</w:t>
      </w:r>
      <w:proofErr w:type="spellEnd"/>
      <w:r w:rsidRPr="000E0AC0">
        <w:tab/>
      </w:r>
      <w:proofErr w:type="gramStart"/>
      <w:r w:rsidRPr="000E0AC0">
        <w:t>The</w:t>
      </w:r>
      <w:proofErr w:type="gramEnd"/>
      <w:r w:rsidRPr="000E0AC0">
        <w:t xml:space="preserve"> orange line indicates the age distribution of ≥ 18-year-olds in Victoria, as per 2021 census data (ABS).</w:t>
      </w:r>
    </w:p>
    <w:p w14:paraId="723A062C" w14:textId="77777777" w:rsidR="00293354" w:rsidRDefault="00293354" w:rsidP="000E0AC0">
      <w:pPr>
        <w:pStyle w:val="CDIFigure-Table-FirstFootnote"/>
        <w:sectPr w:rsidR="00293354" w:rsidSect="000E0AC0">
          <w:footerReference w:type="default" r:id="rId20"/>
          <w:pgSz w:w="11907" w:h="16840" w:code="9"/>
          <w:pgMar w:top="1304" w:right="1134" w:bottom="1304" w:left="1134" w:header="709" w:footer="527" w:gutter="0"/>
          <w:cols w:space="708"/>
          <w:docGrid w:linePitch="360"/>
        </w:sectPr>
      </w:pPr>
    </w:p>
    <w:p w14:paraId="3CF9FD1C" w14:textId="5CE0A9A7" w:rsidR="00293354" w:rsidRDefault="00293354" w:rsidP="00293354">
      <w:pPr>
        <w:pStyle w:val="CDIFigure-Table-Title"/>
      </w:pPr>
      <w:r w:rsidRPr="00293354">
        <w:lastRenderedPageBreak/>
        <w:t xml:space="preserve">Figure A.2: Percentage inhibition against wildtype SARS-CoV-2 and Omicron BA.4/BA.5 in age </w:t>
      </w:r>
      <w:proofErr w:type="spellStart"/>
      <w:proofErr w:type="gramStart"/>
      <w:r w:rsidRPr="00293354">
        <w:t>strata</w:t>
      </w:r>
      <w:r w:rsidRPr="00293354">
        <w:rPr>
          <w:vertAlign w:val="superscript"/>
        </w:rPr>
        <w:t>a,b</w:t>
      </w:r>
      <w:proofErr w:type="spellEnd"/>
      <w:proofErr w:type="gramEnd"/>
    </w:p>
    <w:p w14:paraId="5ACD2507" w14:textId="209DC3C2" w:rsidR="00293354" w:rsidRDefault="00293354" w:rsidP="00293354">
      <w:pPr>
        <w:pStyle w:val="CDIFigure-Table-ImagePlaceholder"/>
      </w:pPr>
      <w:r>
        <w:rPr>
          <w:noProof/>
          <w14:ligatures w14:val="none"/>
        </w:rPr>
        <w:drawing>
          <wp:inline distT="0" distB="0" distL="0" distR="0" wp14:anchorId="5F6BA558" wp14:editId="1DFA5154">
            <wp:extent cx="9133200" cy="4219200"/>
            <wp:effectExtent l="0" t="0" r="0" b="0"/>
            <wp:docPr id="8" name="Picture 8" descr="Adjusted percentage inhibition against wildtype SARS-CoV-2 and Omicron BA.4/5 by age. Points represent percentage inhibition for each sample, whereas diamonds and error bars represent the mean and 95% confidence interval percentage inhibition as estimated by the beta regression model. Estimates are adjusted for sex and region of residence. The threshold for test positivity (20%) is indicated by the horizontal dotted line. Inhibition against wildtype SARS-CoV-2 was relatively high among all age groups, but for Omicron BA.4/5 inhibition was lower and fell with increasing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djusted percentage inhibition against wildtype SARS-CoV-2 and Omicron BA.4/5 by age. Points represent percentage inhibition for each sample, whereas diamonds and error bars represent the mean and 95% confidence interval percentage inhibition as estimated by the beta regression model. Estimates are adjusted for sex and region of residence. The threshold for test positivity (20%) is indicated by the horizontal dotted line. Inhibition against wildtype SARS-CoV-2 was relatively high among all age groups, but for Omicron BA.4/5 inhibition was lower and fell with increasing age."/>
                    <pic:cNvPicPr/>
                  </pic:nvPicPr>
                  <pic:blipFill>
                    <a:blip r:embed="rId21">
                      <a:extLst>
                        <a:ext uri="{28A0092B-C50C-407E-A947-70E740481C1C}">
                          <a14:useLocalDpi xmlns:a14="http://schemas.microsoft.com/office/drawing/2010/main" val="0"/>
                        </a:ext>
                      </a:extLst>
                    </a:blip>
                    <a:stretch>
                      <a:fillRect/>
                    </a:stretch>
                  </pic:blipFill>
                  <pic:spPr>
                    <a:xfrm>
                      <a:off x="0" y="0"/>
                      <a:ext cx="9133200" cy="4219200"/>
                    </a:xfrm>
                    <a:prstGeom prst="rect">
                      <a:avLst/>
                    </a:prstGeom>
                  </pic:spPr>
                </pic:pic>
              </a:graphicData>
            </a:graphic>
          </wp:inline>
        </w:drawing>
      </w:r>
    </w:p>
    <w:p w14:paraId="4CAB7D17" w14:textId="77777777" w:rsidR="00293354" w:rsidRDefault="00293354" w:rsidP="00293354">
      <w:pPr>
        <w:pStyle w:val="CDIFigure-Table-Footnote"/>
      </w:pPr>
      <w:proofErr w:type="spellStart"/>
      <w:r>
        <w:t>a</w:t>
      </w:r>
      <w:proofErr w:type="spellEnd"/>
      <w:r>
        <w:tab/>
      </w:r>
      <w:proofErr w:type="gramStart"/>
      <w:r>
        <w:t>The</w:t>
      </w:r>
      <w:proofErr w:type="gramEnd"/>
      <w:r>
        <w:t xml:space="preserve"> threshold for test positivity (20%) is indicated by the horizontal dotted line (n = 396).</w:t>
      </w:r>
    </w:p>
    <w:p w14:paraId="72590CF9" w14:textId="3203C866" w:rsidR="00293354" w:rsidRDefault="00293354" w:rsidP="00293354">
      <w:pPr>
        <w:pStyle w:val="CDIFigure-Table-Footnote"/>
      </w:pPr>
      <w:r>
        <w:t>b</w:t>
      </w:r>
      <w:r>
        <w:tab/>
        <w:t xml:space="preserve">WT: wildtype; BA.4/BA.5: Omicron BA.4/BA.5 sub-variants; </w:t>
      </w:r>
      <w:proofErr w:type="spellStart"/>
      <w:r>
        <w:t>sVNT</w:t>
      </w:r>
      <w:proofErr w:type="spellEnd"/>
      <w:r>
        <w:t>: surrogate virus neutralisation test.</w:t>
      </w:r>
      <w:r>
        <w:br w:type="page"/>
      </w:r>
    </w:p>
    <w:p w14:paraId="2DF93B43" w14:textId="20EF951C" w:rsidR="00293354" w:rsidRDefault="00293354" w:rsidP="00293354">
      <w:pPr>
        <w:pStyle w:val="CDIFigure-Table-Title"/>
      </w:pPr>
      <w:r w:rsidRPr="00293354">
        <w:lastRenderedPageBreak/>
        <w:t>Figure A.3: Proportions of individuals (A) with a COVID-19 case notification prior to blood sampling by anti-nucleocapsid serostatus and (B) who are</w:t>
      </w:r>
      <w:r w:rsidR="00AC7141">
        <w:br/>
      </w:r>
      <w:r w:rsidRPr="00293354">
        <w:t xml:space="preserve">anti-nucleocapsid seropositive by prior COVID-19 case notification </w:t>
      </w:r>
      <w:proofErr w:type="spellStart"/>
      <w:proofErr w:type="gramStart"/>
      <w:r w:rsidRPr="00293354">
        <w:t>status</w:t>
      </w:r>
      <w:r w:rsidRPr="00293354">
        <w:rPr>
          <w:vertAlign w:val="superscript"/>
        </w:rPr>
        <w:t>a,b</w:t>
      </w:r>
      <w:proofErr w:type="spellEnd"/>
      <w:proofErr w:type="gramEnd"/>
    </w:p>
    <w:p w14:paraId="736CEF11" w14:textId="029EE33D" w:rsidR="00293354" w:rsidRDefault="00293354" w:rsidP="00293354">
      <w:pPr>
        <w:pStyle w:val="CDIFigure-Table-ImagePlaceholder"/>
      </w:pPr>
      <w:r>
        <w:rPr>
          <w:noProof/>
          <w14:ligatures w14:val="none"/>
        </w:rPr>
        <w:drawing>
          <wp:inline distT="0" distB="0" distL="0" distR="0" wp14:anchorId="24804D10" wp14:editId="44EF0465">
            <wp:extent cx="8604000" cy="5049976"/>
            <wp:effectExtent l="0" t="0" r="6985" b="0"/>
            <wp:docPr id="9" name="Picture 9" descr="Proportions of individuals with a COVID-19 case notification prior to blood sampling by anti-nucleocapsid serostatus (Panel A) and proportion of individuals who were anti-nucleocapsid seropositive by prior COVID-19 case notification status (Panel B). Proportions are stratified by the number of COVID-19 vaccine doses received as per the sensitivity analysis. Among individuals who were anti-nucleocapsid antibody positive, the proportion with a COVID-19 case notification was higher for people who had received three or four vaccine doses compared to fewer vaccine doses (but confidence intervals for those who had received zero doses or one dose were very wide). Among individuals who did not have a COVID-19 case notification, the proportion who were anti-nucleocapsid antibody positive decreased with increasing COVID-19 vaccine doses received (but confidence intervals for those who had received zero doses or one dose were very 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roportions of individuals with a COVID-19 case notification prior to blood sampling by anti-nucleocapsid serostatus (Panel A) and proportion of individuals who were anti-nucleocapsid seropositive by prior COVID-19 case notification status (Panel B). Proportions are stratified by the number of COVID-19 vaccine doses received as per the sensitivity analysis. Among individuals who were anti-nucleocapsid antibody positive, the proportion with a COVID-19 case notification was higher for people who had received three or four vaccine doses compared to fewer vaccine doses (but confidence intervals for those who had received zero doses or one dose were very wide). Among individuals who did not have a COVID-19 case notification, the proportion who were anti-nucleocapsid antibody positive decreased with increasing COVID-19 vaccine doses received (but confidence intervals for those who had received zero doses or one dose were very wide)."/>
                    <pic:cNvPicPr/>
                  </pic:nvPicPr>
                  <pic:blipFill>
                    <a:blip r:embed="rId22">
                      <a:extLst>
                        <a:ext uri="{28A0092B-C50C-407E-A947-70E740481C1C}">
                          <a14:useLocalDpi xmlns:a14="http://schemas.microsoft.com/office/drawing/2010/main" val="0"/>
                        </a:ext>
                      </a:extLst>
                    </a:blip>
                    <a:stretch>
                      <a:fillRect/>
                    </a:stretch>
                  </pic:blipFill>
                  <pic:spPr>
                    <a:xfrm>
                      <a:off x="0" y="0"/>
                      <a:ext cx="8604000" cy="5049976"/>
                    </a:xfrm>
                    <a:prstGeom prst="rect">
                      <a:avLst/>
                    </a:prstGeom>
                  </pic:spPr>
                </pic:pic>
              </a:graphicData>
            </a:graphic>
          </wp:inline>
        </w:drawing>
      </w:r>
    </w:p>
    <w:p w14:paraId="41583EF6" w14:textId="77777777" w:rsidR="00293354" w:rsidRDefault="00293354" w:rsidP="00293354">
      <w:pPr>
        <w:pStyle w:val="CDIFigure-Table-Footnote"/>
      </w:pPr>
      <w:r>
        <w:t>a</w:t>
      </w:r>
      <w:r>
        <w:tab/>
        <w:t>Proportions are stratified by number of COVID-19 vaccine doses received as per the sensitivity analysis (n = 1,971).</w:t>
      </w:r>
    </w:p>
    <w:p w14:paraId="2959B9CF" w14:textId="1099CBBE" w:rsidR="00293354" w:rsidRDefault="00293354" w:rsidP="00293354">
      <w:pPr>
        <w:pStyle w:val="CDIFigure-Table-Footnote"/>
      </w:pPr>
      <w:r>
        <w:t>b</w:t>
      </w:r>
      <w:r>
        <w:tab/>
        <w:t>95% CI: 95% confidence interval.</w:t>
      </w:r>
    </w:p>
    <w:p w14:paraId="1346402F" w14:textId="77777777" w:rsidR="00AC0F5D" w:rsidRDefault="00AC0F5D" w:rsidP="00B33E0B">
      <w:pPr>
        <w:sectPr w:rsidR="00AC0F5D" w:rsidSect="00293354">
          <w:pgSz w:w="16840" w:h="11907" w:orient="landscape" w:code="9"/>
          <w:pgMar w:top="1134" w:right="1304" w:bottom="1134" w:left="1304" w:header="709" w:footer="527" w:gutter="0"/>
          <w:cols w:space="708"/>
          <w:docGrid w:linePitch="360"/>
        </w:sectPr>
      </w:pPr>
    </w:p>
    <w:p w14:paraId="091918EE"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22DE0B60"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3B671C18" w14:textId="77777777" w:rsidR="000705FF" w:rsidRPr="0089025E" w:rsidRDefault="000705FF" w:rsidP="00194A12">
      <w:pPr>
        <w:pStyle w:val="CDICopyrightText"/>
      </w:pPr>
      <w:r w:rsidRPr="0089025E">
        <w:t xml:space="preserve">© </w:t>
      </w:r>
      <w:fldSimple w:instr=" DOCPROPERTY  Year  \* MERGEFORMAT ">
        <w:r w:rsidR="00832FD3">
          <w:t>2024</w:t>
        </w:r>
      </w:fldSimple>
      <w:r w:rsidRPr="0089025E">
        <w:t xml:space="preserve"> Commonwealth of Australia as represented by the Department of Health and Aged Care</w:t>
      </w:r>
    </w:p>
    <w:p w14:paraId="7DADA3B9" w14:textId="77777777" w:rsidR="00DE4482" w:rsidRPr="0089025E" w:rsidRDefault="00DE4482" w:rsidP="00194A12">
      <w:pPr>
        <w:pStyle w:val="CDICopyrightText"/>
      </w:pPr>
      <w:r w:rsidRPr="0089025E">
        <w:t>ISSN: 2209-6051 Online</w:t>
      </w:r>
    </w:p>
    <w:p w14:paraId="096EFCB4"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01E128B0"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5E28A41" w14:textId="77777777" w:rsidR="000705FF" w:rsidRPr="00194A12" w:rsidRDefault="000705FF" w:rsidP="00194A12">
      <w:pPr>
        <w:pStyle w:val="CDICopyrightHeading"/>
      </w:pPr>
      <w:r w:rsidRPr="00194A12">
        <w:t>Restrictions</w:t>
      </w:r>
    </w:p>
    <w:p w14:paraId="4EDEC0CC"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52973324"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0D91CE8A"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2DAD2B2C"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675E02CF" w14:textId="77777777" w:rsidR="000705FF" w:rsidRPr="0089025E" w:rsidRDefault="000705FF" w:rsidP="00AC0F5D">
      <w:pPr>
        <w:pStyle w:val="CDICopyrightBullets"/>
      </w:pPr>
      <w:r w:rsidRPr="0089025E">
        <w:t>any signatures; and</w:t>
      </w:r>
    </w:p>
    <w:p w14:paraId="1C9EB883" w14:textId="77777777" w:rsidR="000705FF" w:rsidRPr="0089025E" w:rsidRDefault="000705FF" w:rsidP="00AC0F5D">
      <w:pPr>
        <w:pStyle w:val="CDICopyrightBullets"/>
      </w:pPr>
      <w:r w:rsidRPr="0089025E">
        <w:t xml:space="preserve">any material belonging to third parties. </w:t>
      </w:r>
    </w:p>
    <w:p w14:paraId="10192FFE" w14:textId="77777777" w:rsidR="000F223B" w:rsidRPr="0089025E" w:rsidRDefault="000705FF" w:rsidP="00194A12">
      <w:pPr>
        <w:pStyle w:val="CDICopyrightHeading"/>
      </w:pPr>
      <w:r w:rsidRPr="0089025E">
        <w:t>Disclaimer</w:t>
      </w:r>
    </w:p>
    <w:p w14:paraId="3152D1CE"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1479DF5" w14:textId="77777777" w:rsidR="000F223B" w:rsidRPr="0089025E" w:rsidRDefault="000705FF" w:rsidP="00194A12">
      <w:pPr>
        <w:pStyle w:val="CDICopyrightHeading"/>
      </w:pPr>
      <w:r w:rsidRPr="0089025E">
        <w:t>Enquiries</w:t>
      </w:r>
    </w:p>
    <w:p w14:paraId="43839CD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3" w:history="1">
        <w:r w:rsidR="006307C1" w:rsidRPr="005A4A08">
          <w:rPr>
            <w:rStyle w:val="Hyperlink"/>
          </w:rPr>
          <w:t>cdi.editor@health.gov.au</w:t>
        </w:r>
      </w:hyperlink>
      <w:r w:rsidR="006307C1">
        <w:t xml:space="preserve"> </w:t>
      </w:r>
      <w:r w:rsidRPr="0089025E">
        <w:t xml:space="preserve"> </w:t>
      </w:r>
    </w:p>
    <w:p w14:paraId="2B24BFF8" w14:textId="77777777" w:rsidR="000F223B" w:rsidRPr="0089025E" w:rsidRDefault="000705FF" w:rsidP="00194A12">
      <w:pPr>
        <w:pStyle w:val="CDICopyrightHeading"/>
      </w:pPr>
      <w:r w:rsidRPr="0089025E">
        <w:t>Communicable Diseases Network Australia</w:t>
      </w:r>
    </w:p>
    <w:p w14:paraId="3BE55B18"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68E484ED" w14:textId="77777777" w:rsidR="000A5F42" w:rsidRPr="0089025E" w:rsidRDefault="000A5F42" w:rsidP="00D43E8E">
      <w:pPr>
        <w:pStyle w:val="CDICopyrightText"/>
      </w:pPr>
      <w:r w:rsidRPr="0089025E">
        <w:rPr>
          <w:b/>
          <w:bCs/>
        </w:rPr>
        <w:t>Editor</w:t>
      </w:r>
      <w:r w:rsidRPr="0089025E">
        <w:t xml:space="preserve">: </w:t>
      </w:r>
      <w:r w:rsidR="008B62FF" w:rsidRPr="0089025E">
        <w:t xml:space="preserve">Christina </w:t>
      </w:r>
      <w:proofErr w:type="spellStart"/>
      <w:r w:rsidR="008B62FF" w:rsidRPr="0089025E">
        <w:t>Bareja</w:t>
      </w:r>
      <w:proofErr w:type="spellEnd"/>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21CC76CE"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w:t>
      </w:r>
      <w:proofErr w:type="spellStart"/>
      <w:r w:rsidR="00CF75DF" w:rsidRPr="0089025E">
        <w:t>Durrheim</w:t>
      </w:r>
      <w:proofErr w:type="spellEnd"/>
      <w:r w:rsidR="00CF75DF" w:rsidRPr="0089025E">
        <w:t xml:space="preserve">, Mark </w:t>
      </w:r>
      <w:proofErr w:type="spellStart"/>
      <w:r w:rsidR="00CF75DF" w:rsidRPr="0089025E">
        <w:t>Ferson</w:t>
      </w:r>
      <w:proofErr w:type="spellEnd"/>
      <w:r w:rsidR="00CF75DF" w:rsidRPr="0089025E">
        <w:t xml:space="preserve">, Clare </w:t>
      </w:r>
      <w:proofErr w:type="spellStart"/>
      <w:r w:rsidR="00CF75DF" w:rsidRPr="0089025E">
        <w:t>Huppatz</w:t>
      </w:r>
      <w:proofErr w:type="spellEnd"/>
      <w:r w:rsidR="00CF75DF" w:rsidRPr="0089025E">
        <w:t>, John Kaldor, Martyn Kirk, Meru</w:t>
      </w:r>
      <w:r w:rsidR="0089025E" w:rsidRPr="0089025E">
        <w:t> </w:t>
      </w:r>
      <w:proofErr w:type="spellStart"/>
      <w:proofErr w:type="gramStart"/>
      <w:r w:rsidR="00CF75DF" w:rsidRPr="0089025E">
        <w:t>Sheel</w:t>
      </w:r>
      <w:proofErr w:type="spellEnd"/>
      <w:proofErr w:type="gramEnd"/>
      <w:r w:rsidR="00CF75DF" w:rsidRPr="0089025E">
        <w:t xml:space="preserve"> and Steph</w:t>
      </w:r>
      <w:r w:rsidR="00D33918">
        <w:t>anie</w:t>
      </w:r>
      <w:r w:rsidR="00CF75DF" w:rsidRPr="0089025E">
        <w:t> Williams</w:t>
      </w:r>
    </w:p>
    <w:p w14:paraId="3BF6763B" w14:textId="77777777" w:rsidR="00DE4482" w:rsidRPr="0089025E" w:rsidRDefault="000A5F42" w:rsidP="00194A12">
      <w:pPr>
        <w:pStyle w:val="CDICopyrightHeading"/>
      </w:pPr>
      <w:r w:rsidRPr="0089025E">
        <w:t>Contacts</w:t>
      </w:r>
    </w:p>
    <w:p w14:paraId="79229484" w14:textId="77777777" w:rsidR="00682E53" w:rsidRDefault="00E54BBD" w:rsidP="00194A12">
      <w:pPr>
        <w:pStyle w:val="CDICopyrightText"/>
      </w:pPr>
      <w:r w:rsidRPr="0089025E">
        <w:t>CDI is produced by</w:t>
      </w:r>
      <w:r w:rsidR="00682E53">
        <w:t>:</w:t>
      </w:r>
    </w:p>
    <w:p w14:paraId="3EA8790D" w14:textId="77777777" w:rsidR="000A5F42" w:rsidRPr="0089025E" w:rsidRDefault="00470C19" w:rsidP="00194A12">
      <w:pPr>
        <w:pStyle w:val="CDICopyrightText"/>
      </w:pPr>
      <w:r>
        <w:t>Health Security &amp; Emergency Management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6038AD2E" w14:textId="77777777" w:rsidR="00DA2E9E" w:rsidRPr="0089025E" w:rsidRDefault="00DA2E9E" w:rsidP="00194A12">
      <w:pPr>
        <w:pStyle w:val="CDICopyrightText"/>
      </w:pPr>
      <w:r w:rsidRPr="0089025E">
        <w:t xml:space="preserve">Website: </w:t>
      </w:r>
      <w:hyperlink r:id="rId24" w:history="1">
        <w:r w:rsidR="00AC0F5D" w:rsidRPr="000C6EB5">
          <w:rPr>
            <w:rStyle w:val="Hyperlink"/>
          </w:rPr>
          <w:t>www.health.gov.au/cdi</w:t>
        </w:r>
      </w:hyperlink>
      <w:r w:rsidR="00AC0F5D">
        <w:t xml:space="preserve"> </w:t>
      </w:r>
    </w:p>
    <w:p w14:paraId="7958A628" w14:textId="77777777" w:rsidR="000A5F42" w:rsidRPr="0089025E" w:rsidRDefault="000A5F42" w:rsidP="00194A12">
      <w:pPr>
        <w:pStyle w:val="CDICopyrightText"/>
      </w:pPr>
      <w:r w:rsidRPr="0089025E">
        <w:t xml:space="preserve">Email: </w:t>
      </w:r>
      <w:hyperlink r:id="rId25" w:history="1">
        <w:r w:rsidR="00AC0F5D" w:rsidRPr="000C6EB5">
          <w:rPr>
            <w:rStyle w:val="Hyperlink"/>
          </w:rPr>
          <w:t>cdi.editor@health.gov.au</w:t>
        </w:r>
      </w:hyperlink>
      <w:r w:rsidR="00AC0F5D">
        <w:t xml:space="preserve"> </w:t>
      </w:r>
    </w:p>
    <w:p w14:paraId="58EB54AD"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571C4C56"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3A950C3" w14:textId="77777777" w:rsidR="000A5F42" w:rsidRPr="0089025E" w:rsidRDefault="000A5F42" w:rsidP="00194A12">
      <w:pPr>
        <w:pStyle w:val="CDICopyrightText"/>
      </w:pPr>
      <w:r w:rsidRPr="0089025E">
        <w:t xml:space="preserve">Further enquiries should be directed to: </w:t>
      </w:r>
      <w:hyperlink r:id="rId26" w:history="1">
        <w:r w:rsidR="00AC0F5D" w:rsidRPr="000C6EB5">
          <w:rPr>
            <w:rStyle w:val="Hyperlink"/>
          </w:rPr>
          <w:t>cdi.editor@health.gov.au</w:t>
        </w:r>
      </w:hyperlink>
      <w:r w:rsidR="00AC0F5D">
        <w:t xml:space="preserve"> </w:t>
      </w:r>
    </w:p>
    <w:sectPr w:rsidR="000A5F42" w:rsidRPr="0089025E" w:rsidSect="001A26DD">
      <w:footerReference w:type="default" r:id="rId27"/>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EA7C" w14:textId="77777777" w:rsidR="007761F3" w:rsidRDefault="007761F3" w:rsidP="00E54DBA">
      <w:r>
        <w:separator/>
      </w:r>
    </w:p>
    <w:p w14:paraId="5F1559CE" w14:textId="77777777" w:rsidR="007761F3" w:rsidRDefault="007761F3"/>
    <w:p w14:paraId="51232DF8" w14:textId="77777777" w:rsidR="007761F3" w:rsidRDefault="007761F3" w:rsidP="008714B0"/>
  </w:endnote>
  <w:endnote w:type="continuationSeparator" w:id="0">
    <w:p w14:paraId="29124995" w14:textId="77777777" w:rsidR="007761F3" w:rsidRDefault="007761F3" w:rsidP="00E54DBA">
      <w:r>
        <w:continuationSeparator/>
      </w:r>
    </w:p>
    <w:p w14:paraId="3D9DAF5F" w14:textId="77777777" w:rsidR="007761F3" w:rsidRDefault="007761F3"/>
    <w:p w14:paraId="655DABF9" w14:textId="77777777" w:rsidR="007761F3" w:rsidRDefault="007761F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7F94"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1C65" w14:textId="4960D165" w:rsidR="00A14629" w:rsidRPr="00912A31" w:rsidRDefault="00912A31" w:rsidP="00217C2E">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proofErr w:type="spellStart"/>
    <w:r w:rsidRPr="00F664DD">
      <w:rPr>
        <w:i/>
        <w:iCs/>
      </w:rPr>
      <w:t>Commun</w:t>
    </w:r>
    <w:proofErr w:type="spellEnd"/>
    <w:r w:rsidRPr="00F664DD">
      <w:rPr>
        <w:i/>
        <w:iCs/>
      </w:rPr>
      <w:t xml:space="preserve">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832FD3">
        <w:t>2024</w:t>
      </w:r>
    </w:fldSimple>
    <w:r w:rsidRPr="001D0612">
      <w:t xml:space="preserve"> </w:t>
    </w:r>
    <w:fldSimple w:instr=" DOCPROPERTY  Vol  \* MERGEFORMAT ">
      <w:r w:rsidR="00832FD3">
        <w:t>48</w:t>
      </w:r>
    </w:fldSimple>
    <w:r w:rsidRPr="001D0612">
      <w:t xml:space="preserve">  (</w:t>
    </w:r>
    <w:fldSimple w:instr=" DOCPROPERTY  DOI  \* MERGEFORMAT ">
      <w:r w:rsidR="006C0D9D">
        <w:t>https://doi.org/10.33321/cdi.2024.48.28</w:t>
      </w:r>
    </w:fldSimple>
    <w:r w:rsidRPr="001D0612">
      <w:t xml:space="preserve">) </w:t>
    </w:r>
    <w:r w:rsidRPr="00912A31">
      <w:rPr>
        <w:rStyle w:val="CDICopyrightTextBullet"/>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6C0D9D">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6DF2"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A3BF" w14:textId="71E2B639"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proofErr w:type="spellStart"/>
    <w:r w:rsidRPr="00F664DD">
      <w:rPr>
        <w:i/>
        <w:iCs/>
      </w:rPr>
      <w:t>Commun</w:t>
    </w:r>
    <w:proofErr w:type="spellEnd"/>
    <w:r w:rsidRPr="00F664DD">
      <w:rPr>
        <w:i/>
        <w:iCs/>
      </w:rPr>
      <w:t xml:space="preserve">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832FD3">
        <w:t>2024</w:t>
      </w:r>
    </w:fldSimple>
    <w:r w:rsidRPr="001D0612">
      <w:t xml:space="preserve"> </w:t>
    </w:r>
    <w:fldSimple w:instr=" DOCPROPERTY  Vol  \* MERGEFORMAT ">
      <w:r w:rsidR="00832FD3">
        <w:t>48</w:t>
      </w:r>
    </w:fldSimple>
    <w:r w:rsidRPr="001D0612">
      <w:t xml:space="preserve">  (</w:t>
    </w:r>
    <w:fldSimple w:instr=" DOCPROPERTY  DOI  \* MERGEFORMAT ">
      <w:r w:rsidR="006C0D9D">
        <w:t>https://doi.org/10.33321/cdi.2024.48.28</w:t>
      </w:r>
    </w:fldSimple>
    <w:r w:rsidRPr="001D0612">
      <w:t xml:space="preserve">) </w:t>
    </w:r>
    <w:r w:rsidRPr="001D0612">
      <w:rPr>
        <w:rFonts w:cstheme="minorHAnsi"/>
        <w:color w:val="033636" w:themeColor="text2"/>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6C0D9D">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C6B7" w14:textId="321CDE6E"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proofErr w:type="spellStart"/>
    <w:r w:rsidRPr="00F664DD">
      <w:rPr>
        <w:i/>
        <w:iCs/>
      </w:rPr>
      <w:t>Commun</w:t>
    </w:r>
    <w:proofErr w:type="spellEnd"/>
    <w:r w:rsidRPr="00F664DD">
      <w:rPr>
        <w:i/>
        <w:iCs/>
      </w:rPr>
      <w:t xml:space="preserve">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832FD3">
        <w:t>2024</w:t>
      </w:r>
    </w:fldSimple>
    <w:r w:rsidRPr="001D0612">
      <w:t xml:space="preserve"> </w:t>
    </w:r>
    <w:fldSimple w:instr=" DOCPROPERTY  Vol  \* MERGEFORMAT ">
      <w:r w:rsidR="00832FD3">
        <w:t>48</w:t>
      </w:r>
    </w:fldSimple>
    <w:r w:rsidRPr="001D0612">
      <w:t xml:space="preserve">  (</w:t>
    </w:r>
    <w:fldSimple w:instr=" DOCPROPERTY  DOI  \* MERGEFORMAT ">
      <w:r w:rsidR="006C0D9D">
        <w:t>https://doi.org/10.33321/cdi.2024.48.28</w:t>
      </w:r>
    </w:fldSimple>
    <w:r w:rsidRPr="001D0612">
      <w:t xml:space="preserve">) </w:t>
    </w:r>
    <w:r w:rsidRPr="001D0612">
      <w:rPr>
        <w:rFonts w:cstheme="minorHAnsi"/>
        <w:color w:val="033636" w:themeColor="text2"/>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6C0D9D">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FF6D" w14:textId="77777777" w:rsidR="007761F3" w:rsidRPr="00B91FB5" w:rsidRDefault="007761F3" w:rsidP="00B91FB5">
      <w:pPr>
        <w:spacing w:line="240" w:lineRule="auto"/>
        <w:rPr>
          <w:sz w:val="18"/>
          <w:szCs w:val="18"/>
        </w:rPr>
      </w:pPr>
      <w:r w:rsidRPr="00B91FB5">
        <w:rPr>
          <w:sz w:val="18"/>
          <w:szCs w:val="18"/>
        </w:rPr>
        <w:separator/>
      </w:r>
    </w:p>
  </w:footnote>
  <w:footnote w:type="continuationSeparator" w:id="0">
    <w:p w14:paraId="54CA1E77" w14:textId="77777777" w:rsidR="007761F3" w:rsidRDefault="007761F3" w:rsidP="00E54DBA">
      <w:r>
        <w:continuationSeparator/>
      </w:r>
    </w:p>
  </w:footnote>
  <w:footnote w:type="continuationNotice" w:id="1">
    <w:p w14:paraId="32FD8312" w14:textId="77777777" w:rsidR="007761F3" w:rsidRPr="00224EFF" w:rsidRDefault="007761F3" w:rsidP="00224EFF"/>
  </w:footnote>
  <w:footnote w:id="2">
    <w:p w14:paraId="40035B4F" w14:textId="330B6BC2" w:rsidR="006B480D" w:rsidRDefault="006B480D" w:rsidP="006B480D">
      <w:pPr>
        <w:pStyle w:val="CDIFigure-Table-Footnote"/>
      </w:pPr>
      <w:r>
        <w:rPr>
          <w:vertAlign w:val="superscript"/>
        </w:rPr>
        <w:footnoteRef/>
      </w:r>
      <w:r>
        <w:tab/>
        <w:t>https://www.legislation.vic.gov.au/in-force/acts/public-health-and-wellbeing-act-2008/056.</w:t>
      </w:r>
    </w:p>
  </w:footnote>
  <w:footnote w:id="3">
    <w:p w14:paraId="3E2D8CC3" w14:textId="3C357C80" w:rsidR="006B480D" w:rsidRDefault="006B480D" w:rsidP="006B480D">
      <w:pPr>
        <w:pStyle w:val="CDIFigure-Table-Footnote"/>
      </w:pPr>
      <w:r>
        <w:rPr>
          <w:vertAlign w:val="superscript"/>
        </w:rPr>
        <w:footnoteRef/>
      </w:r>
      <w:r>
        <w:tab/>
        <w:t>https://www.legislation.vic.gov.au/in-force/acts/health-records-act-2001/047.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B87A"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6419"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E062"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6AF3C15D" wp14:editId="244E0100">
          <wp:simplePos x="0" y="0"/>
          <wp:positionH relativeFrom="page">
            <wp:align>left</wp:align>
          </wp:positionH>
          <wp:positionV relativeFrom="page">
            <wp:align>top</wp:align>
          </wp:positionV>
          <wp:extent cx="7567200" cy="2268000"/>
          <wp:effectExtent l="0" t="0" r="0" b="0"/>
          <wp:wrapNone/>
          <wp:docPr id="1" name="Picture 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053" w:hanging="360"/>
      </w:pPr>
    </w:lvl>
    <w:lvl w:ilvl="1" w:tplc="0C090019" w:tentative="1">
      <w:start w:val="1"/>
      <w:numFmt w:val="lowerLetter"/>
      <w:lvlText w:val="%2."/>
      <w:lvlJc w:val="left"/>
      <w:pPr>
        <w:ind w:left="3773" w:hanging="360"/>
      </w:pPr>
    </w:lvl>
    <w:lvl w:ilvl="2" w:tplc="0C09001B" w:tentative="1">
      <w:start w:val="1"/>
      <w:numFmt w:val="lowerRoman"/>
      <w:lvlText w:val="%3."/>
      <w:lvlJc w:val="right"/>
      <w:pPr>
        <w:ind w:left="4493" w:hanging="180"/>
      </w:pPr>
    </w:lvl>
    <w:lvl w:ilvl="3" w:tplc="0C09000F" w:tentative="1">
      <w:start w:val="1"/>
      <w:numFmt w:val="decimal"/>
      <w:lvlText w:val="%4."/>
      <w:lvlJc w:val="left"/>
      <w:pPr>
        <w:ind w:left="5213" w:hanging="360"/>
      </w:pPr>
    </w:lvl>
    <w:lvl w:ilvl="4" w:tplc="0C090019" w:tentative="1">
      <w:start w:val="1"/>
      <w:numFmt w:val="lowerLetter"/>
      <w:lvlText w:val="%5."/>
      <w:lvlJc w:val="left"/>
      <w:pPr>
        <w:ind w:left="5933" w:hanging="360"/>
      </w:pPr>
    </w:lvl>
    <w:lvl w:ilvl="5" w:tplc="0C09001B" w:tentative="1">
      <w:start w:val="1"/>
      <w:numFmt w:val="lowerRoman"/>
      <w:lvlText w:val="%6."/>
      <w:lvlJc w:val="right"/>
      <w:pPr>
        <w:ind w:left="6653" w:hanging="180"/>
      </w:pPr>
    </w:lvl>
    <w:lvl w:ilvl="6" w:tplc="0C09000F" w:tentative="1">
      <w:start w:val="1"/>
      <w:numFmt w:val="decimal"/>
      <w:lvlText w:val="%7."/>
      <w:lvlJc w:val="left"/>
      <w:pPr>
        <w:ind w:left="7373" w:hanging="360"/>
      </w:pPr>
    </w:lvl>
    <w:lvl w:ilvl="7" w:tplc="0C090019" w:tentative="1">
      <w:start w:val="1"/>
      <w:numFmt w:val="lowerLetter"/>
      <w:lvlText w:val="%8."/>
      <w:lvlJc w:val="left"/>
      <w:pPr>
        <w:ind w:left="8093" w:hanging="360"/>
      </w:pPr>
    </w:lvl>
    <w:lvl w:ilvl="8" w:tplc="0C09001B" w:tentative="1">
      <w:start w:val="1"/>
      <w:numFmt w:val="lowerRoman"/>
      <w:lvlText w:val="%9."/>
      <w:lvlJc w:val="right"/>
      <w:pPr>
        <w:ind w:left="8813"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30030733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D3"/>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C6285"/>
    <w:rsid w:val="000D4B4D"/>
    <w:rsid w:val="000E0AC0"/>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17C2E"/>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93354"/>
    <w:rsid w:val="002A3799"/>
    <w:rsid w:val="002A3BCC"/>
    <w:rsid w:val="002A4516"/>
    <w:rsid w:val="002A569F"/>
    <w:rsid w:val="002A5B2C"/>
    <w:rsid w:val="002A7066"/>
    <w:rsid w:val="002B001E"/>
    <w:rsid w:val="002B09B7"/>
    <w:rsid w:val="002B2D97"/>
    <w:rsid w:val="002B493C"/>
    <w:rsid w:val="002B75A9"/>
    <w:rsid w:val="002C21B0"/>
    <w:rsid w:val="002C3003"/>
    <w:rsid w:val="002C5D55"/>
    <w:rsid w:val="002E2FB3"/>
    <w:rsid w:val="002F327B"/>
    <w:rsid w:val="00301626"/>
    <w:rsid w:val="003059EC"/>
    <w:rsid w:val="00316727"/>
    <w:rsid w:val="00316CCD"/>
    <w:rsid w:val="00317F22"/>
    <w:rsid w:val="00324F7E"/>
    <w:rsid w:val="0032526F"/>
    <w:rsid w:val="003316F4"/>
    <w:rsid w:val="003323BC"/>
    <w:rsid w:val="00341720"/>
    <w:rsid w:val="00343991"/>
    <w:rsid w:val="00346D42"/>
    <w:rsid w:val="00346E11"/>
    <w:rsid w:val="0034758C"/>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652D"/>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2C15"/>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29B9"/>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B480D"/>
    <w:rsid w:val="006B7B0F"/>
    <w:rsid w:val="006C0D9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761F3"/>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570B"/>
    <w:rsid w:val="00816B90"/>
    <w:rsid w:val="00817799"/>
    <w:rsid w:val="00821796"/>
    <w:rsid w:val="00822F5F"/>
    <w:rsid w:val="00824FD3"/>
    <w:rsid w:val="00826589"/>
    <w:rsid w:val="00830070"/>
    <w:rsid w:val="00830F91"/>
    <w:rsid w:val="00832FD3"/>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C7141"/>
    <w:rsid w:val="00AD0762"/>
    <w:rsid w:val="00AE0209"/>
    <w:rsid w:val="00AE03D8"/>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15F"/>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739E2"/>
  <w15:docId w15:val="{68CD1081-C6ED-4C27-8921-9DE079BB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0F"/>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character" w:customStyle="1" w:styleId="Superscript">
    <w:name w:val="Superscript"/>
    <w:uiPriority w:val="99"/>
    <w:rsid w:val="00AC7141"/>
    <w:rPr>
      <w:vertAlign w:val="superscript"/>
    </w:rPr>
  </w:style>
  <w:style w:type="paragraph" w:styleId="BodyText">
    <w:name w:val="Body Text"/>
    <w:basedOn w:val="Normal"/>
    <w:link w:val="BodyTextChar"/>
    <w:uiPriority w:val="99"/>
    <w:semiHidden/>
    <w:unhideWhenUsed/>
    <w:rsid w:val="00AE03D8"/>
    <w:pPr>
      <w:spacing w:after="120"/>
    </w:pPr>
  </w:style>
  <w:style w:type="character" w:customStyle="1" w:styleId="BodyTextChar">
    <w:name w:val="Body Text Char"/>
    <w:basedOn w:val="DefaultParagraphFont"/>
    <w:link w:val="BodyText"/>
    <w:uiPriority w:val="99"/>
    <w:semiHidden/>
    <w:rsid w:val="00AE03D8"/>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health.gov.au/cdi"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cdi.editor@health.gov.au"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8</TotalTime>
  <Pages>23</Pages>
  <Words>5995</Words>
  <Characters>34173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Communicable Diseases Intelligence - Differential COVID-19 case ascertainment by age and vaccination status in Victoria, Australia: a serosurveillance and record linkage study</vt:lpstr>
    </vt:vector>
  </TitlesOfParts>
  <Company>Interim Australian Centre for Disease Control</Company>
  <LinksUpToDate>false</LinksUpToDate>
  <CharactersWithSpaces>40088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Differential COVID-19 case ascertainment by age and vaccination status in Victoria, Australia: a serosurveillance and record linkage study</dc:title>
  <dc:subject>Diagnostic testing provides an incomplete picture of past SARS-CoV-2 infection. This study confirms low COVID-19 case notification rates in Victoria in mid-late 2022, varying by age and vaccination history. Individuals without prior infection and only two vaccine doses demonstrated negligible viral neutralisation against currently circulating variants.</dc:subject>
  <dc:creator>Joshua Szanyi;David J Price;Kylie S Carville;Mitch Batty;Sarah Yallop;Suellen Nicholson;Theo Karapanagiotidis;Stacey Rowe;Sheena Sullivan;Vinay Menon;Daniel West;Lakshmi Manoharan;Eliza Copsey;Suman S Majumdar;Brett Sutton;Deborah A Williamson;Jodie McVernon</dc:creator>
  <cp:keywords>COVID-19; SARS-CoV-2; serosurveillance; seroprevalence; antibody; vaccination; testing</cp:keywords>
  <dc:description>© Commonwealth of Australia CC BY-NC-ND</dc:description>
  <cp:lastModifiedBy>KASS, Dorothy</cp:lastModifiedBy>
  <cp:revision>3</cp:revision>
  <cp:lastPrinted>2024-03-07T01:06:00Z</cp:lastPrinted>
  <dcterms:created xsi:type="dcterms:W3CDTF">2024-09-25T00:15:00Z</dcterms:created>
  <dcterms:modified xsi:type="dcterms:W3CDTF">2024-09-30T23:20:00Z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https://doi.org/10.33321/cdi.2024.48.28</vt:lpwstr>
  </property>
</Properties>
</file>