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A4DF" w14:textId="08512906" w:rsidR="00B50D8D" w:rsidRPr="00341720" w:rsidRDefault="003B6FCD" w:rsidP="00341720">
      <w:pPr>
        <w:pStyle w:val="CDIDOIInformation"/>
      </w:pPr>
      <w:fldSimple w:instr=" DOCPROPERTY  Year  \* MERGEFORMAT ">
        <w:r w:rsidR="002D0E77">
          <w:t>2024</w:t>
        </w:r>
      </w:fldSimple>
      <w:r w:rsidR="00A623E8" w:rsidRPr="00341720">
        <w:t xml:space="preserve"> </w:t>
      </w:r>
      <w:r w:rsidR="00A623E8" w:rsidRPr="004E20B4">
        <w:rPr>
          <w:rStyle w:val="CDICopyrightTextBullet"/>
        </w:rPr>
        <w:t>•</w:t>
      </w:r>
      <w:r w:rsidR="00A623E8" w:rsidRPr="00341720">
        <w:t xml:space="preserve"> </w:t>
      </w:r>
      <w:r w:rsidR="00B50D8D" w:rsidRPr="00341720">
        <w:t xml:space="preserve">Volume </w:t>
      </w:r>
      <w:r w:rsidR="0086566E">
        <w:fldChar w:fldCharType="begin"/>
      </w:r>
      <w:r w:rsidR="0086566E">
        <w:instrText xml:space="preserve"> DOCPROPERTY  Vol  \* MERGEFORMAT </w:instrText>
      </w:r>
      <w:r w:rsidR="0086566E">
        <w:fldChar w:fldCharType="separate"/>
      </w:r>
      <w:r w:rsidR="002D0E77">
        <w:t>48</w:t>
      </w:r>
      <w:r w:rsidR="0086566E">
        <w:fldChar w:fldCharType="end"/>
      </w:r>
      <w:r w:rsidR="00725C33" w:rsidRPr="00341720">
        <w:t xml:space="preserve"> </w:t>
      </w:r>
      <w:r w:rsidR="008E3F81" w:rsidRPr="004E20B4">
        <w:rPr>
          <w:rStyle w:val="CDICopyrightTextBullet"/>
        </w:rPr>
        <w:t>•</w:t>
      </w:r>
      <w:r w:rsidR="00725C33" w:rsidRPr="00341720">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00725C33" w:rsidRPr="00341720">
        <w:t xml:space="preserve"> </w:t>
      </w:r>
      <w:r w:rsidR="00D20FB5" w:rsidRPr="004E20B4">
        <w:rPr>
          <w:rStyle w:val="CDICopyrightTextBullet"/>
        </w:rPr>
        <w:t>•</w:t>
      </w:r>
      <w:r w:rsidR="00D20FB5">
        <w:t xml:space="preserve"> </w:t>
      </w:r>
      <w:r w:rsidR="00D20FB5" w:rsidRPr="00341720">
        <w:t xml:space="preserve">Electronic publication date: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p>
    <w:p w14:paraId="2AA2A66D" w14:textId="1911B6B8" w:rsidR="00E30C30" w:rsidRPr="0037146D" w:rsidRDefault="004E20B4" w:rsidP="0037146D">
      <w:pPr>
        <w:pStyle w:val="Title"/>
        <w:divId w:val="935526654"/>
      </w:pPr>
      <w:r w:rsidRPr="004E20B4">
        <w:t>Surveillance of adverse effects following immunisation in Australia, COVID-19 vaccines, 2021</w:t>
      </w:r>
    </w:p>
    <w:p w14:paraId="3CD76BE8" w14:textId="114C76BA" w:rsidR="007A33B9" w:rsidRPr="0037146D" w:rsidRDefault="004E20B4" w:rsidP="0037146D">
      <w:pPr>
        <w:pStyle w:val="Subtitle"/>
        <w:divId w:val="935526654"/>
      </w:pPr>
      <w:r w:rsidRPr="004E20B4">
        <w:t>Catherine Glover</w:t>
      </w:r>
      <w:r>
        <w:t xml:space="preserve">, </w:t>
      </w:r>
      <w:r w:rsidRPr="004E20B4">
        <w:t>Lucy Deng</w:t>
      </w:r>
      <w:r>
        <w:t xml:space="preserve">, </w:t>
      </w:r>
      <w:r w:rsidRPr="004E20B4">
        <w:t>Claire Larter</w:t>
      </w:r>
      <w:r>
        <w:t xml:space="preserve">, </w:t>
      </w:r>
      <w:r w:rsidRPr="004E20B4">
        <w:t>Catherine Brogan</w:t>
      </w:r>
      <w:r>
        <w:t xml:space="preserve">, </w:t>
      </w:r>
      <w:r w:rsidRPr="004E20B4">
        <w:t>Olivia Richardson</w:t>
      </w:r>
      <w:r>
        <w:t xml:space="preserve">, </w:t>
      </w:r>
      <w:r w:rsidRPr="004E20B4">
        <w:t>Yuanfei</w:t>
      </w:r>
      <w:r>
        <w:t> </w:t>
      </w:r>
      <w:r w:rsidRPr="004E20B4">
        <w:t>Anny</w:t>
      </w:r>
      <w:r>
        <w:t> </w:t>
      </w:r>
      <w:r w:rsidRPr="004E20B4">
        <w:t>Huang</w:t>
      </w:r>
      <w:r>
        <w:t xml:space="preserve">, </w:t>
      </w:r>
      <w:r w:rsidRPr="004E20B4">
        <w:t>Elspeth Kay</w:t>
      </w:r>
      <w:r>
        <w:t xml:space="preserve">, </w:t>
      </w:r>
      <w:r w:rsidRPr="004E20B4">
        <w:t>Kristine Macartney and Nicholas Wood</w:t>
      </w:r>
    </w:p>
    <w:p w14:paraId="2F5378A0" w14:textId="77777777" w:rsidR="0037146D" w:rsidRDefault="0037146D" w:rsidP="0037146D">
      <w:pPr>
        <w:pStyle w:val="Heading1"/>
        <w:divId w:val="935526654"/>
        <w:rPr>
          <w:lang w:val="en-GB"/>
        </w:rPr>
      </w:pPr>
      <w:r>
        <w:rPr>
          <w:lang w:val="en-GB"/>
        </w:rPr>
        <w:t>Abstract</w:t>
      </w:r>
    </w:p>
    <w:p w14:paraId="656435EC" w14:textId="77777777" w:rsidR="004E20B4" w:rsidRPr="004E20B4" w:rsidRDefault="004E20B4" w:rsidP="004E20B4">
      <w:pPr>
        <w:divId w:val="935526654"/>
        <w:rPr>
          <w:lang w:val="en-GB"/>
        </w:rPr>
      </w:pPr>
      <w:r w:rsidRPr="004E20B4">
        <w:rPr>
          <w:lang w:val="en-GB"/>
        </w:rPr>
        <w:t>This report summarises Australia’s spontaneous (passive) surveillance data for adverse events following immunisation (AEFI) for coronavirus disease 2019 (COVID-19) vaccines in 2021 reported to the Therapeutic Goods Administration (TGA). The TGA strongly promoted and facilitated adverse event reporting in preparation for, and during, the COVID-19 vaccine rollout as a core component of the most intensive vaccine safety monitoring ever conducted in Australia.</w:t>
      </w:r>
    </w:p>
    <w:p w14:paraId="50757ECB" w14:textId="77777777" w:rsidR="004E20B4" w:rsidRPr="004E20B4" w:rsidRDefault="004E20B4" w:rsidP="004E20B4">
      <w:pPr>
        <w:divId w:val="935526654"/>
        <w:rPr>
          <w:lang w:val="en-GB"/>
        </w:rPr>
      </w:pPr>
      <w:r w:rsidRPr="004E20B4">
        <w:rPr>
          <w:lang w:val="en-GB"/>
        </w:rPr>
        <w:t xml:space="preserve">There were 111,348 AEFI reports for COVID-19 vaccines administered in 2021, an annual AEFI reporting rate of 271.4 per 100,000 doses of COVID-19 vaccines administered to people aged ≥ 12 years. The annual AEFI reporting rate for non-COVID-19 vaccines in 2021 was 30.6 per 100,000 doses administered to people of all ages. </w:t>
      </w:r>
    </w:p>
    <w:p w14:paraId="468E0657" w14:textId="77777777" w:rsidR="004E20B4" w:rsidRPr="004E20B4" w:rsidRDefault="004E20B4" w:rsidP="004E20B4">
      <w:pPr>
        <w:divId w:val="935526654"/>
        <w:rPr>
          <w:lang w:val="en-GB"/>
        </w:rPr>
      </w:pPr>
      <w:r w:rsidRPr="004E20B4">
        <w:rPr>
          <w:lang w:val="en-GB"/>
        </w:rPr>
        <w:t xml:space="preserve">Overall, the most frequently reported symptoms were headache, adverse events classified as ‘gastrointestinal nonspecific symptoms and therapeutic procedures’, myalgia, pyrexia and fatigue, which were consistent with common expected adverse events following COVID-19 vaccines used in Australia. The most commonly reported adverse events of special interest were myocarditis and/or pericarditis, followed by thrombosis and thromboembolism, and anaphylaxis. Of all COVID-19 vaccine AEFI reports, 762 (0.7%) included a fatal outcome, of which over 80% were in people aged ≥ 60 years. Thirteen deaths reported in 2021 were assessed as likely to be causally linked to vaccination. </w:t>
      </w:r>
    </w:p>
    <w:p w14:paraId="2D2023CA" w14:textId="77777777" w:rsidR="004E20B4" w:rsidRDefault="004E20B4" w:rsidP="004E20B4">
      <w:pPr>
        <w:divId w:val="935526654"/>
        <w:rPr>
          <w:lang w:val="en-GB"/>
        </w:rPr>
        <w:sectPr w:rsidR="004E20B4" w:rsidSect="004E20B4">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4E20B4">
        <w:rPr>
          <w:lang w:val="en-GB"/>
        </w:rPr>
        <w:t xml:space="preserve">This report confirms the value of spontaneous post-marketing vaccine pharmacovigilance, especially in the context of new vaccines using novel vaccine technologies and near whole-of-population pandemic vaccination programs. The most frequently reported AEFI for COVID-19 vaccines were common, mild and temporary (lasting 1 or 2 days), and consistent with clinical trial and active surveillance data. </w:t>
      </w:r>
    </w:p>
    <w:p w14:paraId="51961437" w14:textId="77777777" w:rsidR="004E20B4" w:rsidRPr="004E20B4" w:rsidRDefault="004E20B4" w:rsidP="00584848">
      <w:pPr>
        <w:pStyle w:val="Normal-morespace"/>
        <w:divId w:val="935526654"/>
        <w:rPr>
          <w:lang w:val="en-GB"/>
        </w:rPr>
      </w:pPr>
      <w:r w:rsidRPr="004E20B4">
        <w:rPr>
          <w:lang w:val="en-GB"/>
        </w:rPr>
        <w:lastRenderedPageBreak/>
        <w:t>Ongoing safety monitoring detected rare, unexpected conditions, such as myocarditis/pericarditis and thrombosis with thrombocytopenia syndrome (TTS), which were investigated and confirmed as safety signals, resulting in changes to vaccine recommendations and product information. The outcomes of TGA monitoring were published in weekly vaccine safety reports. Overall, COVID-19 vaccine safety monitoring provided critical information on the risks of vaccine related adverse events that enabled decisionmakers to undertake informed risk-benefit assessments.</w:t>
      </w:r>
    </w:p>
    <w:p w14:paraId="4B39190A" w14:textId="78F60A3E" w:rsidR="00620509" w:rsidRPr="006D508B" w:rsidRDefault="00620509" w:rsidP="00620509">
      <w:pPr>
        <w:pStyle w:val="CDIBoxTextGreen"/>
        <w:divId w:val="935526654"/>
        <w:rPr>
          <w:lang w:val="en-GB"/>
        </w:rPr>
      </w:pPr>
      <w:r w:rsidRPr="0037146D">
        <w:rPr>
          <w:lang w:val="en-GB"/>
        </w:rPr>
        <w:t xml:space="preserve">Keywords: </w:t>
      </w:r>
      <w:r w:rsidR="004E20B4" w:rsidRPr="004E20B4">
        <w:rPr>
          <w:lang w:val="en-GB"/>
        </w:rPr>
        <w:t>AEFI; adverse events; vaccines; surveillance; immunisation; COVID-19; Australia</w:t>
      </w:r>
    </w:p>
    <w:p w14:paraId="6E397AA3" w14:textId="77777777" w:rsidR="00EF55AE" w:rsidRDefault="0037146D" w:rsidP="00620509">
      <w:pPr>
        <w:pStyle w:val="Heading1"/>
        <w:divId w:val="935526654"/>
      </w:pPr>
      <w:r>
        <w:t>Introduction</w:t>
      </w:r>
    </w:p>
    <w:p w14:paraId="0DBAF821" w14:textId="77777777" w:rsidR="00584848" w:rsidRPr="00584848" w:rsidRDefault="00584848" w:rsidP="00584848">
      <w:pPr>
        <w:divId w:val="935526654"/>
        <w:rPr>
          <w:lang w:val="en-GB"/>
        </w:rPr>
      </w:pPr>
      <w:r w:rsidRPr="00584848">
        <w:rPr>
          <w:lang w:val="en-GB"/>
        </w:rPr>
        <w:t>Australia commenced its coronavirus disease 2019 (COVID-19) vaccination program in February 2021, two months after COVID-19 vaccines first became available internationally outside of a clinical trial setting in December 2020.</w:t>
      </w:r>
      <w:r w:rsidRPr="00584848">
        <w:rPr>
          <w:rStyle w:val="Superscript"/>
          <w:lang w:val="en-GB"/>
        </w:rPr>
        <w:t>1</w:t>
      </w:r>
      <w:r w:rsidRPr="00584848">
        <w:rPr>
          <w:lang w:val="en-GB"/>
        </w:rPr>
        <w:t xml:space="preserve"> Three COVID-19 vaccine brands, Comirnaty (manufactured by Pfizer-BioNTech; also known as BNT162b2; mRNA vaccine), Vaxzevria (manufactured by Oxford-AstraZeneca; also known as AZD1222; adenoviral vector vaccine), and Spikevax (manufactured by Moderna; also known as mRNA-1273; mRNA vaccine), were available as part of the COVID-19 vaccination program in 2021, with population eligibility, time interval between doses, and access to vaccines and brands varying over time according to evolving national vaccination policies and vaccine availability, as outlined in Appendix A, Tables A.1 and A.2. </w:t>
      </w:r>
    </w:p>
    <w:p w14:paraId="58CDC541" w14:textId="77777777" w:rsidR="00584848" w:rsidRPr="00584848" w:rsidRDefault="00584848" w:rsidP="00584848">
      <w:pPr>
        <w:divId w:val="935526654"/>
        <w:rPr>
          <w:lang w:val="en-GB"/>
        </w:rPr>
      </w:pPr>
      <w:r w:rsidRPr="00584848">
        <w:rPr>
          <w:lang w:val="en-GB"/>
        </w:rPr>
        <w:t>As with all vaccines used in Australia, post-marketing surveillance of adverse events following immunisation (AEFI) occurred through a national spontaneous (passive) surveillance system managed by the Therapeutic Goods Administration (TGA). This system was enhanced in preparation for the COVID-19 vaccine rollout to encourage adverse event reporting, to prepare for rapid signal detection and investigation, and to establish arrangements both for sharing information with all key stakeholders including international regulators and for communicating new safety findings publicly. The TGA’s monitoring relied on reviewing and analysing adverse events report data, working with international regulators, and reviewing medical literature, media, and other potential sources of new safety information. The system can rapidly detect, investigate and respond to emerging vaccine safety issues identified, including rare and unexpected AEFI that may not have been detected in pre-registration vaccine trials.</w:t>
      </w:r>
      <w:r w:rsidRPr="00584848">
        <w:rPr>
          <w:rStyle w:val="Superscript"/>
          <w:lang w:val="en-GB"/>
        </w:rPr>
        <w:t>2</w:t>
      </w:r>
      <w:r w:rsidRPr="00584848">
        <w:rPr>
          <w:lang w:val="en-GB"/>
        </w:rPr>
        <w:t xml:space="preserve"> </w:t>
      </w:r>
    </w:p>
    <w:p w14:paraId="69154273" w14:textId="29440535" w:rsidR="00584848" w:rsidRPr="00584848" w:rsidRDefault="00584848" w:rsidP="00584848">
      <w:pPr>
        <w:divId w:val="935526654"/>
        <w:rPr>
          <w:lang w:val="en-GB"/>
        </w:rPr>
      </w:pPr>
      <w:r w:rsidRPr="00584848">
        <w:rPr>
          <w:lang w:val="en-GB"/>
        </w:rPr>
        <w:t>An AEFI is defined as any untoward medical occurrence that follows immunisation and that does not necessarily have a causal relationship with the usage of the vaccine.</w:t>
      </w:r>
      <w:r w:rsidRPr="00584848">
        <w:rPr>
          <w:rStyle w:val="Superscript"/>
          <w:lang w:val="en-GB"/>
        </w:rPr>
        <w:t>3</w:t>
      </w:r>
      <w:r w:rsidRPr="00584848">
        <w:rPr>
          <w:lang w:val="en-GB"/>
        </w:rPr>
        <w:t xml:space="preserve"> The AEFI may be an unfavourable or unintended sign, abnormal laboratory finding, symptom, or disease. AEFI can be caused by the vaccine(s) or can be a coincidental event, and can be classified into the following categories:</w:t>
      </w:r>
      <w:r w:rsidRPr="00584848">
        <w:rPr>
          <w:rStyle w:val="Superscript"/>
          <w:lang w:val="en-GB"/>
        </w:rPr>
        <w:t>3</w:t>
      </w:r>
    </w:p>
    <w:p w14:paraId="6FA32EEF" w14:textId="77777777" w:rsidR="00584848" w:rsidRPr="00584848" w:rsidRDefault="00584848" w:rsidP="00584848">
      <w:pPr>
        <w:pStyle w:val="CDIBulletsL1"/>
        <w:divId w:val="935526654"/>
      </w:pPr>
      <w:r w:rsidRPr="00584848">
        <w:t xml:space="preserve">vaccine product-related reaction; </w:t>
      </w:r>
    </w:p>
    <w:p w14:paraId="624C7C03" w14:textId="77777777" w:rsidR="00584848" w:rsidRPr="00584848" w:rsidRDefault="00584848" w:rsidP="00584848">
      <w:pPr>
        <w:pStyle w:val="CDIBulletsL1"/>
        <w:divId w:val="935526654"/>
      </w:pPr>
      <w:r w:rsidRPr="00584848">
        <w:t xml:space="preserve">vaccine quality defect-related reaction; </w:t>
      </w:r>
    </w:p>
    <w:p w14:paraId="2B3E5C3A" w14:textId="77777777" w:rsidR="00584848" w:rsidRPr="00584848" w:rsidRDefault="00584848" w:rsidP="00584848">
      <w:pPr>
        <w:pStyle w:val="CDIBulletsL1"/>
        <w:divId w:val="935526654"/>
      </w:pPr>
      <w:r w:rsidRPr="00584848">
        <w:t xml:space="preserve">immunisation error-related reaction; </w:t>
      </w:r>
    </w:p>
    <w:p w14:paraId="1264EE72" w14:textId="77777777" w:rsidR="00584848" w:rsidRPr="00584848" w:rsidRDefault="00584848" w:rsidP="00584848">
      <w:pPr>
        <w:pStyle w:val="CDIBulletsL1"/>
        <w:divId w:val="935526654"/>
      </w:pPr>
      <w:r w:rsidRPr="00584848">
        <w:t xml:space="preserve">immunisation anxiety-related reaction; and </w:t>
      </w:r>
    </w:p>
    <w:p w14:paraId="451C48EE" w14:textId="77777777" w:rsidR="00584848" w:rsidRPr="00584848" w:rsidRDefault="00584848" w:rsidP="00584848">
      <w:pPr>
        <w:pStyle w:val="CDIBulletsL1"/>
        <w:divId w:val="935526654"/>
      </w:pPr>
      <w:r w:rsidRPr="00584848">
        <w:t xml:space="preserve">coincidental event. </w:t>
      </w:r>
    </w:p>
    <w:p w14:paraId="6926B12B" w14:textId="77777777" w:rsidR="00584848" w:rsidRPr="00584848" w:rsidRDefault="00584848" w:rsidP="00584848">
      <w:pPr>
        <w:divId w:val="935526654"/>
        <w:rPr>
          <w:lang w:val="en-GB"/>
        </w:rPr>
      </w:pPr>
      <w:r w:rsidRPr="00584848">
        <w:rPr>
          <w:lang w:val="en-GB"/>
        </w:rPr>
        <w:lastRenderedPageBreak/>
        <w:t>AEFI are reported to the TGA by state and territory health departments, health professionals, vaccine companies and consumers (members of the public).</w:t>
      </w:r>
      <w:r w:rsidRPr="00584848">
        <w:rPr>
          <w:rStyle w:val="Superscript"/>
          <w:lang w:val="en-GB"/>
        </w:rPr>
        <w:t xml:space="preserve">4 </w:t>
      </w:r>
      <w:r w:rsidRPr="00584848">
        <w:rPr>
          <w:lang w:val="en-GB"/>
        </w:rPr>
        <w:t xml:space="preserve">All reported AEFI are entered into the Australian Adverse Event Management System (AEMS) database. Where the initial report contains insufficient information, the TGA may contact the reporter or relevant state or territory health department to elicit further information. The TGA continually analyses AEFI data to detect new potential safety issues or changes to known safety issues that may require regulatory action. </w:t>
      </w:r>
    </w:p>
    <w:p w14:paraId="0C67AF3E" w14:textId="77777777" w:rsidR="00584848" w:rsidRPr="00584848" w:rsidRDefault="00584848" w:rsidP="00584848">
      <w:pPr>
        <w:divId w:val="935526654"/>
        <w:rPr>
          <w:rStyle w:val="Superscript"/>
          <w:lang w:val="en-GB"/>
        </w:rPr>
      </w:pPr>
      <w:r w:rsidRPr="00584848">
        <w:rPr>
          <w:lang w:val="en-GB"/>
        </w:rPr>
        <w:t>This report summarises national spontaneous surveillance data for COVID-19 vaccine AEFI reported to the TGA in 2021. AEFI reports following non-COVID-19 vaccines in 2021 are analysed and presented in a separate report.</w:t>
      </w:r>
      <w:r w:rsidRPr="00584848">
        <w:rPr>
          <w:rStyle w:val="Superscript"/>
          <w:lang w:val="en-GB"/>
        </w:rPr>
        <w:t>5</w:t>
      </w:r>
    </w:p>
    <w:p w14:paraId="01873221" w14:textId="77777777" w:rsidR="00F6343B" w:rsidRDefault="00620509" w:rsidP="00620509">
      <w:pPr>
        <w:pStyle w:val="Heading1"/>
        <w:divId w:val="935526654"/>
        <w:rPr>
          <w:lang w:val="en-GB"/>
        </w:rPr>
      </w:pPr>
      <w:r>
        <w:rPr>
          <w:lang w:val="en-GB"/>
        </w:rPr>
        <w:t>Methods</w:t>
      </w:r>
    </w:p>
    <w:p w14:paraId="3A9AC726" w14:textId="3CB2D999" w:rsidR="00620509" w:rsidRDefault="00584848" w:rsidP="00584848">
      <w:pPr>
        <w:pStyle w:val="Heading2"/>
        <w:divId w:val="935526654"/>
        <w:rPr>
          <w:lang w:val="en-GB"/>
        </w:rPr>
      </w:pPr>
      <w:r>
        <w:rPr>
          <w:lang w:val="en-GB"/>
        </w:rPr>
        <w:t>AEFI data</w:t>
      </w:r>
    </w:p>
    <w:p w14:paraId="690F3AD7" w14:textId="77777777" w:rsidR="00584848" w:rsidRPr="00584848" w:rsidRDefault="00584848" w:rsidP="00584848">
      <w:pPr>
        <w:divId w:val="935526654"/>
        <w:rPr>
          <w:lang w:val="en-GB"/>
        </w:rPr>
      </w:pPr>
      <w:r w:rsidRPr="00584848">
        <w:rPr>
          <w:lang w:val="en-GB"/>
        </w:rPr>
        <w:t>De-identified data on all AEFI reported to the TGA from 1 January 2021 to 31 December 2021 and stored in the AEMS database were released to the National Centre for Immunisation Research and Surveillance (NCIRS) in May 2022. Please refer to previous reports for a detailed description of the surveillance system.</w:t>
      </w:r>
      <w:r w:rsidRPr="00584848">
        <w:rPr>
          <w:rStyle w:val="Superscript"/>
          <w:lang w:val="en-GB"/>
        </w:rPr>
        <w:t>6,7</w:t>
      </w:r>
    </w:p>
    <w:p w14:paraId="5FA39348" w14:textId="0F30E0DD" w:rsidR="00584848" w:rsidRDefault="00584848" w:rsidP="00584848">
      <w:pPr>
        <w:pStyle w:val="Heading3"/>
        <w:divId w:val="935526654"/>
        <w:rPr>
          <w:lang w:val="en-GB"/>
        </w:rPr>
      </w:pPr>
      <w:r>
        <w:rPr>
          <w:lang w:val="en-GB"/>
        </w:rPr>
        <w:t>Vaccine data</w:t>
      </w:r>
    </w:p>
    <w:p w14:paraId="2B24F1A3" w14:textId="77777777" w:rsidR="00584848" w:rsidRPr="00584848" w:rsidRDefault="00584848" w:rsidP="00584848">
      <w:pPr>
        <w:divId w:val="935526654"/>
        <w:rPr>
          <w:lang w:val="en-GB"/>
        </w:rPr>
      </w:pPr>
      <w:r w:rsidRPr="00584848">
        <w:rPr>
          <w:lang w:val="en-GB"/>
        </w:rPr>
        <w:t>Vaccines were identified by trade name (standardised term in the TGA reference dataset), and where the trade name was not specified, the generic name (active ingredients associated with a trade name) and reported product name (product name used by the reporter). All AEFI reports that included COVID-19 vaccines with a role in relation to the reported adverse event of ‘suspect’ were included in analysis, including reports with both non-COVID-19 and COVID-19 vaccines. In addition, only accepted reports were included. To be accepted, the report must contain sufficient information to be valid, a condition requiring four key elements: a reporter; a patient; one or more suspected medicines or vaccines; and one or more reaction terms. Valid reports were accepted by the TGA with a default decision type of ‘causality possible’.</w:t>
      </w:r>
    </w:p>
    <w:p w14:paraId="3F872946" w14:textId="75362F26" w:rsidR="00584848" w:rsidRDefault="00584848" w:rsidP="00584848">
      <w:pPr>
        <w:pStyle w:val="Heading3"/>
        <w:divId w:val="935526654"/>
        <w:rPr>
          <w:lang w:val="en-GB"/>
        </w:rPr>
      </w:pPr>
      <w:r>
        <w:rPr>
          <w:lang w:val="en-GB"/>
        </w:rPr>
        <w:t>Adverse event data</w:t>
      </w:r>
    </w:p>
    <w:p w14:paraId="1EBAE289" w14:textId="77777777" w:rsidR="00584848" w:rsidRPr="00584848" w:rsidRDefault="00584848" w:rsidP="00584848">
      <w:pPr>
        <w:divId w:val="935526654"/>
        <w:rPr>
          <w:lang w:val="en-GB"/>
        </w:rPr>
      </w:pPr>
      <w:r w:rsidRPr="00584848">
        <w:rPr>
          <w:lang w:val="en-GB"/>
        </w:rPr>
        <w:t xml:space="preserve">AEFI reports included reaction terms comprising symptoms, signs, and/or diagnoses which had been coded by TGA staff, as part of routine spontaneous surveillance activities, using the </w:t>
      </w:r>
      <w:r w:rsidRPr="00584848">
        <w:rPr>
          <w:rStyle w:val="Italic"/>
          <w:lang w:val="en-GB"/>
        </w:rPr>
        <w:t>Medical Dictionary for Regulatory Activities</w:t>
      </w:r>
      <w:r w:rsidRPr="00584848">
        <w:rPr>
          <w:lang w:val="en-GB"/>
        </w:rPr>
        <w:t xml:space="preserve"> (MedDRA®).</w:t>
      </w:r>
      <w:r w:rsidRPr="00584848">
        <w:rPr>
          <w:rStyle w:val="Superscript"/>
          <w:lang w:val="en-GB"/>
        </w:rPr>
        <w:t>8,9</w:t>
      </w:r>
      <w:r w:rsidRPr="00584848">
        <w:rPr>
          <w:lang w:val="en-GB"/>
        </w:rPr>
        <w:t xml:space="preserve"> MedDRA lower level terms (LLT) were derived from the reporters’ descriptions of the reactions, and were in turn mapped to associated preferred terms (PT), following standardised MedDRA algorithms. </w:t>
      </w:r>
    </w:p>
    <w:p w14:paraId="02915F37" w14:textId="77777777" w:rsidR="00584848" w:rsidRPr="00584848" w:rsidRDefault="00584848" w:rsidP="00584848">
      <w:pPr>
        <w:divId w:val="935526654"/>
        <w:rPr>
          <w:lang w:val="en-GB"/>
        </w:rPr>
      </w:pPr>
      <w:r w:rsidRPr="00584848">
        <w:rPr>
          <w:lang w:val="en-GB"/>
        </w:rPr>
        <w:t>Standardised MedDRA queries (SMQ) are sets of MedDRA terms that have been grouped after extensive testing, analysis, and expert discussion to facilitate pharmacovigilance investigation.</w:t>
      </w:r>
      <w:r w:rsidRPr="00584848">
        <w:rPr>
          <w:rStyle w:val="Superscript"/>
          <w:lang w:val="en-GB"/>
        </w:rPr>
        <w:t>10</w:t>
      </w:r>
      <w:r w:rsidRPr="00584848">
        <w:rPr>
          <w:lang w:val="en-GB"/>
        </w:rPr>
        <w:t xml:space="preserve"> For this report, the MedDRA Browser SMQ Analysis tool was used to group related PT to an SMQ in order to reduce the number of unique PT under analysis while providing meaningful results. A narrow search was performed to increase the specificity of the PT to SMQ mapping.</w:t>
      </w:r>
      <w:r w:rsidRPr="00584848">
        <w:rPr>
          <w:rStyle w:val="Superscript"/>
          <w:lang w:val="en-GB"/>
        </w:rPr>
        <w:t>11</w:t>
      </w:r>
      <w:r w:rsidRPr="00584848">
        <w:rPr>
          <w:lang w:val="en-GB"/>
        </w:rPr>
        <w:t xml:space="preserve"> As individual PT may map to zero, one, or more than </w:t>
      </w:r>
      <w:r w:rsidRPr="00584848">
        <w:rPr>
          <w:lang w:val="en-GB"/>
        </w:rPr>
        <w:lastRenderedPageBreak/>
        <w:t xml:space="preserve">one SMQ, the term reported (PT or SMQ) was chosen as described in Appendix A, Table A.3. Following the decision process, a one-to-one PT-SMQ mapping was performed to ensure that each PT was counted only once and that there was no overlap in terms between SMQ. </w:t>
      </w:r>
    </w:p>
    <w:p w14:paraId="1DFE725C" w14:textId="77777777" w:rsidR="00584848" w:rsidRPr="00584848" w:rsidRDefault="00584848" w:rsidP="00584848">
      <w:pPr>
        <w:divId w:val="935526654"/>
        <w:rPr>
          <w:lang w:val="en-GB"/>
        </w:rPr>
      </w:pPr>
      <w:r w:rsidRPr="00584848">
        <w:rPr>
          <w:lang w:val="en-GB"/>
        </w:rPr>
        <w:t>The PT/SMQ were numerically ranked by frequency, and the 50 most frequent PT/SMQ were summarised, with ties determined using the minimum method (i.e. different PT/SMQ reported the same number of times received the same minimum ranking possible). The 20 most frequently reported PT/SMQ were also reported for each age group and for each COVID-19 vaccine brand.</w:t>
      </w:r>
    </w:p>
    <w:p w14:paraId="4FDDD6EB" w14:textId="3DEC7A7E" w:rsidR="00584848" w:rsidRDefault="00584848" w:rsidP="00584848">
      <w:pPr>
        <w:pStyle w:val="Heading3"/>
        <w:divId w:val="935526654"/>
        <w:rPr>
          <w:lang w:val="en-GB"/>
        </w:rPr>
      </w:pPr>
      <w:r>
        <w:rPr>
          <w:lang w:val="en-GB"/>
        </w:rPr>
        <w:t>Adverse events of special interest</w:t>
      </w:r>
    </w:p>
    <w:p w14:paraId="0DA1E886" w14:textId="77777777" w:rsidR="00584848" w:rsidRPr="00584848" w:rsidRDefault="00584848" w:rsidP="00584848">
      <w:pPr>
        <w:divId w:val="935526654"/>
        <w:rPr>
          <w:lang w:val="en-GB"/>
        </w:rPr>
      </w:pPr>
      <w:r w:rsidRPr="00584848">
        <w:rPr>
          <w:lang w:val="en-GB"/>
        </w:rPr>
        <w:t>Adverse events of special interest (AESI), defined as pre-specified, medically important events potentially associated with a vaccine requiring careful monitoring and confirmation by specialised studies,</w:t>
      </w:r>
      <w:r w:rsidRPr="00584848">
        <w:rPr>
          <w:rStyle w:val="Superscript"/>
          <w:lang w:val="en-GB"/>
        </w:rPr>
        <w:t>12</w:t>
      </w:r>
      <w:r w:rsidRPr="00584848">
        <w:rPr>
          <w:lang w:val="en-GB"/>
        </w:rPr>
        <w:t xml:space="preserve"> were sourced from the Brighton Collaboration and Safety Platform for Emergency Vaccines list of COVID-19 AESI.</w:t>
      </w:r>
      <w:r w:rsidRPr="00584848">
        <w:rPr>
          <w:rStyle w:val="Superscript"/>
          <w:lang w:val="en-GB"/>
        </w:rPr>
        <w:t>13</w:t>
      </w:r>
      <w:r w:rsidRPr="00584848">
        <w:rPr>
          <w:lang w:val="en-GB"/>
        </w:rPr>
        <w:t xml:space="preserve"> The AESI list was refined to include only AESI for which case definitions and companion guides including narrow-search MedDRA codes were available:</w:t>
      </w:r>
      <w:r w:rsidRPr="00584848">
        <w:rPr>
          <w:rStyle w:val="Superscript"/>
          <w:lang w:val="en-GB"/>
        </w:rPr>
        <w:t>14–23</w:t>
      </w:r>
    </w:p>
    <w:p w14:paraId="1762231D" w14:textId="77777777" w:rsidR="00584848" w:rsidRPr="00584848" w:rsidRDefault="00584848" w:rsidP="00584848">
      <w:pPr>
        <w:pStyle w:val="CDIBulletsL1"/>
        <w:divId w:val="935526654"/>
      </w:pPr>
      <w:r w:rsidRPr="00584848">
        <w:t>acute disseminated encephalomyelitis;</w:t>
      </w:r>
    </w:p>
    <w:p w14:paraId="2AE9DF7C" w14:textId="77777777" w:rsidR="00584848" w:rsidRPr="00584848" w:rsidRDefault="00584848" w:rsidP="00584848">
      <w:pPr>
        <w:pStyle w:val="CDIBulletsL1"/>
        <w:divId w:val="935526654"/>
      </w:pPr>
      <w:r w:rsidRPr="00584848">
        <w:t>anaphylaxis;</w:t>
      </w:r>
    </w:p>
    <w:p w14:paraId="692F6A9E" w14:textId="77777777" w:rsidR="00584848" w:rsidRPr="00584848" w:rsidRDefault="00584848" w:rsidP="00584848">
      <w:pPr>
        <w:pStyle w:val="CDIBulletsL1"/>
        <w:divId w:val="935526654"/>
      </w:pPr>
      <w:r w:rsidRPr="00584848">
        <w:t>aseptic meningitis;</w:t>
      </w:r>
    </w:p>
    <w:p w14:paraId="5B1A0FAE" w14:textId="77777777" w:rsidR="00584848" w:rsidRPr="00584848" w:rsidRDefault="00584848" w:rsidP="00584848">
      <w:pPr>
        <w:pStyle w:val="CDIBulletsL1"/>
        <w:divId w:val="935526654"/>
      </w:pPr>
      <w:r w:rsidRPr="00584848">
        <w:t>Bell’s palsy and facial nerve palsy;</w:t>
      </w:r>
    </w:p>
    <w:p w14:paraId="11D86FB7" w14:textId="77777777" w:rsidR="00584848" w:rsidRPr="00584848" w:rsidRDefault="00584848" w:rsidP="00584848">
      <w:pPr>
        <w:pStyle w:val="CDIBulletsL1"/>
        <w:divId w:val="935526654"/>
      </w:pPr>
      <w:r w:rsidRPr="00584848">
        <w:t>encephalitis/encephalomyelitis;</w:t>
      </w:r>
    </w:p>
    <w:p w14:paraId="3742695E" w14:textId="77777777" w:rsidR="00584848" w:rsidRPr="00584848" w:rsidRDefault="00584848" w:rsidP="00584848">
      <w:pPr>
        <w:pStyle w:val="CDIBulletsL1"/>
        <w:divId w:val="935526654"/>
      </w:pPr>
      <w:r w:rsidRPr="00584848">
        <w:t>generalised convulsion;</w:t>
      </w:r>
    </w:p>
    <w:p w14:paraId="09D1033C" w14:textId="77777777" w:rsidR="00584848" w:rsidRPr="00584848" w:rsidRDefault="00584848" w:rsidP="00584848">
      <w:pPr>
        <w:pStyle w:val="CDIBulletsL1"/>
        <w:divId w:val="935526654"/>
      </w:pPr>
      <w:r w:rsidRPr="00584848">
        <w:t>Guillain-Barré syndrome;</w:t>
      </w:r>
    </w:p>
    <w:p w14:paraId="3275BE3C" w14:textId="77777777" w:rsidR="00584848" w:rsidRPr="00584848" w:rsidRDefault="00584848" w:rsidP="00584848">
      <w:pPr>
        <w:pStyle w:val="CDIBulletsL1"/>
        <w:divId w:val="935526654"/>
      </w:pPr>
      <w:r w:rsidRPr="00584848">
        <w:t>myocarditis and/or pericarditis;</w:t>
      </w:r>
    </w:p>
    <w:p w14:paraId="6A0FC86E" w14:textId="77777777" w:rsidR="00584848" w:rsidRPr="00584848" w:rsidRDefault="00584848" w:rsidP="00584848">
      <w:pPr>
        <w:pStyle w:val="CDIBulletsL1"/>
        <w:divId w:val="935526654"/>
      </w:pPr>
      <w:r w:rsidRPr="00584848">
        <w:t>thrombocytopenia; and</w:t>
      </w:r>
    </w:p>
    <w:p w14:paraId="7A890C7C" w14:textId="77777777" w:rsidR="00584848" w:rsidRPr="00584848" w:rsidRDefault="00584848" w:rsidP="00584848">
      <w:pPr>
        <w:pStyle w:val="CDIBulletsL1"/>
        <w:divId w:val="935526654"/>
      </w:pPr>
      <w:r w:rsidRPr="00584848">
        <w:t>thrombosis and thromboembolism.</w:t>
      </w:r>
    </w:p>
    <w:p w14:paraId="76B0D9CB" w14:textId="77777777" w:rsidR="00584848" w:rsidRDefault="00584848" w:rsidP="00584848">
      <w:pPr>
        <w:divId w:val="935526654"/>
        <w:rPr>
          <w:lang w:val="en-GB"/>
        </w:rPr>
      </w:pPr>
      <w:r w:rsidRPr="00584848">
        <w:rPr>
          <w:lang w:val="en-GB"/>
        </w:rPr>
        <w:t>Thrombosis and thromboembolism is a broad AESI and its companion guide includes the PT ‘thrombosis with thrombocytopenia syndrome’ in addition to several other PT.</w:t>
      </w:r>
      <w:r w:rsidRPr="00584848">
        <w:rPr>
          <w:rStyle w:val="Superscript"/>
          <w:lang w:val="en-GB"/>
        </w:rPr>
        <w:t>23</w:t>
      </w:r>
      <w:r w:rsidRPr="00584848">
        <w:rPr>
          <w:lang w:val="en-GB"/>
        </w:rPr>
        <w:t xml:space="preserve"> Reports with PT that mapped to the MedDRA codes for one of the above AESI were identified as having reported the associated AESI, and AESI were summarised by frequency and reporting rates per 100,000 COVID-19 vaccine doses. The AESI PT list is available upon request.</w:t>
      </w:r>
    </w:p>
    <w:p w14:paraId="0EFB3BBE" w14:textId="60795F8F" w:rsidR="00584848" w:rsidRPr="00584848" w:rsidRDefault="00584848" w:rsidP="00584848">
      <w:pPr>
        <w:pStyle w:val="Heading3"/>
        <w:divId w:val="935526654"/>
        <w:rPr>
          <w:lang w:val="en-GB"/>
        </w:rPr>
      </w:pPr>
      <w:r>
        <w:rPr>
          <w:lang w:val="en-GB"/>
        </w:rPr>
        <w:t>AEFI report data</w:t>
      </w:r>
    </w:p>
    <w:p w14:paraId="4069B6F0" w14:textId="77777777" w:rsidR="003D7DC8" w:rsidRPr="003D7DC8" w:rsidRDefault="003D7DC8" w:rsidP="003D7DC8">
      <w:pPr>
        <w:divId w:val="935526654"/>
        <w:rPr>
          <w:lang w:val="en-GB"/>
        </w:rPr>
      </w:pPr>
      <w:r w:rsidRPr="003D7DC8">
        <w:rPr>
          <w:lang w:val="en-GB"/>
        </w:rPr>
        <w:t xml:space="preserve">AEFI reports were defined by unique identifiers provided by the TGA. Each report was assigned a date based on the earliest COVID-19 vaccine date associated with the report; where a vaccine date was missing, the earliest symptom onset date was used; and where dates for both vaccine and symptom onset were </w:t>
      </w:r>
      <w:r w:rsidRPr="003D7DC8">
        <w:rPr>
          <w:lang w:val="en-GB"/>
        </w:rPr>
        <w:lastRenderedPageBreak/>
        <w:t>missing, the received date (the date on which the sender (reporter) of the case first received the minimum valid information, as described above, from the primary source) was used. Where the date of birth was available, it was used to calculate age at time of COVID-19 vaccination, symptom onset, or received date; where it was missing, the age at symptom onset provided to the TGA by the reporter was used. Reports were grouped by age (12–15, 16–59, and ≥ 60 years) according to broad policy recommendations for vaccination; reports with age younger than 12 years were excluded, as this age group was not recommended to receive COVID-19 vaccination in Australia in 2021.</w:t>
      </w:r>
      <w:r w:rsidRPr="003D7DC8">
        <w:rPr>
          <w:rStyle w:val="Superscript"/>
          <w:lang w:val="en-GB"/>
        </w:rPr>
        <w:t>24</w:t>
      </w:r>
    </w:p>
    <w:p w14:paraId="67E2DDEB" w14:textId="5EC8E969" w:rsidR="00584848" w:rsidRDefault="003D7DC8" w:rsidP="003D7DC8">
      <w:pPr>
        <w:pStyle w:val="Heading2"/>
        <w:divId w:val="935526654"/>
        <w:rPr>
          <w:lang w:val="en-GB"/>
        </w:rPr>
      </w:pPr>
      <w:r>
        <w:rPr>
          <w:lang w:val="en-GB"/>
        </w:rPr>
        <w:t>Serious and non-serious AEFI</w:t>
      </w:r>
    </w:p>
    <w:p w14:paraId="467DE700" w14:textId="77777777" w:rsidR="003D7DC8" w:rsidRPr="003D7DC8" w:rsidRDefault="003D7DC8" w:rsidP="003D7DC8">
      <w:pPr>
        <w:divId w:val="935526654"/>
        <w:rPr>
          <w:lang w:val="en-GB"/>
        </w:rPr>
      </w:pPr>
      <w:r w:rsidRPr="003D7DC8">
        <w:rPr>
          <w:lang w:val="en-GB"/>
        </w:rPr>
        <w:t>AEFI reports were coded as ‘serious’ or ‘non-serious’ based on criteria used by the World Health Organization (WHO)</w:t>
      </w:r>
      <w:r w:rsidRPr="003D7DC8">
        <w:rPr>
          <w:rStyle w:val="Superscript"/>
          <w:lang w:val="en-GB"/>
        </w:rPr>
        <w:t>25</w:t>
      </w:r>
      <w:r w:rsidRPr="003D7DC8">
        <w:rPr>
          <w:lang w:val="en-GB"/>
        </w:rPr>
        <w:t xml:space="preserve"> and by the US Vaccine Adverse Events Reporting System,</w:t>
      </w:r>
      <w:r w:rsidRPr="003D7DC8">
        <w:rPr>
          <w:rStyle w:val="Superscript"/>
          <w:lang w:val="en-GB"/>
        </w:rPr>
        <w:t>26</w:t>
      </w:r>
      <w:r w:rsidRPr="003D7DC8">
        <w:rPr>
          <w:lang w:val="en-GB"/>
        </w:rPr>
        <w:t xml:space="preserve"> where an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w:t>
      </w:r>
    </w:p>
    <w:p w14:paraId="6713D2B3" w14:textId="77777777" w:rsidR="003D7DC8" w:rsidRPr="003D7DC8" w:rsidRDefault="003D7DC8" w:rsidP="003D7DC8">
      <w:pPr>
        <w:divId w:val="935526654"/>
        <w:rPr>
          <w:lang w:val="en-GB"/>
        </w:rPr>
      </w:pPr>
      <w:r w:rsidRPr="003D7DC8">
        <w:rPr>
          <w:lang w:val="en-GB"/>
        </w:rPr>
        <w:t xml:space="preserve">The seriousness classification is applied by Australian sponsors (vaccine companies) to vaccine AEFI reports to ensure they meet legislated requirements. For other AEFI reports submitted to the TGA, the seriousness classification either reflects the view of the reporter or may have been applied following review by the TGA. </w:t>
      </w:r>
    </w:p>
    <w:p w14:paraId="7E8705D9" w14:textId="6B740639" w:rsidR="003D7DC8" w:rsidRPr="003D7DC8" w:rsidRDefault="003D7DC8" w:rsidP="003D7DC8">
      <w:pPr>
        <w:divId w:val="935526654"/>
        <w:rPr>
          <w:lang w:val="en-GB"/>
        </w:rPr>
      </w:pPr>
      <w:r w:rsidRPr="003D7DC8">
        <w:rPr>
          <w:lang w:val="en-GB"/>
        </w:rPr>
        <w:t>In addition, the TGA can seek expert causality assessment advice from a Vaccine Safety Investigation Group (VSIG), which consists of clinical experts in domains including infectious diseases, vaccinology, haematology, respiratory medicine, immunology and public health, together with a consumer representative and, often, a communication expert. The purpose of the VSIG is to provide independent specialist immunisation (and other relevant) expertise to assist the TGA in investigating and undertaking regulatory action for vaccine safety signals of concern. Where required, the VSIG uses an internationally accepted method</w:t>
      </w:r>
      <w:r w:rsidRPr="003D7DC8">
        <w:rPr>
          <w:rStyle w:val="Superscript"/>
          <w:lang w:val="en-GB"/>
        </w:rPr>
        <w:t>27</w:t>
      </w:r>
      <w:r w:rsidRPr="003D7DC8">
        <w:rPr>
          <w:lang w:val="en-GB"/>
        </w:rPr>
        <w:t xml:space="preserve"> to conduct causality assessments; that is, to rate the level of certainty of a link between the event and vaccine.</w:t>
      </w:r>
      <w:r w:rsidRPr="003D7DC8">
        <w:rPr>
          <w:rStyle w:val="Superscript"/>
          <w:lang w:val="en-GB"/>
        </w:rPr>
        <w:t>28</w:t>
      </w:r>
      <w:r w:rsidRPr="003D7DC8">
        <w:rPr>
          <w:lang w:val="en-GB"/>
        </w:rPr>
        <w:t xml:space="preserve"> We summarised the VSIG assessments that occurred for people vaccinated in 2021.</w:t>
      </w:r>
    </w:p>
    <w:p w14:paraId="1E8F757B" w14:textId="478B797A" w:rsidR="003D7DC8" w:rsidRDefault="003D7DC8" w:rsidP="003D7DC8">
      <w:pPr>
        <w:pStyle w:val="Heading2"/>
        <w:divId w:val="935526654"/>
        <w:rPr>
          <w:lang w:val="en-GB"/>
        </w:rPr>
      </w:pPr>
      <w:r>
        <w:rPr>
          <w:lang w:val="en-GB"/>
        </w:rPr>
        <w:t>Reported deaths</w:t>
      </w:r>
    </w:p>
    <w:p w14:paraId="2BE83324" w14:textId="77777777" w:rsidR="003D7DC8" w:rsidRPr="003D7DC8" w:rsidRDefault="003D7DC8" w:rsidP="003D7DC8">
      <w:pPr>
        <w:divId w:val="935526654"/>
        <w:rPr>
          <w:lang w:val="en-GB"/>
        </w:rPr>
      </w:pPr>
      <w:r w:rsidRPr="003D7DC8">
        <w:rPr>
          <w:lang w:val="en-GB"/>
        </w:rPr>
        <w:t>All COVID-19 AEFI reports where a fatal outcome was reported were reviewed in detail by the TGA. This review was designed to assess whether the medical condition(s) that caused death represented an emerging safety concern with a vaccine. For each report the TGA received, a team of staff including clinicians considered the strength of the evidence for a link between vaccination and the condition that caused the death using a standardised process based on the WHO guidelines. When a cause for the events that resulted in death was not medically obvious, not stated and could not be determined from the initial report, the TGA requested further information from the reporter.</w:t>
      </w:r>
    </w:p>
    <w:p w14:paraId="05FEA9BF" w14:textId="77777777" w:rsidR="003D7DC8" w:rsidRPr="003D7DC8" w:rsidRDefault="003D7DC8" w:rsidP="003D7DC8">
      <w:pPr>
        <w:divId w:val="935526654"/>
        <w:rPr>
          <w:lang w:val="en-GB"/>
        </w:rPr>
      </w:pPr>
      <w:r w:rsidRPr="003D7DC8">
        <w:rPr>
          <w:lang w:val="en-GB"/>
        </w:rPr>
        <w:t xml:space="preserve">For analysis, the age at death was calculated using date of birth and date of death, where available. Where date of death was not recorded, the most recent COVID-19 vaccination date prior to death was used. Where no COVID-19 vaccination date was recorded, the age in years on the report form was used. We summarised the number of AEFI reports following COVID-19 vaccination with a fatal outcome reported in the AEMS by age, time between the most recent COVID-19 vaccination date and death, sender type, and </w:t>
      </w:r>
      <w:r w:rsidRPr="003D7DC8">
        <w:rPr>
          <w:lang w:val="en-GB"/>
        </w:rPr>
        <w:lastRenderedPageBreak/>
        <w:t>most recent COVID-19 vaccine dose number. We also summarised the most common PT/SMQ with an outcome of ‘fatal’.</w:t>
      </w:r>
    </w:p>
    <w:p w14:paraId="204E4AB6" w14:textId="3C526831" w:rsidR="003D7DC8" w:rsidRDefault="003D7DC8" w:rsidP="003D7DC8">
      <w:pPr>
        <w:pStyle w:val="Heading2"/>
        <w:divId w:val="935526654"/>
        <w:rPr>
          <w:lang w:val="en-GB"/>
        </w:rPr>
      </w:pPr>
      <w:r>
        <w:rPr>
          <w:lang w:val="en-GB"/>
        </w:rPr>
        <w:t>Safety monitoring</w:t>
      </w:r>
    </w:p>
    <w:p w14:paraId="3BB7178A" w14:textId="77777777" w:rsidR="003D7DC8" w:rsidRPr="003D7DC8" w:rsidRDefault="003D7DC8" w:rsidP="003D7DC8">
      <w:pPr>
        <w:divId w:val="935526654"/>
        <w:rPr>
          <w:lang w:val="en-GB"/>
        </w:rPr>
      </w:pPr>
      <w:r w:rsidRPr="003D7DC8">
        <w:rPr>
          <w:lang w:val="en-GB"/>
        </w:rPr>
        <w:t>The TGA conducts analyses across all AEFI reports, to detect rare or emerging safety signals. Medical literature, media, and other potential sources of new safety information are monitored and compared to local data by the TGA, who also collaborate with international regulators to review global safety data. This process is in addition to other safety monitoring processes, including the safety monitoring responsibilities of vaccine sponsors.</w:t>
      </w:r>
    </w:p>
    <w:p w14:paraId="3ACCEACE" w14:textId="64838DEB" w:rsidR="003D7DC8" w:rsidRPr="003D7DC8" w:rsidRDefault="003D7DC8" w:rsidP="003D7DC8">
      <w:pPr>
        <w:pStyle w:val="Heading3"/>
        <w:divId w:val="935526654"/>
        <w:rPr>
          <w:lang w:val="en-GB"/>
        </w:rPr>
      </w:pPr>
      <w:r>
        <w:rPr>
          <w:lang w:val="en-GB"/>
        </w:rPr>
        <w:t>Safety investigations</w:t>
      </w:r>
    </w:p>
    <w:p w14:paraId="7AE15ED9" w14:textId="77777777" w:rsidR="003D7DC8" w:rsidRPr="003D7DC8" w:rsidRDefault="003D7DC8" w:rsidP="003D7DC8">
      <w:pPr>
        <w:divId w:val="935526654"/>
        <w:rPr>
          <w:lang w:val="en-GB"/>
        </w:rPr>
      </w:pPr>
      <w:r w:rsidRPr="003D7DC8">
        <w:rPr>
          <w:lang w:val="en-GB"/>
        </w:rPr>
        <w:t>The TGA safety monitoring processes are used to identify potential new safety issues for a vaccine. When the TGA detects a potential new safety issue, an investigation is undertaken to identify the strength of evidence between the medical condition and a vaccine product. In the context of rapidly emerging evidence in the COVID-19 pandemic, the TGA investigation process is considered a ‘point in time’ assessment of the known information, and is repeated when new evidence comes to light. This ensures that the TGA investigation process is responsive and adaptive in a rapidly changing environment. If the TGA identifies a new safety issue, it responds with appropriate regulatory action. This can include negotiating with the vaccine sponsor to add warnings to the product information; providing safety information to vaccine providers; making changes to labelling or packaging; or, in very serious matters, suspending use of the vaccine. We summarised the main safety topics that underwent a TGA-initiated targeted investigation in 2021 and the outcomes of this work at the end of 2021. A targeted investigation may be initiated by the TGA following a preliminary assessment of information arising from reporting patterns, overseas regulators, published literature and other sources of safety data. As new information arises about a potential issue, multiple targeted investigations may be undertaken and investigations may occur through other processes such as the TGA’s review of sponsor safety data. As a result, Table 8 does not capture the total number of investigations performed by the TGA, or the regulatory action that occurred subsequently for these safety issues in 2022 or beyond. In addition, safety data informs clinical guidance and actions on use of the vaccines in Australia, as provided by the Australian Technical Advisory Group on Immunisation (ATAGI) and published in immunisation program guidelines (such as the Australian Immunisation Handbook and ATAGI COVID-19 vaccination guidance).</w:t>
      </w:r>
    </w:p>
    <w:p w14:paraId="77158DFF" w14:textId="67983024" w:rsidR="003D7DC8" w:rsidRDefault="003D7DC8" w:rsidP="003D7DC8">
      <w:pPr>
        <w:pStyle w:val="Heading2"/>
        <w:divId w:val="935526654"/>
        <w:rPr>
          <w:lang w:val="en-GB"/>
        </w:rPr>
      </w:pPr>
      <w:r>
        <w:rPr>
          <w:lang w:val="en-GB"/>
        </w:rPr>
        <w:t>Data analysis</w:t>
      </w:r>
    </w:p>
    <w:p w14:paraId="33737CC4" w14:textId="77777777" w:rsidR="003D7DC8" w:rsidRPr="003D7DC8" w:rsidRDefault="003D7DC8" w:rsidP="003D7DC8">
      <w:pPr>
        <w:divId w:val="935526654"/>
        <w:rPr>
          <w:lang w:val="en-GB"/>
        </w:rPr>
      </w:pPr>
      <w:r w:rsidRPr="003D7DC8">
        <w:rPr>
          <w:lang w:val="en-GB"/>
        </w:rPr>
        <w:t>All data cleaning and analyses were performed using R version 4.0.3. Average annual population-based AEFI reporting rates were calculated for each state and territory and by age group using June 2021 population estimates obtained from the Australian Bureau of Statistics.</w:t>
      </w:r>
      <w:r w:rsidRPr="003D7DC8">
        <w:rPr>
          <w:rStyle w:val="Superscript"/>
          <w:lang w:val="en-GB"/>
        </w:rPr>
        <w:t>29</w:t>
      </w:r>
      <w:r w:rsidRPr="003D7DC8">
        <w:rPr>
          <w:lang w:val="en-GB"/>
        </w:rPr>
        <w:t xml:space="preserve"> AEFI reporting rates per 100,000 administered doses were estimated for the year 2021 and by month. The number of administered doses of each of the vaccines given was obtained from the Australian Immunisation Register (AIR), a national population-based register.</w:t>
      </w:r>
      <w:r w:rsidRPr="003D7DC8">
        <w:rPr>
          <w:rStyle w:val="Superscript"/>
          <w:lang w:val="en-GB"/>
        </w:rPr>
        <w:t>30</w:t>
      </w:r>
      <w:r w:rsidRPr="003D7DC8">
        <w:rPr>
          <w:lang w:val="en-GB"/>
        </w:rPr>
        <w:t xml:space="preserve"> Confidence intervals presented are 95% exact binomial confidence intervals for proportions.</w:t>
      </w:r>
    </w:p>
    <w:p w14:paraId="1F641343" w14:textId="2B06863F" w:rsidR="003D7DC8" w:rsidRDefault="003D7DC8" w:rsidP="003D7DC8">
      <w:pPr>
        <w:pStyle w:val="Heading2"/>
        <w:divId w:val="935526654"/>
        <w:rPr>
          <w:lang w:val="en-GB"/>
        </w:rPr>
      </w:pPr>
      <w:r>
        <w:rPr>
          <w:lang w:val="en-GB"/>
        </w:rPr>
        <w:lastRenderedPageBreak/>
        <w:t>Notes on interpretation</w:t>
      </w:r>
    </w:p>
    <w:p w14:paraId="49305E35" w14:textId="77777777" w:rsidR="003D7DC8" w:rsidRPr="003D7DC8" w:rsidRDefault="003D7DC8" w:rsidP="003D7DC8">
      <w:pPr>
        <w:divId w:val="935526654"/>
        <w:rPr>
          <w:lang w:val="en-GB"/>
        </w:rPr>
      </w:pPr>
      <w:r w:rsidRPr="003D7DC8">
        <w:rPr>
          <w:lang w:val="en-GB"/>
        </w:rPr>
        <w:t xml:space="preserve">The data reported here are provisional, particularly for the fourth quarter of 2021 due to reporting delays and the late onset of some reported AEFI. </w:t>
      </w:r>
    </w:p>
    <w:p w14:paraId="5F9AF942" w14:textId="6578710C" w:rsidR="004464EC" w:rsidRDefault="003D7DC8" w:rsidP="003D7DC8">
      <w:pPr>
        <w:divId w:val="935526654"/>
        <w:rPr>
          <w:lang w:val="en-GB"/>
        </w:rPr>
      </w:pPr>
      <w:r w:rsidRPr="003D7DC8">
        <w:rPr>
          <w:lang w:val="en-GB"/>
        </w:rPr>
        <w:t xml:space="preserve">As this report analysed data from the AEMS database, the numbers published in this report may be different to the numbers found in the </w:t>
      </w:r>
      <w:r w:rsidRPr="003D7DC8">
        <w:rPr>
          <w:rStyle w:val="Italic"/>
          <w:lang w:val="en-GB"/>
        </w:rPr>
        <w:t>Database of Adverse Event Notifications (DAEN)</w:t>
      </w:r>
      <w:r w:rsidRPr="003D7DC8">
        <w:rPr>
          <w:lang w:val="en-GB"/>
        </w:rPr>
        <w:t xml:space="preserve"> – medicines, a public online database maintained by the TGA that contains reports of adverse events for all medicines and vaccines.</w:t>
      </w:r>
      <w:r w:rsidRPr="003D7DC8">
        <w:rPr>
          <w:rStyle w:val="Superscript"/>
          <w:lang w:val="en-GB"/>
        </w:rPr>
        <w:t>31</w:t>
      </w:r>
      <w:r w:rsidRPr="003D7DC8">
        <w:rPr>
          <w:lang w:val="en-GB"/>
        </w:rPr>
        <w:t xml:space="preserve"> The AEMS database includes more detailed information on each AEFI report and incorporates amendments and updates to reports when additional information is made available to the TGA. As the data for this analysis were extracted from AEMS in May 2022, there may be discrepancies with the </w:t>
      </w:r>
      <w:r w:rsidRPr="003D7DC8">
        <w:rPr>
          <w:rStyle w:val="Italic"/>
          <w:lang w:val="en-GB"/>
        </w:rPr>
        <w:t>DAEN – medicines</w:t>
      </w:r>
      <w:r w:rsidRPr="003D7DC8">
        <w:rPr>
          <w:lang w:val="en-GB"/>
        </w:rPr>
        <w:t xml:space="preserve">, which is a live database that reflects new information made available to the TGA after May 2022. </w:t>
      </w:r>
    </w:p>
    <w:p w14:paraId="5895CA80" w14:textId="77777777" w:rsidR="004464EC" w:rsidRPr="000B2A20" w:rsidRDefault="004464EC" w:rsidP="000B2A20">
      <w:r w:rsidRPr="000B2A20">
        <w:br w:type="page"/>
      </w:r>
    </w:p>
    <w:p w14:paraId="5ED6C842" w14:textId="77777777" w:rsidR="00620509" w:rsidRDefault="00620509" w:rsidP="00620509">
      <w:pPr>
        <w:pStyle w:val="Heading1"/>
        <w:divId w:val="935526654"/>
        <w:rPr>
          <w:lang w:val="en-GB"/>
        </w:rPr>
      </w:pPr>
      <w:r>
        <w:rPr>
          <w:lang w:val="en-GB"/>
        </w:rPr>
        <w:lastRenderedPageBreak/>
        <w:t>Results</w:t>
      </w:r>
    </w:p>
    <w:p w14:paraId="68A05694" w14:textId="77777777" w:rsidR="004464EC" w:rsidRPr="004464EC" w:rsidRDefault="004464EC" w:rsidP="004464EC">
      <w:pPr>
        <w:divId w:val="935526654"/>
        <w:rPr>
          <w:lang w:val="en-GB"/>
        </w:rPr>
      </w:pPr>
      <w:r w:rsidRPr="004464EC">
        <w:rPr>
          <w:lang w:val="en-GB"/>
        </w:rPr>
        <w:t>There were 111,348 reports in the AEMS database where the date of COVID-19 vaccination (or onset of adverse event or received date, if vaccination date was not reported) was between 1 January and 31 December 2021. Of all reports, 61,417 (55.2%) included Comirnaty; 45,768 (41.1%) included Vaxzevria; 3,890 (3.5%) included Spikevax; 472 (0.4%) reports included a COVID-19 vaccine with the trade name not reported. Note that more than one COVID-19 vaccine (of the same or a different brand) may be reported in one AEFI report.</w:t>
      </w:r>
    </w:p>
    <w:p w14:paraId="6A26696B" w14:textId="77777777" w:rsidR="004464EC" w:rsidRPr="004464EC" w:rsidRDefault="004464EC" w:rsidP="004464EC">
      <w:pPr>
        <w:divId w:val="935526654"/>
        <w:rPr>
          <w:lang w:val="en-GB"/>
        </w:rPr>
      </w:pPr>
      <w:r w:rsidRPr="004464EC">
        <w:rPr>
          <w:lang w:val="en-GB"/>
        </w:rPr>
        <w:t>Of reports with sex reported (N = 107,847), there were 73,091 AEFI reports (67.8%) in females and 34,756 (32.2%) in males; 3,501 reports (3.1% of total) did not report sex. Of reports with Indigenous status reported (N = 52,308), there were 1,401 AEFI reports (2.7%) in people who identified as Aboriginal and/or Torres Strait Islander; Indigenous status was not reported in 59,040 reports (53.0% of total).</w:t>
      </w:r>
    </w:p>
    <w:p w14:paraId="5EA71F29" w14:textId="77777777" w:rsidR="004464EC" w:rsidRPr="004464EC" w:rsidRDefault="004464EC" w:rsidP="004464EC">
      <w:pPr>
        <w:divId w:val="935526654"/>
        <w:rPr>
          <w:lang w:val="en-GB"/>
        </w:rPr>
      </w:pPr>
      <w:r w:rsidRPr="004464EC">
        <w:rPr>
          <w:lang w:val="en-GB"/>
        </w:rPr>
        <w:t>Of reports with age or date of birth reported (N = 106,340), there were 2,006 AEFI reports (1.9%) in adolescents aged 12–15 years; 76,748 (72.2%) in people aged 16–59 years; and 27,586 (25.9%) in adults aged ≥ 60 years; age was not reported for 5,008 AEFI reports (4.5% of total).</w:t>
      </w:r>
    </w:p>
    <w:p w14:paraId="4C635A4F" w14:textId="65A945D6" w:rsidR="004464EC" w:rsidRPr="004464EC" w:rsidRDefault="004464EC" w:rsidP="004464EC">
      <w:pPr>
        <w:divId w:val="935526654"/>
        <w:rPr>
          <w:lang w:val="en-GB"/>
        </w:rPr>
      </w:pPr>
      <w:r w:rsidRPr="004464EC">
        <w:rPr>
          <w:lang w:val="en-GB"/>
        </w:rPr>
        <w:t>Over half of AEFI reports (70,770; 63.6%) were reported directly to the TGA by a jurisdictional (state or territory) health department; 26.5% (29,461) were reported by consumers; 9.2% (10,296) were reported by health professionals; and 0.6% (711) were reported by pharmaceutical companies. There were also 110 reports (0.1%) reported by a regulatory authority, distributor or other organisation.</w:t>
      </w:r>
    </w:p>
    <w:p w14:paraId="70CD6DE8" w14:textId="6F6EA0CA" w:rsidR="00620509" w:rsidRDefault="004464EC" w:rsidP="004464EC">
      <w:pPr>
        <w:pStyle w:val="Heading2"/>
        <w:divId w:val="935526654"/>
        <w:rPr>
          <w:lang w:val="en-GB"/>
        </w:rPr>
      </w:pPr>
      <w:r>
        <w:rPr>
          <w:lang w:val="en-GB"/>
        </w:rPr>
        <w:t>Reporting rate</w:t>
      </w:r>
    </w:p>
    <w:p w14:paraId="2F7874A3" w14:textId="7186C906" w:rsidR="004464EC" w:rsidRPr="004464EC" w:rsidRDefault="004464EC" w:rsidP="004464EC">
      <w:pPr>
        <w:divId w:val="935526654"/>
        <w:rPr>
          <w:lang w:val="en-GB"/>
        </w:rPr>
      </w:pPr>
      <w:r w:rsidRPr="004464EC">
        <w:rPr>
          <w:lang w:val="en-GB"/>
        </w:rPr>
        <w:t>The overall COVID-19 vaccine AEFI reporting rate for 2021 was 271.4 (95% confidence interval [95% CI]: 269.8–273.0) per 100,000 doses in people aged ≥ 12 years and 507.8 (95% CI: 504.9–510.8) per 100,000 total population aged ≥ 12 years.</w:t>
      </w:r>
    </w:p>
    <w:p w14:paraId="3B1F4FC8" w14:textId="1485F14D" w:rsidR="004464EC" w:rsidRPr="004464EC" w:rsidRDefault="004464EC" w:rsidP="004464EC">
      <w:pPr>
        <w:divId w:val="935526654"/>
        <w:rPr>
          <w:lang w:val="en-GB"/>
        </w:rPr>
      </w:pPr>
      <w:r w:rsidRPr="004464EC">
        <w:rPr>
          <w:lang w:val="en-GB"/>
        </w:rPr>
        <w:t>The AEFI reporting rate per 100,000 doses was highest in people aged 16–59 years (284.4 per 100,000 doses; 95%CI: 282.4–286.4), followed by people aged ≥ 60 years (228.4 per 100,000 doses; 95%CI: 225.7–231.1). Adolescents aged 12–15 years had the lowest AEFI reporting rate at 105.9 per 100,000 doses (95%CI: 101.3–110.6) (Table 1). AEFI reporting rates were highest following Vaxzevria in all age groups. Noting that Vaxzevria was not approved for use in people aged &lt; 18 years; 90.2% of the AEFI reports for this vaccine in adolescents aged 12–15 years (37 of 41 reports) included the PT ‘vaccination error’.  AEFI reporting rates following Comirnaty and Spikevax were similar within each age group (Table 1).</w:t>
      </w:r>
    </w:p>
    <w:p w14:paraId="3B4478D5" w14:textId="33B727FD" w:rsidR="004464EC" w:rsidRPr="004464EC" w:rsidRDefault="004464EC" w:rsidP="004464EC">
      <w:pPr>
        <w:divId w:val="935526654"/>
        <w:rPr>
          <w:lang w:val="en-GB"/>
        </w:rPr>
      </w:pPr>
      <w:r w:rsidRPr="004464EC">
        <w:rPr>
          <w:lang w:val="en-GB"/>
        </w:rPr>
        <w:t>Population-based COVID-19 vaccine AEFI reporting patterns varied between states and territories. Victoria, New South Wales and Queensland had the highest number of AEFI reports, whilst the highest AEFI reporting rates by population were in Tasmania, Victoria, and the Northern Territory (Table 2).</w:t>
      </w:r>
    </w:p>
    <w:p w14:paraId="4CDC60AA" w14:textId="17B38C52" w:rsidR="004464EC" w:rsidRDefault="004464EC" w:rsidP="004464EC">
      <w:pPr>
        <w:divId w:val="935526654"/>
        <w:rPr>
          <w:lang w:val="en-GB"/>
        </w:rPr>
      </w:pPr>
      <w:r w:rsidRPr="004464EC">
        <w:rPr>
          <w:lang w:val="en-GB"/>
        </w:rPr>
        <w:t>Monthly AEFI reporting fluctuated in 2021, with peaks in April, June, and August (Figure 1), consistent with vaccine distribution quantities during the program. The number of AEFI reports following Vaxzevria was highest for vaccination dates in March and April in people aged 16–59 years and ≥ 60 years, respectively, while it was highest for vaccination dates in August for Comirnaty and in October for Spikevax (Figure 2).</w:t>
      </w:r>
    </w:p>
    <w:p w14:paraId="7A82DF1D" w14:textId="0C258476" w:rsidR="004464EC" w:rsidRDefault="00460E27" w:rsidP="00460E27">
      <w:pPr>
        <w:pStyle w:val="CDIFigure-Table-Title"/>
        <w:divId w:val="935526654"/>
      </w:pPr>
      <w:r w:rsidRPr="00460E27">
        <w:lastRenderedPageBreak/>
        <w:t>Table 1: Adverse events following immunisation (AEFI) reporting rates for COVID-19 vaccines listed as ‘suspected’ in reports of AEFI in the Adverse Event Management System database in 2021, by age group</w:t>
      </w:r>
    </w:p>
    <w:tbl>
      <w:tblPr>
        <w:tblW w:w="0" w:type="auto"/>
        <w:tblInd w:w="-8" w:type="dxa"/>
        <w:tblLayout w:type="fixed"/>
        <w:tblCellMar>
          <w:left w:w="0" w:type="dxa"/>
          <w:right w:w="0" w:type="dxa"/>
        </w:tblCellMar>
        <w:tblLook w:val="0000" w:firstRow="0" w:lastRow="0" w:firstColumn="0" w:lastColumn="0" w:noHBand="0" w:noVBand="0"/>
        <w:tblCaption w:val="Table 1: Adverse events following immunisation (AEFI) reporting rates for COVID-19 vaccines listed as ‘suspected’ in reports of AEFI in the Adverse Event Management System database in 2021, by age group"/>
        <w:tblDescription w:val="Table 1 shows three age groups corresponding roughly to COVID-19 vaccine recommendations in 2021: 12-15 years, 16-59 years and ≥60 years. Within each age group, data are provided on the number of AEFI reported for each specific COVID-19 vaccine, and on the number of vaccine doses administered, allowing the adverse event reporting rate per 100,000 doses of each vaccine to be calculated."/>
      </w:tblPr>
      <w:tblGrid>
        <w:gridCol w:w="1304"/>
        <w:gridCol w:w="1814"/>
        <w:gridCol w:w="1701"/>
        <w:gridCol w:w="1644"/>
        <w:gridCol w:w="3175"/>
      </w:tblGrid>
      <w:tr w:rsidR="00460E27" w14:paraId="5CFECCCC" w14:textId="77777777" w:rsidTr="00B92C70">
        <w:trPr>
          <w:divId w:val="935526654"/>
          <w:trHeight w:val="20"/>
          <w:tblHeader/>
        </w:trPr>
        <w:tc>
          <w:tcPr>
            <w:tcW w:w="1304" w:type="dxa"/>
            <w:shd w:val="clear" w:color="auto" w:fill="033636" w:themeFill="text2"/>
            <w:tcMar>
              <w:top w:w="113" w:type="dxa"/>
              <w:left w:w="113" w:type="dxa"/>
              <w:bottom w:w="113" w:type="dxa"/>
              <w:right w:w="113" w:type="dxa"/>
            </w:tcMar>
            <w:vAlign w:val="bottom"/>
          </w:tcPr>
          <w:p w14:paraId="58B7784F" w14:textId="77777777" w:rsidR="00460E27" w:rsidRDefault="00460E27" w:rsidP="00460E27">
            <w:pPr>
              <w:pStyle w:val="CDIFigure-Table-H1Left"/>
            </w:pPr>
            <w:r>
              <w:t>Age group</w:t>
            </w:r>
          </w:p>
        </w:tc>
        <w:tc>
          <w:tcPr>
            <w:tcW w:w="1814" w:type="dxa"/>
            <w:shd w:val="clear" w:color="auto" w:fill="033636" w:themeFill="text2"/>
            <w:tcMar>
              <w:top w:w="113" w:type="dxa"/>
              <w:left w:w="113" w:type="dxa"/>
              <w:bottom w:w="113" w:type="dxa"/>
              <w:right w:w="113" w:type="dxa"/>
            </w:tcMar>
            <w:vAlign w:val="bottom"/>
          </w:tcPr>
          <w:p w14:paraId="118F5128" w14:textId="77777777" w:rsidR="00460E27" w:rsidRDefault="00460E27" w:rsidP="00460E27">
            <w:pPr>
              <w:pStyle w:val="CDIFigure-Table-H1Left"/>
            </w:pPr>
            <w:r>
              <w:t>Vaccine</w:t>
            </w:r>
            <w:r>
              <w:rPr>
                <w:rStyle w:val="Superscript"/>
              </w:rPr>
              <w:t>a</w:t>
            </w:r>
          </w:p>
        </w:tc>
        <w:tc>
          <w:tcPr>
            <w:tcW w:w="1701" w:type="dxa"/>
            <w:shd w:val="clear" w:color="auto" w:fill="033636" w:themeFill="text2"/>
            <w:tcMar>
              <w:top w:w="113" w:type="dxa"/>
              <w:left w:w="113" w:type="dxa"/>
              <w:bottom w:w="113" w:type="dxa"/>
              <w:right w:w="113" w:type="dxa"/>
            </w:tcMar>
            <w:vAlign w:val="bottom"/>
          </w:tcPr>
          <w:p w14:paraId="422938EF" w14:textId="77777777" w:rsidR="00460E27" w:rsidRDefault="00460E27" w:rsidP="00460E27">
            <w:pPr>
              <w:pStyle w:val="CDIFigure-Table-H1"/>
            </w:pPr>
            <w:r>
              <w:t>AEFI reports (n)</w:t>
            </w:r>
            <w:r>
              <w:rPr>
                <w:rStyle w:val="Superscript"/>
              </w:rPr>
              <w:t>b</w:t>
            </w:r>
          </w:p>
        </w:tc>
        <w:tc>
          <w:tcPr>
            <w:tcW w:w="1644" w:type="dxa"/>
            <w:shd w:val="clear" w:color="auto" w:fill="033636" w:themeFill="text2"/>
            <w:tcMar>
              <w:top w:w="113" w:type="dxa"/>
              <w:left w:w="113" w:type="dxa"/>
              <w:bottom w:w="113" w:type="dxa"/>
              <w:right w:w="113" w:type="dxa"/>
            </w:tcMar>
            <w:vAlign w:val="bottom"/>
          </w:tcPr>
          <w:p w14:paraId="4279F4A7" w14:textId="77777777" w:rsidR="00460E27" w:rsidRDefault="00460E27" w:rsidP="00460E27">
            <w:pPr>
              <w:pStyle w:val="CDIFigure-Table-H1"/>
            </w:pPr>
            <w:r>
              <w:t>Vaccine doses</w:t>
            </w:r>
            <w:r>
              <w:rPr>
                <w:rStyle w:val="Superscript"/>
              </w:rPr>
              <w:t>c</w:t>
            </w:r>
          </w:p>
        </w:tc>
        <w:tc>
          <w:tcPr>
            <w:tcW w:w="3175" w:type="dxa"/>
            <w:shd w:val="clear" w:color="auto" w:fill="033636" w:themeFill="text2"/>
            <w:tcMar>
              <w:top w:w="113" w:type="dxa"/>
              <w:left w:w="113" w:type="dxa"/>
              <w:bottom w:w="113" w:type="dxa"/>
              <w:right w:w="113" w:type="dxa"/>
            </w:tcMar>
            <w:vAlign w:val="bottom"/>
          </w:tcPr>
          <w:p w14:paraId="5BAB7D9D" w14:textId="77777777" w:rsidR="00460E27" w:rsidRDefault="00460E27" w:rsidP="00460E27">
            <w:pPr>
              <w:pStyle w:val="CDIFigure-Table-H1"/>
            </w:pPr>
            <w:r>
              <w:t>Reporting rates per</w:t>
            </w:r>
            <w:r>
              <w:br/>
              <w:t>100,000 doses (95% CI)</w:t>
            </w:r>
            <w:r>
              <w:rPr>
                <w:rStyle w:val="Superscript"/>
              </w:rPr>
              <w:t>d</w:t>
            </w:r>
          </w:p>
        </w:tc>
      </w:tr>
      <w:tr w:rsidR="00460E27" w14:paraId="66440524" w14:textId="77777777" w:rsidTr="00460E27">
        <w:trPr>
          <w:divId w:val="935526654"/>
          <w:trHeight w:val="20"/>
        </w:trPr>
        <w:tc>
          <w:tcPr>
            <w:tcW w:w="1304" w:type="dxa"/>
            <w:vMerge w:val="restart"/>
            <w:shd w:val="clear" w:color="auto" w:fill="C5FFEF" w:themeFill="background2" w:themeFillTint="33"/>
            <w:tcMar>
              <w:top w:w="99" w:type="dxa"/>
              <w:left w:w="113" w:type="dxa"/>
              <w:bottom w:w="99" w:type="dxa"/>
              <w:right w:w="113" w:type="dxa"/>
            </w:tcMar>
            <w:vAlign w:val="center"/>
          </w:tcPr>
          <w:p w14:paraId="36038301" w14:textId="77777777" w:rsidR="00460E27" w:rsidRDefault="00460E27" w:rsidP="00460E27">
            <w:pPr>
              <w:pStyle w:val="CDIFigure-Table-BodyTextLeft"/>
            </w:pPr>
            <w:r>
              <w:t>12–15 years</w:t>
            </w:r>
          </w:p>
        </w:tc>
        <w:tc>
          <w:tcPr>
            <w:tcW w:w="1814" w:type="dxa"/>
            <w:shd w:val="clear" w:color="auto" w:fill="F2F2F2" w:themeFill="background1" w:themeFillShade="F2"/>
            <w:tcMar>
              <w:top w:w="94" w:type="dxa"/>
              <w:left w:w="113" w:type="dxa"/>
              <w:bottom w:w="94" w:type="dxa"/>
              <w:right w:w="113" w:type="dxa"/>
            </w:tcMar>
            <w:vAlign w:val="center"/>
          </w:tcPr>
          <w:p w14:paraId="3FC58F7C" w14:textId="77777777" w:rsidR="00460E27" w:rsidRDefault="00460E27" w:rsidP="00460E27">
            <w:pPr>
              <w:pStyle w:val="CDIFigure-Table-BodyTextLeft"/>
            </w:pPr>
            <w:r>
              <w:t>COVID-19 (all brands)</w:t>
            </w:r>
          </w:p>
        </w:tc>
        <w:tc>
          <w:tcPr>
            <w:tcW w:w="1701" w:type="dxa"/>
            <w:shd w:val="clear" w:color="auto" w:fill="F2F2F2" w:themeFill="background1" w:themeFillShade="F2"/>
            <w:tcMar>
              <w:top w:w="94" w:type="dxa"/>
              <w:left w:w="113" w:type="dxa"/>
              <w:bottom w:w="94" w:type="dxa"/>
              <w:right w:w="113" w:type="dxa"/>
            </w:tcMar>
            <w:vAlign w:val="center"/>
          </w:tcPr>
          <w:p w14:paraId="191E64E3" w14:textId="77777777" w:rsidR="00460E27" w:rsidRDefault="00460E27" w:rsidP="00460E27">
            <w:pPr>
              <w:pStyle w:val="CDIFigure-Table-BodyTextCentre"/>
            </w:pPr>
            <w:r>
              <w:t>2,006</w:t>
            </w:r>
          </w:p>
        </w:tc>
        <w:tc>
          <w:tcPr>
            <w:tcW w:w="1644" w:type="dxa"/>
            <w:shd w:val="clear" w:color="auto" w:fill="F2F2F2" w:themeFill="background1" w:themeFillShade="F2"/>
            <w:tcMar>
              <w:top w:w="94" w:type="dxa"/>
              <w:left w:w="113" w:type="dxa"/>
              <w:bottom w:w="94" w:type="dxa"/>
              <w:right w:w="113" w:type="dxa"/>
            </w:tcMar>
            <w:vAlign w:val="center"/>
          </w:tcPr>
          <w:p w14:paraId="3E110DF7" w14:textId="77777777" w:rsidR="00460E27" w:rsidRDefault="00460E27" w:rsidP="00460E27">
            <w:pPr>
              <w:pStyle w:val="CDIFigure-Table-BodyTextCentre"/>
            </w:pPr>
            <w:r>
              <w:t>1,894,038</w:t>
            </w:r>
          </w:p>
        </w:tc>
        <w:tc>
          <w:tcPr>
            <w:tcW w:w="3175" w:type="dxa"/>
            <w:shd w:val="clear" w:color="auto" w:fill="F2F2F2" w:themeFill="background1" w:themeFillShade="F2"/>
            <w:tcMar>
              <w:top w:w="94" w:type="dxa"/>
              <w:left w:w="113" w:type="dxa"/>
              <w:bottom w:w="94" w:type="dxa"/>
              <w:right w:w="113" w:type="dxa"/>
            </w:tcMar>
            <w:vAlign w:val="center"/>
          </w:tcPr>
          <w:p w14:paraId="2F518ABB" w14:textId="77777777" w:rsidR="00460E27" w:rsidRDefault="00460E27" w:rsidP="00460E27">
            <w:pPr>
              <w:pStyle w:val="CDIFigure-Table-BodyTextCentre"/>
            </w:pPr>
            <w:r>
              <w:t>105.9 (101.3–110.6)</w:t>
            </w:r>
          </w:p>
        </w:tc>
      </w:tr>
      <w:tr w:rsidR="00460E27" w14:paraId="406BDB88" w14:textId="77777777" w:rsidTr="00460E27">
        <w:trPr>
          <w:divId w:val="935526654"/>
          <w:trHeight w:val="20"/>
        </w:trPr>
        <w:tc>
          <w:tcPr>
            <w:tcW w:w="1304" w:type="dxa"/>
            <w:vMerge/>
            <w:shd w:val="clear" w:color="auto" w:fill="C5FFEF" w:themeFill="background2" w:themeFillTint="33"/>
          </w:tcPr>
          <w:p w14:paraId="5A8634C8" w14:textId="77777777" w:rsidR="00460E27" w:rsidRDefault="00460E27" w:rsidP="00460E27">
            <w:pPr>
              <w:pStyle w:val="CDIFigure-Table-BodyTextLeft"/>
            </w:pPr>
          </w:p>
        </w:tc>
        <w:tc>
          <w:tcPr>
            <w:tcW w:w="1814" w:type="dxa"/>
            <w:tcMar>
              <w:top w:w="94" w:type="dxa"/>
              <w:left w:w="113" w:type="dxa"/>
              <w:bottom w:w="94" w:type="dxa"/>
              <w:right w:w="113" w:type="dxa"/>
            </w:tcMar>
            <w:vAlign w:val="center"/>
          </w:tcPr>
          <w:p w14:paraId="69A3BC6A" w14:textId="77777777" w:rsidR="00460E27" w:rsidRDefault="00460E27" w:rsidP="00460E27">
            <w:pPr>
              <w:pStyle w:val="CDIFigure-Table-BodyTextLeft"/>
            </w:pPr>
            <w:r>
              <w:t>Comirnaty</w:t>
            </w:r>
          </w:p>
        </w:tc>
        <w:tc>
          <w:tcPr>
            <w:tcW w:w="1701" w:type="dxa"/>
            <w:tcMar>
              <w:top w:w="94" w:type="dxa"/>
              <w:left w:w="113" w:type="dxa"/>
              <w:bottom w:w="94" w:type="dxa"/>
              <w:right w:w="113" w:type="dxa"/>
            </w:tcMar>
            <w:vAlign w:val="center"/>
          </w:tcPr>
          <w:p w14:paraId="49800D97" w14:textId="77777777" w:rsidR="00460E27" w:rsidRDefault="00460E27" w:rsidP="00460E27">
            <w:pPr>
              <w:pStyle w:val="CDIFigure-Table-BodyTextCentre"/>
            </w:pPr>
            <w:r>
              <w:t>1,701</w:t>
            </w:r>
          </w:p>
        </w:tc>
        <w:tc>
          <w:tcPr>
            <w:tcW w:w="1644" w:type="dxa"/>
            <w:tcMar>
              <w:top w:w="94" w:type="dxa"/>
              <w:left w:w="113" w:type="dxa"/>
              <w:bottom w:w="94" w:type="dxa"/>
              <w:right w:w="113" w:type="dxa"/>
            </w:tcMar>
            <w:vAlign w:val="center"/>
          </w:tcPr>
          <w:p w14:paraId="509646F3" w14:textId="77777777" w:rsidR="00460E27" w:rsidRDefault="00460E27" w:rsidP="00460E27">
            <w:pPr>
              <w:pStyle w:val="CDIFigure-Table-BodyTextCentre"/>
            </w:pPr>
            <w:r>
              <w:t>1,678,226</w:t>
            </w:r>
          </w:p>
        </w:tc>
        <w:tc>
          <w:tcPr>
            <w:tcW w:w="3175" w:type="dxa"/>
            <w:tcMar>
              <w:top w:w="94" w:type="dxa"/>
              <w:left w:w="113" w:type="dxa"/>
              <w:bottom w:w="94" w:type="dxa"/>
              <w:right w:w="113" w:type="dxa"/>
            </w:tcMar>
            <w:vAlign w:val="center"/>
          </w:tcPr>
          <w:p w14:paraId="302CC41A" w14:textId="77777777" w:rsidR="00460E27" w:rsidRDefault="00460E27" w:rsidP="00460E27">
            <w:pPr>
              <w:pStyle w:val="CDIFigure-Table-BodyTextCentre"/>
            </w:pPr>
            <w:r>
              <w:t>101.4 (96.6–106.3)</w:t>
            </w:r>
          </w:p>
        </w:tc>
      </w:tr>
      <w:tr w:rsidR="00460E27" w14:paraId="55FBF5A0" w14:textId="77777777" w:rsidTr="00460E27">
        <w:trPr>
          <w:divId w:val="935526654"/>
          <w:trHeight w:val="89"/>
        </w:trPr>
        <w:tc>
          <w:tcPr>
            <w:tcW w:w="1304" w:type="dxa"/>
            <w:vMerge/>
            <w:shd w:val="clear" w:color="auto" w:fill="C5FFEF" w:themeFill="background2" w:themeFillTint="33"/>
          </w:tcPr>
          <w:p w14:paraId="04D1D231" w14:textId="77777777" w:rsidR="00460E27" w:rsidRDefault="00460E27" w:rsidP="00460E27">
            <w:pPr>
              <w:pStyle w:val="CDIFigure-Table-BodyTextLeft"/>
            </w:pPr>
          </w:p>
        </w:tc>
        <w:tc>
          <w:tcPr>
            <w:tcW w:w="1814" w:type="dxa"/>
            <w:shd w:val="clear" w:color="auto" w:fill="F2F2F2" w:themeFill="background1" w:themeFillShade="F2"/>
            <w:tcMar>
              <w:top w:w="94" w:type="dxa"/>
              <w:left w:w="113" w:type="dxa"/>
              <w:bottom w:w="94" w:type="dxa"/>
              <w:right w:w="113" w:type="dxa"/>
            </w:tcMar>
            <w:vAlign w:val="center"/>
          </w:tcPr>
          <w:p w14:paraId="007956DB" w14:textId="77777777" w:rsidR="00460E27" w:rsidRDefault="00460E27" w:rsidP="00460E27">
            <w:pPr>
              <w:pStyle w:val="CDIFigure-Table-BodyTextLeft"/>
            </w:pPr>
            <w:r>
              <w:t>Vaxzevria</w:t>
            </w:r>
            <w:r>
              <w:rPr>
                <w:rStyle w:val="Superscript"/>
              </w:rPr>
              <w:t>e</w:t>
            </w:r>
          </w:p>
        </w:tc>
        <w:tc>
          <w:tcPr>
            <w:tcW w:w="1701" w:type="dxa"/>
            <w:shd w:val="clear" w:color="auto" w:fill="F2F2F2" w:themeFill="background1" w:themeFillShade="F2"/>
            <w:tcMar>
              <w:top w:w="94" w:type="dxa"/>
              <w:left w:w="113" w:type="dxa"/>
              <w:bottom w:w="94" w:type="dxa"/>
              <w:right w:w="113" w:type="dxa"/>
            </w:tcMar>
            <w:vAlign w:val="center"/>
          </w:tcPr>
          <w:p w14:paraId="4A05B3C0" w14:textId="77777777" w:rsidR="00460E27" w:rsidRDefault="00460E27" w:rsidP="00460E27">
            <w:pPr>
              <w:pStyle w:val="CDIFigure-Table-BodyTextCentre"/>
            </w:pPr>
            <w:r>
              <w:t>41</w:t>
            </w:r>
            <w:r>
              <w:rPr>
                <w:rStyle w:val="Superscript"/>
              </w:rPr>
              <w:t>e</w:t>
            </w:r>
          </w:p>
        </w:tc>
        <w:tc>
          <w:tcPr>
            <w:tcW w:w="1644" w:type="dxa"/>
            <w:shd w:val="clear" w:color="auto" w:fill="F2F2F2" w:themeFill="background1" w:themeFillShade="F2"/>
            <w:tcMar>
              <w:top w:w="94" w:type="dxa"/>
              <w:left w:w="113" w:type="dxa"/>
              <w:bottom w:w="94" w:type="dxa"/>
              <w:right w:w="113" w:type="dxa"/>
            </w:tcMar>
            <w:vAlign w:val="center"/>
          </w:tcPr>
          <w:p w14:paraId="57CD9C53" w14:textId="77777777" w:rsidR="00460E27" w:rsidRDefault="00460E27" w:rsidP="00460E27">
            <w:pPr>
              <w:pStyle w:val="CDIFigure-Table-BodyTextCentre"/>
            </w:pPr>
            <w:r>
              <w:t>303</w:t>
            </w:r>
            <w:r>
              <w:rPr>
                <w:rStyle w:val="Superscript"/>
              </w:rPr>
              <w:t>e</w:t>
            </w:r>
          </w:p>
        </w:tc>
        <w:tc>
          <w:tcPr>
            <w:tcW w:w="3175" w:type="dxa"/>
            <w:shd w:val="clear" w:color="auto" w:fill="F2F2F2" w:themeFill="background1" w:themeFillShade="F2"/>
            <w:tcMar>
              <w:top w:w="94" w:type="dxa"/>
              <w:left w:w="113" w:type="dxa"/>
              <w:bottom w:w="94" w:type="dxa"/>
              <w:right w:w="113" w:type="dxa"/>
            </w:tcMar>
            <w:vAlign w:val="center"/>
          </w:tcPr>
          <w:p w14:paraId="05F2FDB6" w14:textId="77777777" w:rsidR="00460E27" w:rsidRDefault="00460E27" w:rsidP="00460E27">
            <w:pPr>
              <w:pStyle w:val="CDIFigure-Table-BodyTextCentre"/>
            </w:pPr>
            <w:r>
              <w:t>13,531.4 (9,888.3–17,906.1)</w:t>
            </w:r>
            <w:r>
              <w:rPr>
                <w:rStyle w:val="Superscript"/>
              </w:rPr>
              <w:t>e</w:t>
            </w:r>
          </w:p>
        </w:tc>
      </w:tr>
      <w:tr w:rsidR="00460E27" w14:paraId="31193031" w14:textId="77777777" w:rsidTr="00460E27">
        <w:trPr>
          <w:divId w:val="935526654"/>
          <w:trHeight w:val="20"/>
        </w:trPr>
        <w:tc>
          <w:tcPr>
            <w:tcW w:w="1304" w:type="dxa"/>
            <w:vMerge/>
            <w:tcBorders>
              <w:bottom w:val="single" w:sz="4" w:space="0" w:color="033636" w:themeColor="text2"/>
            </w:tcBorders>
            <w:shd w:val="clear" w:color="auto" w:fill="C5FFEF" w:themeFill="background2" w:themeFillTint="33"/>
          </w:tcPr>
          <w:p w14:paraId="3E0AD20B" w14:textId="77777777" w:rsidR="00460E27" w:rsidRDefault="00460E27" w:rsidP="00460E27">
            <w:pPr>
              <w:pStyle w:val="CDIFigure-Table-BodyTextLeft"/>
            </w:pPr>
          </w:p>
        </w:tc>
        <w:tc>
          <w:tcPr>
            <w:tcW w:w="1814" w:type="dxa"/>
            <w:tcBorders>
              <w:bottom w:val="single" w:sz="4" w:space="0" w:color="033636" w:themeColor="text2"/>
            </w:tcBorders>
            <w:tcMar>
              <w:top w:w="94" w:type="dxa"/>
              <w:left w:w="113" w:type="dxa"/>
              <w:bottom w:w="94" w:type="dxa"/>
              <w:right w:w="113" w:type="dxa"/>
            </w:tcMar>
            <w:vAlign w:val="center"/>
          </w:tcPr>
          <w:p w14:paraId="4028BE72" w14:textId="77777777" w:rsidR="00460E27" w:rsidRDefault="00460E27" w:rsidP="00460E27">
            <w:pPr>
              <w:pStyle w:val="CDIFigure-Table-BodyTextLeft"/>
            </w:pPr>
            <w:r>
              <w:t>Spikevax</w:t>
            </w:r>
          </w:p>
        </w:tc>
        <w:tc>
          <w:tcPr>
            <w:tcW w:w="1701" w:type="dxa"/>
            <w:tcBorders>
              <w:bottom w:val="single" w:sz="4" w:space="0" w:color="033636" w:themeColor="text2"/>
            </w:tcBorders>
            <w:tcMar>
              <w:top w:w="94" w:type="dxa"/>
              <w:left w:w="113" w:type="dxa"/>
              <w:bottom w:w="94" w:type="dxa"/>
              <w:right w:w="113" w:type="dxa"/>
            </w:tcMar>
            <w:vAlign w:val="center"/>
          </w:tcPr>
          <w:p w14:paraId="761EFC12" w14:textId="77777777" w:rsidR="00460E27" w:rsidRDefault="00460E27" w:rsidP="00460E27">
            <w:pPr>
              <w:pStyle w:val="CDIFigure-Table-BodyTextCentre"/>
            </w:pPr>
            <w:r>
              <w:t>261</w:t>
            </w:r>
          </w:p>
        </w:tc>
        <w:tc>
          <w:tcPr>
            <w:tcW w:w="1644" w:type="dxa"/>
            <w:tcBorders>
              <w:bottom w:val="single" w:sz="4" w:space="0" w:color="033636" w:themeColor="text2"/>
            </w:tcBorders>
            <w:tcMar>
              <w:top w:w="94" w:type="dxa"/>
              <w:left w:w="113" w:type="dxa"/>
              <w:bottom w:w="94" w:type="dxa"/>
              <w:right w:w="113" w:type="dxa"/>
            </w:tcMar>
            <w:vAlign w:val="center"/>
          </w:tcPr>
          <w:p w14:paraId="1DB92485" w14:textId="77777777" w:rsidR="00460E27" w:rsidRDefault="00460E27" w:rsidP="00460E27">
            <w:pPr>
              <w:pStyle w:val="CDIFigure-Table-BodyTextCentre"/>
            </w:pPr>
            <w:r>
              <w:t>215,509</w:t>
            </w:r>
          </w:p>
        </w:tc>
        <w:tc>
          <w:tcPr>
            <w:tcW w:w="3175" w:type="dxa"/>
            <w:tcBorders>
              <w:bottom w:val="single" w:sz="4" w:space="0" w:color="033636" w:themeColor="text2"/>
            </w:tcBorders>
            <w:tcMar>
              <w:top w:w="94" w:type="dxa"/>
              <w:left w:w="113" w:type="dxa"/>
              <w:bottom w:w="94" w:type="dxa"/>
              <w:right w:w="113" w:type="dxa"/>
            </w:tcMar>
            <w:vAlign w:val="center"/>
          </w:tcPr>
          <w:p w14:paraId="62BABE08" w14:textId="77777777" w:rsidR="00460E27" w:rsidRDefault="00460E27" w:rsidP="00460E27">
            <w:pPr>
              <w:pStyle w:val="CDIFigure-Table-BodyTextCentre"/>
            </w:pPr>
            <w:r>
              <w:t>121.1 (106.9–136.7)</w:t>
            </w:r>
          </w:p>
        </w:tc>
      </w:tr>
      <w:tr w:rsidR="009B2B5F" w14:paraId="3A97099A" w14:textId="77777777" w:rsidTr="00460E27">
        <w:trPr>
          <w:divId w:val="935526654"/>
          <w:trHeight w:val="20"/>
        </w:trPr>
        <w:tc>
          <w:tcPr>
            <w:tcW w:w="1304" w:type="dxa"/>
            <w:vMerge w:val="restart"/>
            <w:tcBorders>
              <w:top w:val="single" w:sz="4" w:space="0" w:color="033636" w:themeColor="text2"/>
            </w:tcBorders>
            <w:shd w:val="clear" w:color="auto" w:fill="C5FFEF" w:themeFill="background2" w:themeFillTint="33"/>
            <w:tcMar>
              <w:top w:w="99" w:type="dxa"/>
              <w:left w:w="113" w:type="dxa"/>
              <w:bottom w:w="99" w:type="dxa"/>
              <w:right w:w="113" w:type="dxa"/>
            </w:tcMar>
            <w:vAlign w:val="center"/>
          </w:tcPr>
          <w:p w14:paraId="2E5AA83C" w14:textId="77777777" w:rsidR="00460E27" w:rsidRDefault="00460E27" w:rsidP="00460E27">
            <w:pPr>
              <w:pStyle w:val="CDIFigure-Table-BodyTextLeft"/>
            </w:pPr>
            <w:r>
              <w:t>16–59 years</w:t>
            </w:r>
          </w:p>
        </w:tc>
        <w:tc>
          <w:tcPr>
            <w:tcW w:w="1814"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66F4D6DE" w14:textId="77777777" w:rsidR="00460E27" w:rsidRDefault="00460E27" w:rsidP="00460E27">
            <w:pPr>
              <w:pStyle w:val="CDIFigure-Table-BodyTextLeft"/>
            </w:pPr>
            <w:r>
              <w:t>COVID-19 (all brands)</w:t>
            </w:r>
          </w:p>
        </w:tc>
        <w:tc>
          <w:tcPr>
            <w:tcW w:w="1701"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59E3F104" w14:textId="77777777" w:rsidR="00460E27" w:rsidRDefault="00460E27" w:rsidP="00460E27">
            <w:pPr>
              <w:pStyle w:val="CDIFigure-Table-BodyTextCentre"/>
            </w:pPr>
            <w:r>
              <w:t>76,852</w:t>
            </w:r>
          </w:p>
        </w:tc>
        <w:tc>
          <w:tcPr>
            <w:tcW w:w="1644"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18A215A6" w14:textId="77777777" w:rsidR="00460E27" w:rsidRDefault="00460E27" w:rsidP="00460E27">
            <w:pPr>
              <w:pStyle w:val="CDIFigure-Table-BodyTextCentre"/>
            </w:pPr>
            <w:r>
              <w:t>27,024,762</w:t>
            </w:r>
          </w:p>
        </w:tc>
        <w:tc>
          <w:tcPr>
            <w:tcW w:w="3175"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1D254A10" w14:textId="77777777" w:rsidR="00460E27" w:rsidRDefault="00460E27" w:rsidP="00460E27">
            <w:pPr>
              <w:pStyle w:val="CDIFigure-Table-BodyTextCentre"/>
            </w:pPr>
            <w:r>
              <w:t>284.4 (282.4–286.4)</w:t>
            </w:r>
          </w:p>
        </w:tc>
      </w:tr>
      <w:tr w:rsidR="00460E27" w14:paraId="6E206823" w14:textId="77777777" w:rsidTr="00460E27">
        <w:trPr>
          <w:divId w:val="935526654"/>
          <w:trHeight w:val="20"/>
        </w:trPr>
        <w:tc>
          <w:tcPr>
            <w:tcW w:w="1304" w:type="dxa"/>
            <w:vMerge/>
            <w:shd w:val="clear" w:color="auto" w:fill="C5FFEF" w:themeFill="background2" w:themeFillTint="33"/>
          </w:tcPr>
          <w:p w14:paraId="4F581EDA" w14:textId="77777777" w:rsidR="00460E27" w:rsidRDefault="00460E27" w:rsidP="00460E27">
            <w:pPr>
              <w:pStyle w:val="CDIFigure-Table-BodyTextLeft"/>
            </w:pPr>
          </w:p>
        </w:tc>
        <w:tc>
          <w:tcPr>
            <w:tcW w:w="1814" w:type="dxa"/>
            <w:tcMar>
              <w:top w:w="94" w:type="dxa"/>
              <w:left w:w="113" w:type="dxa"/>
              <w:bottom w:w="94" w:type="dxa"/>
              <w:right w:w="113" w:type="dxa"/>
            </w:tcMar>
            <w:vAlign w:val="center"/>
          </w:tcPr>
          <w:p w14:paraId="02A47D19" w14:textId="77777777" w:rsidR="00460E27" w:rsidRDefault="00460E27" w:rsidP="00460E27">
            <w:pPr>
              <w:pStyle w:val="CDIFigure-Table-BodyTextLeft"/>
            </w:pPr>
            <w:r>
              <w:t>Comirnaty</w:t>
            </w:r>
          </w:p>
        </w:tc>
        <w:tc>
          <w:tcPr>
            <w:tcW w:w="1701" w:type="dxa"/>
            <w:tcMar>
              <w:top w:w="94" w:type="dxa"/>
              <w:left w:w="113" w:type="dxa"/>
              <w:bottom w:w="94" w:type="dxa"/>
              <w:right w:w="113" w:type="dxa"/>
            </w:tcMar>
            <w:vAlign w:val="center"/>
          </w:tcPr>
          <w:p w14:paraId="7B5FCAC5" w14:textId="77777777" w:rsidR="00460E27" w:rsidRDefault="00460E27" w:rsidP="00460E27">
            <w:pPr>
              <w:pStyle w:val="CDIFigure-Table-BodyTextCentre"/>
            </w:pPr>
            <w:r>
              <w:t>53,261</w:t>
            </w:r>
          </w:p>
        </w:tc>
        <w:tc>
          <w:tcPr>
            <w:tcW w:w="1644" w:type="dxa"/>
            <w:tcMar>
              <w:top w:w="94" w:type="dxa"/>
              <w:left w:w="113" w:type="dxa"/>
              <w:bottom w:w="94" w:type="dxa"/>
              <w:right w:w="113" w:type="dxa"/>
            </w:tcMar>
            <w:vAlign w:val="center"/>
          </w:tcPr>
          <w:p w14:paraId="24F2EB98" w14:textId="77777777" w:rsidR="00460E27" w:rsidRDefault="00460E27" w:rsidP="00460E27">
            <w:pPr>
              <w:pStyle w:val="CDIFigure-Table-BodyTextCentre"/>
            </w:pPr>
            <w:r>
              <w:t>21,456,765</w:t>
            </w:r>
          </w:p>
        </w:tc>
        <w:tc>
          <w:tcPr>
            <w:tcW w:w="3175" w:type="dxa"/>
            <w:tcMar>
              <w:top w:w="94" w:type="dxa"/>
              <w:left w:w="113" w:type="dxa"/>
              <w:bottom w:w="94" w:type="dxa"/>
              <w:right w:w="113" w:type="dxa"/>
            </w:tcMar>
            <w:vAlign w:val="center"/>
          </w:tcPr>
          <w:p w14:paraId="1644F2B9" w14:textId="77777777" w:rsidR="00460E27" w:rsidRDefault="00460E27" w:rsidP="00460E27">
            <w:pPr>
              <w:pStyle w:val="CDIFigure-Table-BodyTextCentre"/>
            </w:pPr>
            <w:r>
              <w:t>248.2 (246.1–250.3)</w:t>
            </w:r>
          </w:p>
        </w:tc>
      </w:tr>
      <w:tr w:rsidR="00460E27" w14:paraId="4024BAE5" w14:textId="77777777" w:rsidTr="00460E27">
        <w:trPr>
          <w:divId w:val="935526654"/>
          <w:trHeight w:val="20"/>
        </w:trPr>
        <w:tc>
          <w:tcPr>
            <w:tcW w:w="1304" w:type="dxa"/>
            <w:vMerge/>
            <w:tcBorders>
              <w:bottom w:val="single" w:sz="4" w:space="0" w:color="033636" w:themeColor="text2"/>
            </w:tcBorders>
            <w:shd w:val="clear" w:color="auto" w:fill="C5FFEF" w:themeFill="background2" w:themeFillTint="33"/>
          </w:tcPr>
          <w:p w14:paraId="6C480B1C" w14:textId="77777777" w:rsidR="00460E27" w:rsidRDefault="00460E27" w:rsidP="00460E27">
            <w:pPr>
              <w:pStyle w:val="CDIFigure-Table-BodyTextLeft"/>
            </w:pPr>
          </w:p>
        </w:tc>
        <w:tc>
          <w:tcPr>
            <w:tcW w:w="1814" w:type="dxa"/>
            <w:shd w:val="clear" w:color="auto" w:fill="F2F2F2" w:themeFill="background1" w:themeFillShade="F2"/>
            <w:tcMar>
              <w:top w:w="94" w:type="dxa"/>
              <w:left w:w="113" w:type="dxa"/>
              <w:bottom w:w="94" w:type="dxa"/>
              <w:right w:w="113" w:type="dxa"/>
            </w:tcMar>
            <w:vAlign w:val="center"/>
          </w:tcPr>
          <w:p w14:paraId="22DF2FE1" w14:textId="77777777" w:rsidR="00460E27" w:rsidRDefault="00460E27" w:rsidP="00460E27">
            <w:pPr>
              <w:pStyle w:val="CDIFigure-Table-BodyTextLeft"/>
            </w:pPr>
            <w:r>
              <w:t>Vaxzevria</w:t>
            </w:r>
          </w:p>
        </w:tc>
        <w:tc>
          <w:tcPr>
            <w:tcW w:w="1701" w:type="dxa"/>
            <w:shd w:val="clear" w:color="auto" w:fill="F2F2F2" w:themeFill="background1" w:themeFillShade="F2"/>
            <w:tcMar>
              <w:top w:w="94" w:type="dxa"/>
              <w:left w:w="113" w:type="dxa"/>
              <w:bottom w:w="94" w:type="dxa"/>
              <w:right w:w="113" w:type="dxa"/>
            </w:tcMar>
            <w:vAlign w:val="center"/>
          </w:tcPr>
          <w:p w14:paraId="673C8435" w14:textId="77777777" w:rsidR="00460E27" w:rsidRDefault="00460E27" w:rsidP="00460E27">
            <w:pPr>
              <w:pStyle w:val="CDIFigure-Table-BodyTextCentre"/>
            </w:pPr>
            <w:r>
              <w:t>20,421</w:t>
            </w:r>
          </w:p>
        </w:tc>
        <w:tc>
          <w:tcPr>
            <w:tcW w:w="1644" w:type="dxa"/>
            <w:shd w:val="clear" w:color="auto" w:fill="F2F2F2" w:themeFill="background1" w:themeFillShade="F2"/>
            <w:tcMar>
              <w:top w:w="94" w:type="dxa"/>
              <w:left w:w="113" w:type="dxa"/>
              <w:bottom w:w="94" w:type="dxa"/>
              <w:right w:w="113" w:type="dxa"/>
            </w:tcMar>
            <w:vAlign w:val="center"/>
          </w:tcPr>
          <w:p w14:paraId="17A8CB4F" w14:textId="77777777" w:rsidR="00460E27" w:rsidRDefault="00460E27" w:rsidP="00460E27">
            <w:pPr>
              <w:pStyle w:val="CDIFigure-Table-BodyTextCentre"/>
            </w:pPr>
            <w:r>
              <w:t>4,371,974</w:t>
            </w:r>
          </w:p>
        </w:tc>
        <w:tc>
          <w:tcPr>
            <w:tcW w:w="3175" w:type="dxa"/>
            <w:shd w:val="clear" w:color="auto" w:fill="F2F2F2" w:themeFill="background1" w:themeFillShade="F2"/>
            <w:tcMar>
              <w:top w:w="94" w:type="dxa"/>
              <w:left w:w="113" w:type="dxa"/>
              <w:bottom w:w="94" w:type="dxa"/>
              <w:right w:w="113" w:type="dxa"/>
            </w:tcMar>
            <w:vAlign w:val="center"/>
          </w:tcPr>
          <w:p w14:paraId="418C5850" w14:textId="77777777" w:rsidR="00460E27" w:rsidRDefault="00460E27" w:rsidP="00460E27">
            <w:pPr>
              <w:pStyle w:val="CDIFigure-Table-BodyTextCentre"/>
            </w:pPr>
            <w:r>
              <w:t>467.1 (460.7–473.5)</w:t>
            </w:r>
          </w:p>
        </w:tc>
      </w:tr>
      <w:tr w:rsidR="00460E27" w14:paraId="0AE58391" w14:textId="77777777" w:rsidTr="00460E27">
        <w:trPr>
          <w:divId w:val="935526654"/>
          <w:trHeight w:val="20"/>
        </w:trPr>
        <w:tc>
          <w:tcPr>
            <w:tcW w:w="1304" w:type="dxa"/>
            <w:vMerge/>
            <w:tcBorders>
              <w:top w:val="single" w:sz="4" w:space="0" w:color="033636" w:themeColor="text2"/>
              <w:bottom w:val="single" w:sz="4" w:space="0" w:color="033636" w:themeColor="text2"/>
            </w:tcBorders>
            <w:shd w:val="clear" w:color="auto" w:fill="C5FFEF" w:themeFill="background2" w:themeFillTint="33"/>
          </w:tcPr>
          <w:p w14:paraId="5C22C81E" w14:textId="77777777" w:rsidR="00460E27" w:rsidRDefault="00460E27" w:rsidP="00460E27">
            <w:pPr>
              <w:pStyle w:val="CDIFigure-Table-BodyTextLeft"/>
            </w:pPr>
          </w:p>
        </w:tc>
        <w:tc>
          <w:tcPr>
            <w:tcW w:w="1814" w:type="dxa"/>
            <w:tcBorders>
              <w:bottom w:val="single" w:sz="4" w:space="0" w:color="033636" w:themeColor="text2"/>
            </w:tcBorders>
            <w:tcMar>
              <w:top w:w="94" w:type="dxa"/>
              <w:left w:w="113" w:type="dxa"/>
              <w:bottom w:w="94" w:type="dxa"/>
              <w:right w:w="113" w:type="dxa"/>
            </w:tcMar>
            <w:vAlign w:val="center"/>
          </w:tcPr>
          <w:p w14:paraId="3D641A70" w14:textId="77777777" w:rsidR="00460E27" w:rsidRDefault="00460E27" w:rsidP="00460E27">
            <w:pPr>
              <w:pStyle w:val="CDIFigure-Table-BodyTextLeft"/>
            </w:pPr>
            <w:r>
              <w:t>Spikevax</w:t>
            </w:r>
          </w:p>
        </w:tc>
        <w:tc>
          <w:tcPr>
            <w:tcW w:w="1701" w:type="dxa"/>
            <w:tcBorders>
              <w:bottom w:val="single" w:sz="4" w:space="0" w:color="033636" w:themeColor="text2"/>
            </w:tcBorders>
            <w:tcMar>
              <w:top w:w="94" w:type="dxa"/>
              <w:left w:w="113" w:type="dxa"/>
              <w:bottom w:w="94" w:type="dxa"/>
              <w:right w:w="113" w:type="dxa"/>
            </w:tcMar>
            <w:vAlign w:val="center"/>
          </w:tcPr>
          <w:p w14:paraId="445717F9" w14:textId="77777777" w:rsidR="00460E27" w:rsidRDefault="00460E27" w:rsidP="00460E27">
            <w:pPr>
              <w:pStyle w:val="CDIFigure-Table-BodyTextCentre"/>
            </w:pPr>
            <w:r>
              <w:t>3,001</w:t>
            </w:r>
          </w:p>
        </w:tc>
        <w:tc>
          <w:tcPr>
            <w:tcW w:w="1644" w:type="dxa"/>
            <w:tcBorders>
              <w:bottom w:val="single" w:sz="4" w:space="0" w:color="033636" w:themeColor="text2"/>
            </w:tcBorders>
            <w:tcMar>
              <w:top w:w="94" w:type="dxa"/>
              <w:left w:w="113" w:type="dxa"/>
              <w:bottom w:w="94" w:type="dxa"/>
              <w:right w:w="113" w:type="dxa"/>
            </w:tcMar>
            <w:vAlign w:val="center"/>
          </w:tcPr>
          <w:p w14:paraId="5C3F8AC4" w14:textId="77777777" w:rsidR="00460E27" w:rsidRDefault="00460E27" w:rsidP="00460E27">
            <w:pPr>
              <w:pStyle w:val="CDIFigure-Table-BodyTextCentre"/>
            </w:pPr>
            <w:r>
              <w:t>1,195,997</w:t>
            </w:r>
          </w:p>
        </w:tc>
        <w:tc>
          <w:tcPr>
            <w:tcW w:w="3175" w:type="dxa"/>
            <w:tcBorders>
              <w:bottom w:val="single" w:sz="4" w:space="0" w:color="033636" w:themeColor="text2"/>
            </w:tcBorders>
            <w:tcMar>
              <w:top w:w="94" w:type="dxa"/>
              <w:left w:w="113" w:type="dxa"/>
              <w:bottom w:w="94" w:type="dxa"/>
              <w:right w:w="113" w:type="dxa"/>
            </w:tcMar>
            <w:vAlign w:val="center"/>
          </w:tcPr>
          <w:p w14:paraId="0CBB5CD8" w14:textId="77777777" w:rsidR="00460E27" w:rsidRDefault="00460E27" w:rsidP="00460E27">
            <w:pPr>
              <w:pStyle w:val="CDIFigure-Table-BodyTextCentre"/>
            </w:pPr>
            <w:r>
              <w:t>250.9 (242–260)</w:t>
            </w:r>
          </w:p>
        </w:tc>
      </w:tr>
      <w:tr w:rsidR="009B2B5F" w14:paraId="08650035" w14:textId="77777777" w:rsidTr="00460E27">
        <w:trPr>
          <w:divId w:val="935526654"/>
          <w:trHeight w:val="20"/>
        </w:trPr>
        <w:tc>
          <w:tcPr>
            <w:tcW w:w="1304" w:type="dxa"/>
            <w:vMerge w:val="restart"/>
            <w:tcBorders>
              <w:top w:val="single" w:sz="4" w:space="0" w:color="033636" w:themeColor="text2"/>
            </w:tcBorders>
            <w:shd w:val="clear" w:color="auto" w:fill="C5FFEF" w:themeFill="background2" w:themeFillTint="33"/>
            <w:tcMar>
              <w:top w:w="99" w:type="dxa"/>
              <w:left w:w="113" w:type="dxa"/>
              <w:bottom w:w="99" w:type="dxa"/>
              <w:right w:w="113" w:type="dxa"/>
            </w:tcMar>
            <w:vAlign w:val="center"/>
          </w:tcPr>
          <w:p w14:paraId="21F514E3" w14:textId="77777777" w:rsidR="00460E27" w:rsidRDefault="00460E27" w:rsidP="00460E27">
            <w:pPr>
              <w:pStyle w:val="CDIFigure-Table-BodyTextLeft"/>
            </w:pPr>
            <w:r>
              <w:t>≥ 60 years</w:t>
            </w:r>
          </w:p>
        </w:tc>
        <w:tc>
          <w:tcPr>
            <w:tcW w:w="1814"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522F1FAE" w14:textId="77777777" w:rsidR="00460E27" w:rsidRDefault="00460E27" w:rsidP="00460E27">
            <w:pPr>
              <w:pStyle w:val="CDIFigure-Table-BodyTextLeft"/>
            </w:pPr>
            <w:r>
              <w:t>COVID-19 (all brands)</w:t>
            </w:r>
          </w:p>
        </w:tc>
        <w:tc>
          <w:tcPr>
            <w:tcW w:w="1701"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74DF4088" w14:textId="77777777" w:rsidR="00460E27" w:rsidRDefault="00460E27" w:rsidP="00460E27">
            <w:pPr>
              <w:pStyle w:val="CDIFigure-Table-BodyTextCentre"/>
            </w:pPr>
            <w:r>
              <w:t>27,669</w:t>
            </w:r>
          </w:p>
        </w:tc>
        <w:tc>
          <w:tcPr>
            <w:tcW w:w="1644"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33BB97F2" w14:textId="77777777" w:rsidR="00460E27" w:rsidRDefault="00460E27" w:rsidP="00460E27">
            <w:pPr>
              <w:pStyle w:val="CDIFigure-Table-BodyTextCentre"/>
            </w:pPr>
            <w:r>
              <w:t>12,113,445</w:t>
            </w:r>
          </w:p>
        </w:tc>
        <w:tc>
          <w:tcPr>
            <w:tcW w:w="3175" w:type="dxa"/>
            <w:tcBorders>
              <w:top w:val="single" w:sz="4" w:space="0" w:color="033636" w:themeColor="text2"/>
            </w:tcBorders>
            <w:shd w:val="clear" w:color="auto" w:fill="F2F2F2" w:themeFill="background1" w:themeFillShade="F2"/>
            <w:tcMar>
              <w:top w:w="94" w:type="dxa"/>
              <w:left w:w="113" w:type="dxa"/>
              <w:bottom w:w="94" w:type="dxa"/>
              <w:right w:w="113" w:type="dxa"/>
            </w:tcMar>
            <w:vAlign w:val="center"/>
          </w:tcPr>
          <w:p w14:paraId="3EC0E02D" w14:textId="77777777" w:rsidR="00460E27" w:rsidRDefault="00460E27" w:rsidP="00460E27">
            <w:pPr>
              <w:pStyle w:val="CDIFigure-Table-BodyTextCentre"/>
            </w:pPr>
            <w:r>
              <w:t>228.4 (225.7–231.1)</w:t>
            </w:r>
          </w:p>
        </w:tc>
      </w:tr>
      <w:tr w:rsidR="00460E27" w14:paraId="29F29589" w14:textId="77777777" w:rsidTr="00460E27">
        <w:trPr>
          <w:divId w:val="935526654"/>
          <w:trHeight w:val="20"/>
        </w:trPr>
        <w:tc>
          <w:tcPr>
            <w:tcW w:w="1304" w:type="dxa"/>
            <w:vMerge/>
            <w:shd w:val="clear" w:color="auto" w:fill="C5FFEF" w:themeFill="background2" w:themeFillTint="33"/>
          </w:tcPr>
          <w:p w14:paraId="25C5AD46" w14:textId="77777777" w:rsidR="00460E27" w:rsidRDefault="00460E27" w:rsidP="00460E27">
            <w:pPr>
              <w:pStyle w:val="CDIFigure-Table-BodyTextCentre"/>
              <w:rPr>
                <w:lang w:val="en-AU"/>
              </w:rPr>
            </w:pPr>
          </w:p>
        </w:tc>
        <w:tc>
          <w:tcPr>
            <w:tcW w:w="1814" w:type="dxa"/>
            <w:tcMar>
              <w:top w:w="94" w:type="dxa"/>
              <w:left w:w="113" w:type="dxa"/>
              <w:bottom w:w="94" w:type="dxa"/>
              <w:right w:w="113" w:type="dxa"/>
            </w:tcMar>
            <w:vAlign w:val="center"/>
          </w:tcPr>
          <w:p w14:paraId="2B951CDD" w14:textId="77777777" w:rsidR="00460E27" w:rsidRDefault="00460E27" w:rsidP="00460E27">
            <w:pPr>
              <w:pStyle w:val="CDIFigure-Table-BodyTextLeft"/>
            </w:pPr>
            <w:r>
              <w:t>Comirnaty</w:t>
            </w:r>
          </w:p>
        </w:tc>
        <w:tc>
          <w:tcPr>
            <w:tcW w:w="1701" w:type="dxa"/>
            <w:tcMar>
              <w:top w:w="94" w:type="dxa"/>
              <w:left w:w="113" w:type="dxa"/>
              <w:bottom w:w="94" w:type="dxa"/>
              <w:right w:w="113" w:type="dxa"/>
            </w:tcMar>
            <w:vAlign w:val="center"/>
          </w:tcPr>
          <w:p w14:paraId="12811A3D" w14:textId="77777777" w:rsidR="00460E27" w:rsidRDefault="00460E27" w:rsidP="00460E27">
            <w:pPr>
              <w:pStyle w:val="CDIFigure-Table-BodyTextCentre"/>
            </w:pPr>
            <w:r>
              <w:t>3,995</w:t>
            </w:r>
          </w:p>
        </w:tc>
        <w:tc>
          <w:tcPr>
            <w:tcW w:w="1644" w:type="dxa"/>
            <w:tcMar>
              <w:top w:w="94" w:type="dxa"/>
              <w:left w:w="113" w:type="dxa"/>
              <w:bottom w:w="94" w:type="dxa"/>
              <w:right w:w="113" w:type="dxa"/>
            </w:tcMar>
            <w:vAlign w:val="center"/>
          </w:tcPr>
          <w:p w14:paraId="7DD8425D" w14:textId="77777777" w:rsidR="00460E27" w:rsidRDefault="00460E27" w:rsidP="00460E27">
            <w:pPr>
              <w:pStyle w:val="CDIFigure-Table-BodyTextCentre"/>
            </w:pPr>
            <w:r>
              <w:t>2,789,661</w:t>
            </w:r>
          </w:p>
        </w:tc>
        <w:tc>
          <w:tcPr>
            <w:tcW w:w="3175" w:type="dxa"/>
            <w:tcMar>
              <w:top w:w="94" w:type="dxa"/>
              <w:left w:w="113" w:type="dxa"/>
              <w:bottom w:w="94" w:type="dxa"/>
              <w:right w:w="113" w:type="dxa"/>
            </w:tcMar>
            <w:vAlign w:val="center"/>
          </w:tcPr>
          <w:p w14:paraId="6C76F06E" w14:textId="77777777" w:rsidR="00460E27" w:rsidRDefault="00460E27" w:rsidP="00460E27">
            <w:pPr>
              <w:pStyle w:val="CDIFigure-Table-BodyTextCentre"/>
            </w:pPr>
            <w:r>
              <w:t>143.2 (138.8–147.7)</w:t>
            </w:r>
          </w:p>
        </w:tc>
      </w:tr>
      <w:tr w:rsidR="00460E27" w14:paraId="70258C9B" w14:textId="77777777" w:rsidTr="00460E27">
        <w:trPr>
          <w:divId w:val="935526654"/>
          <w:trHeight w:val="20"/>
        </w:trPr>
        <w:tc>
          <w:tcPr>
            <w:tcW w:w="1304" w:type="dxa"/>
            <w:vMerge/>
            <w:shd w:val="clear" w:color="auto" w:fill="C5FFEF" w:themeFill="background2" w:themeFillTint="33"/>
          </w:tcPr>
          <w:p w14:paraId="5A5F800F" w14:textId="77777777" w:rsidR="00460E27" w:rsidRDefault="00460E27" w:rsidP="00460E27">
            <w:pPr>
              <w:pStyle w:val="CDIFigure-Table-BodyTextCentre"/>
              <w:rPr>
                <w:lang w:val="en-AU"/>
              </w:rPr>
            </w:pPr>
          </w:p>
        </w:tc>
        <w:tc>
          <w:tcPr>
            <w:tcW w:w="1814" w:type="dxa"/>
            <w:shd w:val="clear" w:color="auto" w:fill="F2F2F2" w:themeFill="background1" w:themeFillShade="F2"/>
            <w:tcMar>
              <w:top w:w="94" w:type="dxa"/>
              <w:left w:w="113" w:type="dxa"/>
              <w:bottom w:w="94" w:type="dxa"/>
              <w:right w:w="113" w:type="dxa"/>
            </w:tcMar>
            <w:vAlign w:val="center"/>
          </w:tcPr>
          <w:p w14:paraId="1CC0B0BE" w14:textId="77777777" w:rsidR="00460E27" w:rsidRDefault="00460E27" w:rsidP="00460E27">
            <w:pPr>
              <w:pStyle w:val="CDIFigure-Table-BodyTextLeft"/>
            </w:pPr>
            <w:r>
              <w:t>Vaxzevria</w:t>
            </w:r>
          </w:p>
        </w:tc>
        <w:tc>
          <w:tcPr>
            <w:tcW w:w="1701" w:type="dxa"/>
            <w:shd w:val="clear" w:color="auto" w:fill="F2F2F2" w:themeFill="background1" w:themeFillShade="F2"/>
            <w:tcMar>
              <w:top w:w="94" w:type="dxa"/>
              <w:left w:w="113" w:type="dxa"/>
              <w:bottom w:w="94" w:type="dxa"/>
              <w:right w:w="113" w:type="dxa"/>
            </w:tcMar>
            <w:vAlign w:val="center"/>
          </w:tcPr>
          <w:p w14:paraId="27493514" w14:textId="77777777" w:rsidR="00460E27" w:rsidRDefault="00460E27" w:rsidP="00460E27">
            <w:pPr>
              <w:pStyle w:val="CDIFigure-Table-BodyTextCentre"/>
            </w:pPr>
            <w:r>
              <w:t>23,124</w:t>
            </w:r>
          </w:p>
        </w:tc>
        <w:tc>
          <w:tcPr>
            <w:tcW w:w="1644" w:type="dxa"/>
            <w:shd w:val="clear" w:color="auto" w:fill="F2F2F2" w:themeFill="background1" w:themeFillShade="F2"/>
            <w:tcMar>
              <w:top w:w="94" w:type="dxa"/>
              <w:left w:w="113" w:type="dxa"/>
              <w:bottom w:w="94" w:type="dxa"/>
              <w:right w:w="113" w:type="dxa"/>
            </w:tcMar>
            <w:vAlign w:val="center"/>
          </w:tcPr>
          <w:p w14:paraId="3E8601C1" w14:textId="77777777" w:rsidR="00460E27" w:rsidRDefault="00460E27" w:rsidP="00460E27">
            <w:pPr>
              <w:pStyle w:val="CDIFigure-Table-BodyTextCentre"/>
            </w:pPr>
            <w:r>
              <w:t>8,986,203</w:t>
            </w:r>
          </w:p>
        </w:tc>
        <w:tc>
          <w:tcPr>
            <w:tcW w:w="3175" w:type="dxa"/>
            <w:shd w:val="clear" w:color="auto" w:fill="F2F2F2" w:themeFill="background1" w:themeFillShade="F2"/>
            <w:tcMar>
              <w:top w:w="94" w:type="dxa"/>
              <w:left w:w="113" w:type="dxa"/>
              <w:bottom w:w="94" w:type="dxa"/>
              <w:right w:w="113" w:type="dxa"/>
            </w:tcMar>
            <w:vAlign w:val="center"/>
          </w:tcPr>
          <w:p w14:paraId="35FE1983" w14:textId="77777777" w:rsidR="00460E27" w:rsidRDefault="00460E27" w:rsidP="00460E27">
            <w:pPr>
              <w:pStyle w:val="CDIFigure-Table-BodyTextCentre"/>
            </w:pPr>
            <w:r>
              <w:t>257.3 (254–260.7)</w:t>
            </w:r>
          </w:p>
        </w:tc>
      </w:tr>
      <w:tr w:rsidR="00460E27" w14:paraId="5AC862C1" w14:textId="77777777" w:rsidTr="00460E27">
        <w:trPr>
          <w:divId w:val="935526654"/>
          <w:trHeight w:val="20"/>
        </w:trPr>
        <w:tc>
          <w:tcPr>
            <w:tcW w:w="1304" w:type="dxa"/>
            <w:vMerge/>
            <w:tcBorders>
              <w:bottom w:val="single" w:sz="4" w:space="0" w:color="033636" w:themeColor="text2"/>
            </w:tcBorders>
            <w:shd w:val="clear" w:color="auto" w:fill="C5FFEF" w:themeFill="background2" w:themeFillTint="33"/>
          </w:tcPr>
          <w:p w14:paraId="6B90043A" w14:textId="77777777" w:rsidR="00460E27" w:rsidRDefault="00460E27" w:rsidP="00460E27">
            <w:pPr>
              <w:pStyle w:val="CDIFigure-Table-BodyTextCentre"/>
              <w:rPr>
                <w:lang w:val="en-AU"/>
              </w:rPr>
            </w:pPr>
          </w:p>
        </w:tc>
        <w:tc>
          <w:tcPr>
            <w:tcW w:w="1814" w:type="dxa"/>
            <w:tcBorders>
              <w:bottom w:val="single" w:sz="4" w:space="0" w:color="033636" w:themeColor="text2"/>
            </w:tcBorders>
            <w:tcMar>
              <w:top w:w="94" w:type="dxa"/>
              <w:left w:w="113" w:type="dxa"/>
              <w:bottom w:w="94" w:type="dxa"/>
              <w:right w:w="113" w:type="dxa"/>
            </w:tcMar>
            <w:vAlign w:val="center"/>
          </w:tcPr>
          <w:p w14:paraId="0EFF10E5" w14:textId="77777777" w:rsidR="00460E27" w:rsidRDefault="00460E27" w:rsidP="00460E27">
            <w:pPr>
              <w:pStyle w:val="CDIFigure-Table-BodyTextLeft"/>
            </w:pPr>
            <w:r>
              <w:t>Spikevax</w:t>
            </w:r>
          </w:p>
        </w:tc>
        <w:tc>
          <w:tcPr>
            <w:tcW w:w="1701" w:type="dxa"/>
            <w:tcBorders>
              <w:bottom w:val="single" w:sz="4" w:space="0" w:color="033636" w:themeColor="text2"/>
            </w:tcBorders>
            <w:tcMar>
              <w:top w:w="94" w:type="dxa"/>
              <w:left w:w="113" w:type="dxa"/>
              <w:bottom w:w="94" w:type="dxa"/>
              <w:right w:w="113" w:type="dxa"/>
            </w:tcMar>
            <w:vAlign w:val="center"/>
          </w:tcPr>
          <w:p w14:paraId="6A37E35A" w14:textId="77777777" w:rsidR="00460E27" w:rsidRDefault="00460E27" w:rsidP="00460E27">
            <w:pPr>
              <w:pStyle w:val="CDIFigure-Table-BodyTextCentre"/>
            </w:pPr>
            <w:r>
              <w:t>408</w:t>
            </w:r>
          </w:p>
        </w:tc>
        <w:tc>
          <w:tcPr>
            <w:tcW w:w="1644" w:type="dxa"/>
            <w:tcBorders>
              <w:bottom w:val="single" w:sz="4" w:space="0" w:color="033636" w:themeColor="text2"/>
            </w:tcBorders>
            <w:tcMar>
              <w:top w:w="94" w:type="dxa"/>
              <w:left w:w="113" w:type="dxa"/>
              <w:bottom w:w="94" w:type="dxa"/>
              <w:right w:w="113" w:type="dxa"/>
            </w:tcMar>
            <w:vAlign w:val="center"/>
          </w:tcPr>
          <w:p w14:paraId="7D19DC71" w14:textId="77777777" w:rsidR="00460E27" w:rsidRDefault="00460E27" w:rsidP="00460E27">
            <w:pPr>
              <w:pStyle w:val="CDIFigure-Table-BodyTextCentre"/>
            </w:pPr>
            <w:r>
              <w:t>337,544</w:t>
            </w:r>
          </w:p>
        </w:tc>
        <w:tc>
          <w:tcPr>
            <w:tcW w:w="3175" w:type="dxa"/>
            <w:tcBorders>
              <w:bottom w:val="single" w:sz="4" w:space="0" w:color="033636" w:themeColor="text2"/>
            </w:tcBorders>
            <w:tcMar>
              <w:top w:w="94" w:type="dxa"/>
              <w:left w:w="113" w:type="dxa"/>
              <w:bottom w:w="94" w:type="dxa"/>
              <w:right w:w="113" w:type="dxa"/>
            </w:tcMar>
            <w:vAlign w:val="center"/>
          </w:tcPr>
          <w:p w14:paraId="642AD8B4" w14:textId="77777777" w:rsidR="00460E27" w:rsidRDefault="00460E27" w:rsidP="00460E27">
            <w:pPr>
              <w:pStyle w:val="CDIFigure-Table-BodyTextCentre"/>
            </w:pPr>
            <w:r>
              <w:t>120.9 (109.4–133.2)</w:t>
            </w:r>
          </w:p>
        </w:tc>
      </w:tr>
    </w:tbl>
    <w:p w14:paraId="4851E7B2" w14:textId="77777777" w:rsidR="00460E27" w:rsidRPr="00460E27" w:rsidRDefault="00460E27" w:rsidP="00460E27">
      <w:pPr>
        <w:pStyle w:val="CDIFigure-Table-FirstFootnote"/>
        <w:divId w:val="935526654"/>
      </w:pPr>
      <w:r w:rsidRPr="00460E27">
        <w:t>a</w:t>
      </w:r>
      <w:r w:rsidRPr="00460E27">
        <w:tab/>
        <w:t>COVID-19 (all brands) includes reports with specified COVID-19 brands as well as reports where the brand was not specified.</w:t>
      </w:r>
    </w:p>
    <w:p w14:paraId="09326C09" w14:textId="77777777" w:rsidR="00460E27" w:rsidRPr="00460E27" w:rsidRDefault="00460E27" w:rsidP="00460E27">
      <w:pPr>
        <w:pStyle w:val="CDIFigure-Table-Footnote"/>
        <w:divId w:val="935526654"/>
      </w:pPr>
      <w:r w:rsidRPr="00460E27">
        <w:t>b</w:t>
      </w:r>
      <w:r w:rsidRPr="00460E27">
        <w:tab/>
        <w:t>Number of AEFI reports in which the vaccine was coded as ‘suspected’ of causal involvement in the reported adverse event and the vaccination was administered between 1 January and 31 December 2021. More than one vaccine may be coded as ‘suspected’ or ‘interacting’ if several were administered or reported at the same time.</w:t>
      </w:r>
    </w:p>
    <w:p w14:paraId="6E675CF9" w14:textId="77777777" w:rsidR="00460E27" w:rsidRPr="00460E27" w:rsidRDefault="00460E27" w:rsidP="00460E27">
      <w:pPr>
        <w:pStyle w:val="CDIFigure-Table-Footnote"/>
        <w:divId w:val="935526654"/>
      </w:pPr>
      <w:r w:rsidRPr="00460E27">
        <w:t>c</w:t>
      </w:r>
      <w:r w:rsidRPr="00460E27">
        <w:tab/>
        <w:t>Number of vaccine doses recorded on the Australian Immunisation Register and administered between 1 January and 31 December 2021.</w:t>
      </w:r>
    </w:p>
    <w:p w14:paraId="0E66B625" w14:textId="77777777" w:rsidR="00460E27" w:rsidRPr="00460E27" w:rsidRDefault="00460E27" w:rsidP="00460E27">
      <w:pPr>
        <w:pStyle w:val="CDIFigure-Table-Footnote"/>
        <w:divId w:val="935526654"/>
      </w:pPr>
      <w:r w:rsidRPr="00460E27">
        <w:t>d</w:t>
      </w:r>
      <w:r w:rsidRPr="00460E27">
        <w:tab/>
        <w:t>95% CI: 95% confidence interval.</w:t>
      </w:r>
    </w:p>
    <w:p w14:paraId="5E6F2B3B" w14:textId="15665C52" w:rsidR="00460E27" w:rsidRDefault="00460E27" w:rsidP="00460E27">
      <w:pPr>
        <w:pStyle w:val="CDIFigure-Table-Footnote"/>
        <w:divId w:val="935526654"/>
      </w:pPr>
      <w:r w:rsidRPr="00460E27">
        <w:t>e</w:t>
      </w:r>
      <w:r w:rsidRPr="00460E27">
        <w:tab/>
        <w:t>Vaxzevria was not approved for use in people aged &lt;18 years; 37/41 AEFI reports for this group (90.2%) included the preferred term ‘medication error’.</w:t>
      </w:r>
    </w:p>
    <w:p w14:paraId="7BAD2C67" w14:textId="50B96BB5" w:rsidR="00460E27" w:rsidRDefault="00460E27" w:rsidP="00834F33">
      <w:pPr>
        <w:pStyle w:val="CDIFigure-Table-Titlemorespacebefore"/>
        <w:divId w:val="935526654"/>
      </w:pPr>
      <w:r w:rsidRPr="00460E27">
        <w:t>Table 2: Adverse event following immunisation reports in the Adverse Event Management System database for COVID-19 vaccines in 2021, by jurisdiction</w:t>
      </w:r>
    </w:p>
    <w:tbl>
      <w:tblPr>
        <w:tblW w:w="0" w:type="auto"/>
        <w:tblInd w:w="-8" w:type="dxa"/>
        <w:tblLayout w:type="fixed"/>
        <w:tblCellMar>
          <w:left w:w="0" w:type="dxa"/>
          <w:right w:w="0" w:type="dxa"/>
        </w:tblCellMar>
        <w:tblLook w:val="0000" w:firstRow="0" w:lastRow="0" w:firstColumn="0" w:lastColumn="0" w:noHBand="0" w:noVBand="0"/>
        <w:tblCaption w:val="Table 2: Adverse event following immunisation reports in the Adverse Event Management System database for COVID-19 vaccines in 2021, by jurisdiction"/>
        <w:tblDescription w:val="Table 2 lists each state and territory of Australia and the number of adverse event reports received following COVID-19 vaccines in 2021. The jurisdiction-specific 2021 annual adverse event reporting rate per 100,000 population is calculated. For each jurisdiction, the table also gives the 2021 reporting rates for events classified as serious, and for recipients in three age groups: 12-15 years, 16-59 years, ≥60 years."/>
      </w:tblPr>
      <w:tblGrid>
        <w:gridCol w:w="1247"/>
        <w:gridCol w:w="1304"/>
        <w:gridCol w:w="1814"/>
        <w:gridCol w:w="1318"/>
        <w:gridCol w:w="1319"/>
        <w:gridCol w:w="1318"/>
        <w:gridCol w:w="1318"/>
      </w:tblGrid>
      <w:tr w:rsidR="00C97348" w14:paraId="1AAF1E98" w14:textId="77777777" w:rsidTr="00B92C70">
        <w:trPr>
          <w:divId w:val="935526654"/>
          <w:trHeight w:val="20"/>
          <w:tblHeader/>
        </w:trPr>
        <w:tc>
          <w:tcPr>
            <w:tcW w:w="1247" w:type="dxa"/>
            <w:vMerge w:val="restart"/>
            <w:shd w:val="clear" w:color="auto" w:fill="033636" w:themeFill="text2"/>
            <w:tcMar>
              <w:top w:w="113" w:type="dxa"/>
              <w:left w:w="113" w:type="dxa"/>
              <w:bottom w:w="113" w:type="dxa"/>
              <w:right w:w="113" w:type="dxa"/>
            </w:tcMar>
            <w:vAlign w:val="bottom"/>
          </w:tcPr>
          <w:p w14:paraId="6E7BAFA2" w14:textId="77777777" w:rsidR="00C97348" w:rsidRDefault="00C97348" w:rsidP="00C97348">
            <w:pPr>
              <w:pStyle w:val="CDIFigure-Table-H1Left"/>
            </w:pPr>
            <w:r>
              <w:t>Jurisdiction</w:t>
            </w:r>
            <w:r>
              <w:rPr>
                <w:rStyle w:val="Superscript"/>
              </w:rPr>
              <w:t>a</w:t>
            </w:r>
          </w:p>
        </w:tc>
        <w:tc>
          <w:tcPr>
            <w:tcW w:w="1304" w:type="dxa"/>
            <w:vMerge w:val="restart"/>
            <w:tcBorders>
              <w:right w:val="single" w:sz="4" w:space="0" w:color="FFFFFF" w:themeColor="background1"/>
            </w:tcBorders>
            <w:shd w:val="clear" w:color="auto" w:fill="033636" w:themeFill="text2"/>
            <w:tcMar>
              <w:top w:w="113" w:type="dxa"/>
              <w:left w:w="113" w:type="dxa"/>
              <w:bottom w:w="113" w:type="dxa"/>
              <w:right w:w="113" w:type="dxa"/>
            </w:tcMar>
            <w:vAlign w:val="bottom"/>
          </w:tcPr>
          <w:p w14:paraId="1A0DD962" w14:textId="77777777" w:rsidR="00C97348" w:rsidRDefault="00C97348" w:rsidP="00C97348">
            <w:pPr>
              <w:pStyle w:val="CDIFigure-Table-H1"/>
            </w:pPr>
            <w:r>
              <w:t>AEFI reports</w:t>
            </w:r>
            <w:r>
              <w:br/>
              <w:t>n (%)</w:t>
            </w:r>
          </w:p>
        </w:tc>
        <w:tc>
          <w:tcPr>
            <w:tcW w:w="7087" w:type="dxa"/>
            <w:gridSpan w:val="5"/>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bottom"/>
          </w:tcPr>
          <w:p w14:paraId="20593E13" w14:textId="77777777" w:rsidR="00C97348" w:rsidRDefault="00C97348" w:rsidP="00C97348">
            <w:pPr>
              <w:pStyle w:val="CDIFigure-Table-H1"/>
            </w:pPr>
            <w:r>
              <w:t>Annual reporting rate per 100,000 population</w:t>
            </w:r>
            <w:r>
              <w:rPr>
                <w:rStyle w:val="Superscript"/>
              </w:rPr>
              <w:t>b</w:t>
            </w:r>
          </w:p>
        </w:tc>
      </w:tr>
      <w:tr w:rsidR="00B92C70" w14:paraId="1A1F1CE2" w14:textId="77777777" w:rsidTr="00B92C70">
        <w:trPr>
          <w:divId w:val="935526654"/>
          <w:trHeight w:val="20"/>
          <w:tblHeader/>
        </w:trPr>
        <w:tc>
          <w:tcPr>
            <w:tcW w:w="1247" w:type="dxa"/>
            <w:vMerge/>
            <w:shd w:val="clear" w:color="auto" w:fill="033636" w:themeFill="text2"/>
          </w:tcPr>
          <w:p w14:paraId="4B356FD4" w14:textId="77777777" w:rsidR="00C97348" w:rsidRDefault="00C97348" w:rsidP="00C97348">
            <w:pPr>
              <w:pStyle w:val="CDIFigure-Table-H1"/>
              <w:rPr>
                <w:color w:val="auto"/>
                <w:lang w:val="en-AU"/>
              </w:rPr>
            </w:pPr>
          </w:p>
        </w:tc>
        <w:tc>
          <w:tcPr>
            <w:tcW w:w="1304" w:type="dxa"/>
            <w:vMerge/>
            <w:tcBorders>
              <w:right w:val="single" w:sz="4" w:space="0" w:color="FFFFFF" w:themeColor="background1"/>
            </w:tcBorders>
            <w:shd w:val="clear" w:color="auto" w:fill="033636" w:themeFill="text2"/>
          </w:tcPr>
          <w:p w14:paraId="5C100436" w14:textId="77777777" w:rsidR="00C97348" w:rsidRDefault="00C97348" w:rsidP="00C97348">
            <w:pPr>
              <w:pStyle w:val="CDIFigure-Table-H1"/>
              <w:rPr>
                <w:color w:val="auto"/>
                <w:lang w:val="en-AU"/>
              </w:rPr>
            </w:pPr>
          </w:p>
        </w:tc>
        <w:tc>
          <w:tcPr>
            <w:tcW w:w="181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6D7E708B" w14:textId="77777777" w:rsidR="00C97348" w:rsidRDefault="00C97348" w:rsidP="00C97348">
            <w:pPr>
              <w:pStyle w:val="CDIFigure-Table-H1"/>
            </w:pPr>
            <w:r>
              <w:t>Overall (95% CI)</w:t>
            </w:r>
            <w:r>
              <w:rPr>
                <w:rStyle w:val="Superscript"/>
              </w:rPr>
              <w:t>c</w:t>
            </w:r>
          </w:p>
        </w:tc>
        <w:tc>
          <w:tcPr>
            <w:tcW w:w="131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6B0780A" w14:textId="08532FCE" w:rsidR="00C97348" w:rsidRDefault="00C97348" w:rsidP="00C97348">
            <w:pPr>
              <w:pStyle w:val="CDIFigure-Table-H1"/>
            </w:pPr>
            <w:r>
              <w:t>Aged</w:t>
            </w:r>
            <w:r>
              <w:br/>
              <w:t>12–15 years</w:t>
            </w:r>
            <w:r>
              <w:rPr>
                <w:rStyle w:val="Superscript"/>
              </w:rPr>
              <w:t>d</w:t>
            </w:r>
          </w:p>
        </w:tc>
        <w:tc>
          <w:tcPr>
            <w:tcW w:w="131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AF9CEB4" w14:textId="74CFA8EA" w:rsidR="00C97348" w:rsidRDefault="00C97348" w:rsidP="00C97348">
            <w:pPr>
              <w:pStyle w:val="CDIFigure-Table-H1"/>
            </w:pPr>
            <w:r>
              <w:t>Aged</w:t>
            </w:r>
            <w:r w:rsidR="00834F33">
              <w:br/>
            </w:r>
            <w:r>
              <w:t>16–59 years</w:t>
            </w:r>
            <w:r>
              <w:rPr>
                <w:rStyle w:val="Superscript"/>
              </w:rPr>
              <w:t>d</w:t>
            </w:r>
          </w:p>
        </w:tc>
        <w:tc>
          <w:tcPr>
            <w:tcW w:w="131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C7BBCA3" w14:textId="77777777" w:rsidR="00C97348" w:rsidRDefault="00C97348" w:rsidP="00C97348">
            <w:pPr>
              <w:pStyle w:val="CDIFigure-Table-H1"/>
            </w:pPr>
            <w:r>
              <w:t>Aged</w:t>
            </w:r>
            <w:r>
              <w:br/>
              <w:t>≥ 60 years</w:t>
            </w:r>
            <w:r>
              <w:rPr>
                <w:rStyle w:val="Superscript"/>
              </w:rPr>
              <w:t>d</w:t>
            </w:r>
          </w:p>
        </w:tc>
        <w:tc>
          <w:tcPr>
            <w:tcW w:w="131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2008C9B" w14:textId="77777777" w:rsidR="00C97348" w:rsidRDefault="00C97348" w:rsidP="00C97348">
            <w:pPr>
              <w:pStyle w:val="CDIFigure-Table-H1"/>
            </w:pPr>
            <w:r>
              <w:t>Serious</w:t>
            </w:r>
            <w:r>
              <w:br/>
              <w:t>AEFI</w:t>
            </w:r>
            <w:r>
              <w:rPr>
                <w:rStyle w:val="Superscript"/>
              </w:rPr>
              <w:t>e</w:t>
            </w:r>
          </w:p>
        </w:tc>
      </w:tr>
      <w:tr w:rsidR="00C97348" w14:paraId="616F19DE" w14:textId="77777777" w:rsidTr="00C97348">
        <w:trPr>
          <w:divId w:val="935526654"/>
          <w:trHeight w:val="20"/>
        </w:trPr>
        <w:tc>
          <w:tcPr>
            <w:tcW w:w="1247" w:type="dxa"/>
            <w:shd w:val="clear" w:color="auto" w:fill="F2F2F2" w:themeFill="background1" w:themeFillShade="F2"/>
            <w:tcMar>
              <w:top w:w="94" w:type="dxa"/>
              <w:left w:w="113" w:type="dxa"/>
              <w:bottom w:w="94" w:type="dxa"/>
              <w:right w:w="113" w:type="dxa"/>
            </w:tcMar>
            <w:vAlign w:val="center"/>
          </w:tcPr>
          <w:p w14:paraId="36A3C645" w14:textId="77777777" w:rsidR="00C97348" w:rsidRDefault="00C97348" w:rsidP="00C97348">
            <w:pPr>
              <w:pStyle w:val="CDIFigure-Table-BodyTextLeft"/>
            </w:pPr>
            <w:r>
              <w:t>ACT</w:t>
            </w:r>
          </w:p>
        </w:tc>
        <w:tc>
          <w:tcPr>
            <w:tcW w:w="1304" w:type="dxa"/>
            <w:shd w:val="clear" w:color="auto" w:fill="F2F2F2" w:themeFill="background1" w:themeFillShade="F2"/>
            <w:tcMar>
              <w:top w:w="94" w:type="dxa"/>
              <w:left w:w="113" w:type="dxa"/>
              <w:bottom w:w="94" w:type="dxa"/>
              <w:right w:w="113" w:type="dxa"/>
            </w:tcMar>
            <w:vAlign w:val="center"/>
          </w:tcPr>
          <w:p w14:paraId="43FA1970" w14:textId="77777777" w:rsidR="00C97348" w:rsidRDefault="00C97348" w:rsidP="00C97348">
            <w:pPr>
              <w:pStyle w:val="CDIFigure-Table-BodyTextCentre"/>
            </w:pPr>
            <w:r>
              <w:t>1,982 (1.8)</w:t>
            </w:r>
          </w:p>
        </w:tc>
        <w:tc>
          <w:tcPr>
            <w:tcW w:w="1814" w:type="dxa"/>
            <w:shd w:val="clear" w:color="auto" w:fill="F2F2F2" w:themeFill="background1" w:themeFillShade="F2"/>
            <w:tcMar>
              <w:top w:w="94" w:type="dxa"/>
              <w:left w:w="113" w:type="dxa"/>
              <w:bottom w:w="94" w:type="dxa"/>
              <w:right w:w="113" w:type="dxa"/>
            </w:tcMar>
            <w:vAlign w:val="center"/>
          </w:tcPr>
          <w:p w14:paraId="6CAEA564" w14:textId="77777777" w:rsidR="00C97348" w:rsidRDefault="00C97348" w:rsidP="00C97348">
            <w:pPr>
              <w:pStyle w:val="CDIFigure-Table-BodyTextCentre"/>
            </w:pPr>
            <w:r>
              <w:t>543.1 (519.5–567.5)</w:t>
            </w:r>
          </w:p>
        </w:tc>
        <w:tc>
          <w:tcPr>
            <w:tcW w:w="1318" w:type="dxa"/>
            <w:shd w:val="clear" w:color="auto" w:fill="F2F2F2" w:themeFill="background1" w:themeFillShade="F2"/>
            <w:tcMar>
              <w:top w:w="94" w:type="dxa"/>
              <w:left w:w="113" w:type="dxa"/>
              <w:bottom w:w="94" w:type="dxa"/>
              <w:right w:w="113" w:type="dxa"/>
            </w:tcMar>
            <w:vAlign w:val="center"/>
          </w:tcPr>
          <w:p w14:paraId="030BE704" w14:textId="77777777" w:rsidR="00C97348" w:rsidRDefault="00C97348" w:rsidP="00C97348">
            <w:pPr>
              <w:pStyle w:val="CDIFigure-Table-BodyTextCentre"/>
            </w:pPr>
            <w:r>
              <w:t>152.0</w:t>
            </w:r>
          </w:p>
        </w:tc>
        <w:tc>
          <w:tcPr>
            <w:tcW w:w="1319" w:type="dxa"/>
            <w:shd w:val="clear" w:color="auto" w:fill="F2F2F2" w:themeFill="background1" w:themeFillShade="F2"/>
            <w:tcMar>
              <w:top w:w="94" w:type="dxa"/>
              <w:left w:w="113" w:type="dxa"/>
              <w:bottom w:w="94" w:type="dxa"/>
              <w:right w:w="113" w:type="dxa"/>
            </w:tcMar>
            <w:vAlign w:val="center"/>
          </w:tcPr>
          <w:p w14:paraId="7AAA3754" w14:textId="77777777" w:rsidR="00C97348" w:rsidRDefault="00C97348" w:rsidP="00C97348">
            <w:pPr>
              <w:pStyle w:val="CDIFigure-Table-BodyTextCentre"/>
            </w:pPr>
            <w:r>
              <w:t>513.0</w:t>
            </w:r>
          </w:p>
        </w:tc>
        <w:tc>
          <w:tcPr>
            <w:tcW w:w="1318" w:type="dxa"/>
            <w:shd w:val="clear" w:color="auto" w:fill="F2F2F2" w:themeFill="background1" w:themeFillShade="F2"/>
            <w:tcMar>
              <w:top w:w="94" w:type="dxa"/>
              <w:left w:w="113" w:type="dxa"/>
              <w:bottom w:w="94" w:type="dxa"/>
              <w:right w:w="113" w:type="dxa"/>
            </w:tcMar>
            <w:vAlign w:val="center"/>
          </w:tcPr>
          <w:p w14:paraId="6F19782B" w14:textId="77777777" w:rsidR="00C97348" w:rsidRDefault="00C97348" w:rsidP="00C97348">
            <w:pPr>
              <w:pStyle w:val="CDIFigure-Table-BodyTextCentre"/>
            </w:pPr>
            <w:r>
              <w:t>632.7</w:t>
            </w:r>
          </w:p>
        </w:tc>
        <w:tc>
          <w:tcPr>
            <w:tcW w:w="1318" w:type="dxa"/>
            <w:shd w:val="clear" w:color="auto" w:fill="F2F2F2" w:themeFill="background1" w:themeFillShade="F2"/>
            <w:tcMar>
              <w:top w:w="94" w:type="dxa"/>
              <w:left w:w="113" w:type="dxa"/>
              <w:bottom w:w="94" w:type="dxa"/>
              <w:right w:w="113" w:type="dxa"/>
            </w:tcMar>
            <w:vAlign w:val="center"/>
          </w:tcPr>
          <w:p w14:paraId="3F23F4B2" w14:textId="77777777" w:rsidR="00C97348" w:rsidRDefault="00C97348" w:rsidP="00C97348">
            <w:pPr>
              <w:pStyle w:val="CDIFigure-Table-BodyTextCentre"/>
            </w:pPr>
            <w:r>
              <w:t>73.2</w:t>
            </w:r>
          </w:p>
        </w:tc>
      </w:tr>
      <w:tr w:rsidR="00C97348" w14:paraId="03086177" w14:textId="77777777" w:rsidTr="00C97348">
        <w:trPr>
          <w:divId w:val="935526654"/>
          <w:trHeight w:val="20"/>
        </w:trPr>
        <w:tc>
          <w:tcPr>
            <w:tcW w:w="1247" w:type="dxa"/>
            <w:tcMar>
              <w:top w:w="94" w:type="dxa"/>
              <w:left w:w="113" w:type="dxa"/>
              <w:bottom w:w="94" w:type="dxa"/>
              <w:right w:w="113" w:type="dxa"/>
            </w:tcMar>
            <w:vAlign w:val="center"/>
          </w:tcPr>
          <w:p w14:paraId="7E40453E" w14:textId="77777777" w:rsidR="00C97348" w:rsidRDefault="00C97348" w:rsidP="00C97348">
            <w:pPr>
              <w:pStyle w:val="CDIFigure-Table-BodyTextLeft"/>
            </w:pPr>
            <w:r>
              <w:t>NSW</w:t>
            </w:r>
          </w:p>
        </w:tc>
        <w:tc>
          <w:tcPr>
            <w:tcW w:w="1304" w:type="dxa"/>
            <w:tcMar>
              <w:top w:w="94" w:type="dxa"/>
              <w:left w:w="113" w:type="dxa"/>
              <w:bottom w:w="94" w:type="dxa"/>
              <w:right w:w="113" w:type="dxa"/>
            </w:tcMar>
            <w:vAlign w:val="center"/>
          </w:tcPr>
          <w:p w14:paraId="02AD5570" w14:textId="77777777" w:rsidR="00C97348" w:rsidRDefault="00C97348" w:rsidP="00C97348">
            <w:pPr>
              <w:pStyle w:val="CDIFigure-Table-BodyTextCentre"/>
            </w:pPr>
            <w:r>
              <w:t>22,920 (20.6)</w:t>
            </w:r>
          </w:p>
        </w:tc>
        <w:tc>
          <w:tcPr>
            <w:tcW w:w="1814" w:type="dxa"/>
            <w:tcMar>
              <w:top w:w="94" w:type="dxa"/>
              <w:left w:w="113" w:type="dxa"/>
              <w:bottom w:w="94" w:type="dxa"/>
              <w:right w:w="113" w:type="dxa"/>
            </w:tcMar>
            <w:vAlign w:val="center"/>
          </w:tcPr>
          <w:p w14:paraId="4EB34B2E" w14:textId="77777777" w:rsidR="00C97348" w:rsidRDefault="00C97348" w:rsidP="00C97348">
            <w:pPr>
              <w:pStyle w:val="CDIFigure-Table-BodyTextCentre"/>
            </w:pPr>
            <w:r>
              <w:t>328.4 (324.2–332.7)</w:t>
            </w:r>
          </w:p>
        </w:tc>
        <w:tc>
          <w:tcPr>
            <w:tcW w:w="1318" w:type="dxa"/>
            <w:tcMar>
              <w:top w:w="94" w:type="dxa"/>
              <w:left w:w="113" w:type="dxa"/>
              <w:bottom w:w="94" w:type="dxa"/>
              <w:right w:w="113" w:type="dxa"/>
            </w:tcMar>
            <w:vAlign w:val="center"/>
          </w:tcPr>
          <w:p w14:paraId="4F5804F8" w14:textId="77777777" w:rsidR="00C97348" w:rsidRDefault="00C97348" w:rsidP="00C97348">
            <w:pPr>
              <w:pStyle w:val="CDIFigure-Table-BodyTextCentre"/>
            </w:pPr>
            <w:r>
              <w:t>77.4</w:t>
            </w:r>
          </w:p>
        </w:tc>
        <w:tc>
          <w:tcPr>
            <w:tcW w:w="1319" w:type="dxa"/>
            <w:tcMar>
              <w:top w:w="94" w:type="dxa"/>
              <w:left w:w="113" w:type="dxa"/>
              <w:bottom w:w="94" w:type="dxa"/>
              <w:right w:w="113" w:type="dxa"/>
            </w:tcMar>
            <w:vAlign w:val="center"/>
          </w:tcPr>
          <w:p w14:paraId="7EC38617" w14:textId="77777777" w:rsidR="00C97348" w:rsidRDefault="00C97348" w:rsidP="00C97348">
            <w:pPr>
              <w:pStyle w:val="CDIFigure-Table-BodyTextCentre"/>
            </w:pPr>
            <w:r>
              <w:t>306.7</w:t>
            </w:r>
          </w:p>
        </w:tc>
        <w:tc>
          <w:tcPr>
            <w:tcW w:w="1318" w:type="dxa"/>
            <w:tcMar>
              <w:top w:w="94" w:type="dxa"/>
              <w:left w:w="113" w:type="dxa"/>
              <w:bottom w:w="94" w:type="dxa"/>
              <w:right w:w="113" w:type="dxa"/>
            </w:tcMar>
            <w:vAlign w:val="center"/>
          </w:tcPr>
          <w:p w14:paraId="2DFC250E" w14:textId="77777777" w:rsidR="00C97348" w:rsidRDefault="00C97348" w:rsidP="00C97348">
            <w:pPr>
              <w:pStyle w:val="CDIFigure-Table-BodyTextCentre"/>
            </w:pPr>
            <w:r>
              <w:t>400.7</w:t>
            </w:r>
          </w:p>
        </w:tc>
        <w:tc>
          <w:tcPr>
            <w:tcW w:w="1318" w:type="dxa"/>
            <w:tcMar>
              <w:top w:w="94" w:type="dxa"/>
              <w:left w:w="113" w:type="dxa"/>
              <w:bottom w:w="94" w:type="dxa"/>
              <w:right w:w="113" w:type="dxa"/>
            </w:tcMar>
            <w:vAlign w:val="center"/>
          </w:tcPr>
          <w:p w14:paraId="3D2657F0" w14:textId="77777777" w:rsidR="00C97348" w:rsidRDefault="00C97348" w:rsidP="00C97348">
            <w:pPr>
              <w:pStyle w:val="CDIFigure-Table-BodyTextCentre"/>
            </w:pPr>
            <w:r>
              <w:t>66.3</w:t>
            </w:r>
          </w:p>
        </w:tc>
      </w:tr>
      <w:tr w:rsidR="00C97348" w14:paraId="0F6A61E4" w14:textId="77777777" w:rsidTr="00C97348">
        <w:trPr>
          <w:divId w:val="935526654"/>
          <w:trHeight w:val="20"/>
        </w:trPr>
        <w:tc>
          <w:tcPr>
            <w:tcW w:w="1247" w:type="dxa"/>
            <w:shd w:val="clear" w:color="auto" w:fill="F2F2F2" w:themeFill="background1" w:themeFillShade="F2"/>
            <w:tcMar>
              <w:top w:w="94" w:type="dxa"/>
              <w:left w:w="113" w:type="dxa"/>
              <w:bottom w:w="94" w:type="dxa"/>
              <w:right w:w="113" w:type="dxa"/>
            </w:tcMar>
            <w:vAlign w:val="center"/>
          </w:tcPr>
          <w:p w14:paraId="738FCC72" w14:textId="77777777" w:rsidR="00C97348" w:rsidRDefault="00C97348" w:rsidP="00C97348">
            <w:pPr>
              <w:pStyle w:val="CDIFigure-Table-BodyTextLeft"/>
            </w:pPr>
            <w:r>
              <w:t>NT</w:t>
            </w:r>
          </w:p>
        </w:tc>
        <w:tc>
          <w:tcPr>
            <w:tcW w:w="1304" w:type="dxa"/>
            <w:shd w:val="clear" w:color="auto" w:fill="F2F2F2" w:themeFill="background1" w:themeFillShade="F2"/>
            <w:tcMar>
              <w:top w:w="94" w:type="dxa"/>
              <w:left w:w="113" w:type="dxa"/>
              <w:bottom w:w="94" w:type="dxa"/>
              <w:right w:w="113" w:type="dxa"/>
            </w:tcMar>
            <w:vAlign w:val="center"/>
          </w:tcPr>
          <w:p w14:paraId="6EA336C9" w14:textId="77777777" w:rsidR="00C97348" w:rsidRDefault="00C97348" w:rsidP="00C97348">
            <w:pPr>
              <w:pStyle w:val="CDIFigure-Table-BodyTextCentre"/>
            </w:pPr>
            <w:r>
              <w:t>1,292 (1.2)</w:t>
            </w:r>
          </w:p>
        </w:tc>
        <w:tc>
          <w:tcPr>
            <w:tcW w:w="1814" w:type="dxa"/>
            <w:shd w:val="clear" w:color="auto" w:fill="F2F2F2" w:themeFill="background1" w:themeFillShade="F2"/>
            <w:tcMar>
              <w:top w:w="94" w:type="dxa"/>
              <w:left w:w="113" w:type="dxa"/>
              <w:bottom w:w="94" w:type="dxa"/>
              <w:right w:w="113" w:type="dxa"/>
            </w:tcMar>
            <w:vAlign w:val="center"/>
          </w:tcPr>
          <w:p w14:paraId="0679BA3B" w14:textId="5E330B5E" w:rsidR="00C97348" w:rsidRDefault="00C97348" w:rsidP="00C97348">
            <w:pPr>
              <w:pStyle w:val="CDIFigure-Table-BodyTextCentre"/>
            </w:pPr>
            <w:r>
              <w:t>633.3 (599.3–6 68.7)</w:t>
            </w:r>
          </w:p>
        </w:tc>
        <w:tc>
          <w:tcPr>
            <w:tcW w:w="1318" w:type="dxa"/>
            <w:shd w:val="clear" w:color="auto" w:fill="F2F2F2" w:themeFill="background1" w:themeFillShade="F2"/>
            <w:tcMar>
              <w:top w:w="94" w:type="dxa"/>
              <w:left w:w="113" w:type="dxa"/>
              <w:bottom w:w="94" w:type="dxa"/>
              <w:right w:w="113" w:type="dxa"/>
            </w:tcMar>
            <w:vAlign w:val="center"/>
          </w:tcPr>
          <w:p w14:paraId="06EA0AA1" w14:textId="77777777" w:rsidR="00C97348" w:rsidRDefault="00C97348" w:rsidP="00C97348">
            <w:pPr>
              <w:pStyle w:val="CDIFigure-Table-BodyTextCentre"/>
            </w:pPr>
            <w:r>
              <w:t>165.4</w:t>
            </w:r>
          </w:p>
        </w:tc>
        <w:tc>
          <w:tcPr>
            <w:tcW w:w="1319" w:type="dxa"/>
            <w:shd w:val="clear" w:color="auto" w:fill="F2F2F2" w:themeFill="background1" w:themeFillShade="F2"/>
            <w:tcMar>
              <w:top w:w="94" w:type="dxa"/>
              <w:left w:w="113" w:type="dxa"/>
              <w:bottom w:w="94" w:type="dxa"/>
              <w:right w:w="113" w:type="dxa"/>
            </w:tcMar>
            <w:vAlign w:val="center"/>
          </w:tcPr>
          <w:p w14:paraId="5BA687DF" w14:textId="77777777" w:rsidR="00C97348" w:rsidRDefault="00C97348" w:rsidP="00C97348">
            <w:pPr>
              <w:pStyle w:val="CDIFigure-Table-BodyTextCentre"/>
            </w:pPr>
            <w:r>
              <w:t>679.8</w:t>
            </w:r>
          </w:p>
        </w:tc>
        <w:tc>
          <w:tcPr>
            <w:tcW w:w="1318" w:type="dxa"/>
            <w:shd w:val="clear" w:color="auto" w:fill="F2F2F2" w:themeFill="background1" w:themeFillShade="F2"/>
            <w:tcMar>
              <w:top w:w="94" w:type="dxa"/>
              <w:left w:w="113" w:type="dxa"/>
              <w:bottom w:w="94" w:type="dxa"/>
              <w:right w:w="113" w:type="dxa"/>
            </w:tcMar>
            <w:vAlign w:val="center"/>
          </w:tcPr>
          <w:p w14:paraId="1EB7577F" w14:textId="77777777" w:rsidR="00C97348" w:rsidRDefault="00C97348" w:rsidP="00C97348">
            <w:pPr>
              <w:pStyle w:val="CDIFigure-Table-BodyTextCentre"/>
            </w:pPr>
            <w:r>
              <w:t>560.5</w:t>
            </w:r>
          </w:p>
        </w:tc>
        <w:tc>
          <w:tcPr>
            <w:tcW w:w="1318" w:type="dxa"/>
            <w:shd w:val="clear" w:color="auto" w:fill="F2F2F2" w:themeFill="background1" w:themeFillShade="F2"/>
            <w:tcMar>
              <w:top w:w="94" w:type="dxa"/>
              <w:left w:w="113" w:type="dxa"/>
              <w:bottom w:w="94" w:type="dxa"/>
              <w:right w:w="113" w:type="dxa"/>
            </w:tcMar>
            <w:vAlign w:val="center"/>
          </w:tcPr>
          <w:p w14:paraId="7AA462AC" w14:textId="77777777" w:rsidR="00C97348" w:rsidRDefault="00C97348" w:rsidP="00C97348">
            <w:pPr>
              <w:pStyle w:val="CDIFigure-Table-BodyTextCentre"/>
            </w:pPr>
            <w:r>
              <w:t>94.1</w:t>
            </w:r>
          </w:p>
        </w:tc>
      </w:tr>
      <w:tr w:rsidR="00C97348" w14:paraId="370179FC" w14:textId="77777777" w:rsidTr="00C97348">
        <w:trPr>
          <w:divId w:val="935526654"/>
          <w:trHeight w:val="20"/>
        </w:trPr>
        <w:tc>
          <w:tcPr>
            <w:tcW w:w="1247" w:type="dxa"/>
            <w:tcMar>
              <w:top w:w="94" w:type="dxa"/>
              <w:left w:w="113" w:type="dxa"/>
              <w:bottom w:w="94" w:type="dxa"/>
              <w:right w:w="113" w:type="dxa"/>
            </w:tcMar>
            <w:vAlign w:val="center"/>
          </w:tcPr>
          <w:p w14:paraId="7F3A0F9D" w14:textId="77777777" w:rsidR="00C97348" w:rsidRDefault="00C97348" w:rsidP="00C97348">
            <w:pPr>
              <w:pStyle w:val="CDIFigure-Table-BodyTextLeft"/>
            </w:pPr>
            <w:r>
              <w:t>Qld</w:t>
            </w:r>
          </w:p>
        </w:tc>
        <w:tc>
          <w:tcPr>
            <w:tcW w:w="1304" w:type="dxa"/>
            <w:tcMar>
              <w:top w:w="94" w:type="dxa"/>
              <w:left w:w="113" w:type="dxa"/>
              <w:bottom w:w="94" w:type="dxa"/>
              <w:right w:w="113" w:type="dxa"/>
            </w:tcMar>
            <w:vAlign w:val="center"/>
          </w:tcPr>
          <w:p w14:paraId="7175E52E" w14:textId="77777777" w:rsidR="00C97348" w:rsidRDefault="00C97348" w:rsidP="00C97348">
            <w:pPr>
              <w:pStyle w:val="CDIFigure-Table-BodyTextCentre"/>
            </w:pPr>
            <w:r>
              <w:t>19,446 (17.5)</w:t>
            </w:r>
          </w:p>
        </w:tc>
        <w:tc>
          <w:tcPr>
            <w:tcW w:w="1814" w:type="dxa"/>
            <w:tcMar>
              <w:top w:w="94" w:type="dxa"/>
              <w:left w:w="113" w:type="dxa"/>
              <w:bottom w:w="94" w:type="dxa"/>
              <w:right w:w="113" w:type="dxa"/>
            </w:tcMar>
            <w:vAlign w:val="center"/>
          </w:tcPr>
          <w:p w14:paraId="52E60C52" w14:textId="77777777" w:rsidR="00C97348" w:rsidRDefault="00C97348" w:rsidP="00C97348">
            <w:pPr>
              <w:pStyle w:val="CDIFigure-Table-BodyTextCentre"/>
            </w:pPr>
            <w:r>
              <w:t>438.9 (432.7–445.1)</w:t>
            </w:r>
          </w:p>
        </w:tc>
        <w:tc>
          <w:tcPr>
            <w:tcW w:w="1318" w:type="dxa"/>
            <w:tcMar>
              <w:top w:w="94" w:type="dxa"/>
              <w:left w:w="113" w:type="dxa"/>
              <w:bottom w:w="94" w:type="dxa"/>
              <w:right w:w="113" w:type="dxa"/>
            </w:tcMar>
            <w:vAlign w:val="center"/>
          </w:tcPr>
          <w:p w14:paraId="5E73944F" w14:textId="77777777" w:rsidR="00C97348" w:rsidRDefault="00C97348" w:rsidP="00C97348">
            <w:pPr>
              <w:pStyle w:val="CDIFigure-Table-BodyTextCentre"/>
            </w:pPr>
            <w:r>
              <w:t>185.1</w:t>
            </w:r>
          </w:p>
        </w:tc>
        <w:tc>
          <w:tcPr>
            <w:tcW w:w="1319" w:type="dxa"/>
            <w:tcMar>
              <w:top w:w="94" w:type="dxa"/>
              <w:left w:w="113" w:type="dxa"/>
              <w:bottom w:w="94" w:type="dxa"/>
              <w:right w:w="113" w:type="dxa"/>
            </w:tcMar>
            <w:vAlign w:val="center"/>
          </w:tcPr>
          <w:p w14:paraId="130D7178" w14:textId="77777777" w:rsidR="00C97348" w:rsidRDefault="00C97348" w:rsidP="00C97348">
            <w:pPr>
              <w:pStyle w:val="CDIFigure-Table-BodyTextCentre"/>
            </w:pPr>
            <w:r>
              <w:t>448.0</w:t>
            </w:r>
          </w:p>
        </w:tc>
        <w:tc>
          <w:tcPr>
            <w:tcW w:w="1318" w:type="dxa"/>
            <w:tcMar>
              <w:top w:w="94" w:type="dxa"/>
              <w:left w:w="113" w:type="dxa"/>
              <w:bottom w:w="94" w:type="dxa"/>
              <w:right w:w="113" w:type="dxa"/>
            </w:tcMar>
            <w:vAlign w:val="center"/>
          </w:tcPr>
          <w:p w14:paraId="05C6C91C" w14:textId="77777777" w:rsidR="00C97348" w:rsidRDefault="00C97348" w:rsidP="00C97348">
            <w:pPr>
              <w:pStyle w:val="CDIFigure-Table-BodyTextCentre"/>
            </w:pPr>
            <w:r>
              <w:t>452.2</w:t>
            </w:r>
          </w:p>
        </w:tc>
        <w:tc>
          <w:tcPr>
            <w:tcW w:w="1318" w:type="dxa"/>
            <w:tcMar>
              <w:top w:w="94" w:type="dxa"/>
              <w:left w:w="113" w:type="dxa"/>
              <w:bottom w:w="94" w:type="dxa"/>
              <w:right w:w="113" w:type="dxa"/>
            </w:tcMar>
            <w:vAlign w:val="center"/>
          </w:tcPr>
          <w:p w14:paraId="361DF9B6" w14:textId="77777777" w:rsidR="00C97348" w:rsidRDefault="00C97348" w:rsidP="00C97348">
            <w:pPr>
              <w:pStyle w:val="CDIFigure-Table-BodyTextCentre"/>
            </w:pPr>
            <w:r>
              <w:t>67.3</w:t>
            </w:r>
          </w:p>
        </w:tc>
      </w:tr>
      <w:tr w:rsidR="00C97348" w14:paraId="0D42034B" w14:textId="77777777" w:rsidTr="00C97348">
        <w:trPr>
          <w:divId w:val="935526654"/>
          <w:trHeight w:val="20"/>
        </w:trPr>
        <w:tc>
          <w:tcPr>
            <w:tcW w:w="1247" w:type="dxa"/>
            <w:shd w:val="clear" w:color="auto" w:fill="F2F2F2" w:themeFill="background1" w:themeFillShade="F2"/>
            <w:tcMar>
              <w:top w:w="94" w:type="dxa"/>
              <w:left w:w="113" w:type="dxa"/>
              <w:bottom w:w="94" w:type="dxa"/>
              <w:right w:w="113" w:type="dxa"/>
            </w:tcMar>
            <w:vAlign w:val="center"/>
          </w:tcPr>
          <w:p w14:paraId="4EB17B3C" w14:textId="77777777" w:rsidR="00C97348" w:rsidRDefault="00C97348" w:rsidP="00C97348">
            <w:pPr>
              <w:pStyle w:val="CDIFigure-Table-BodyTextLeft"/>
            </w:pPr>
            <w:r>
              <w:t>SA</w:t>
            </w:r>
          </w:p>
        </w:tc>
        <w:tc>
          <w:tcPr>
            <w:tcW w:w="1304" w:type="dxa"/>
            <w:shd w:val="clear" w:color="auto" w:fill="F2F2F2" w:themeFill="background1" w:themeFillShade="F2"/>
            <w:tcMar>
              <w:top w:w="94" w:type="dxa"/>
              <w:left w:w="113" w:type="dxa"/>
              <w:bottom w:w="94" w:type="dxa"/>
              <w:right w:w="113" w:type="dxa"/>
            </w:tcMar>
            <w:vAlign w:val="center"/>
          </w:tcPr>
          <w:p w14:paraId="09D1799A" w14:textId="77777777" w:rsidR="00C97348" w:rsidRDefault="00C97348" w:rsidP="00C97348">
            <w:pPr>
              <w:pStyle w:val="CDIFigure-Table-BodyTextCentre"/>
            </w:pPr>
            <w:r>
              <w:t>7,126 (6.4)</w:t>
            </w:r>
          </w:p>
        </w:tc>
        <w:tc>
          <w:tcPr>
            <w:tcW w:w="1814" w:type="dxa"/>
            <w:shd w:val="clear" w:color="auto" w:fill="F2F2F2" w:themeFill="background1" w:themeFillShade="F2"/>
            <w:tcMar>
              <w:top w:w="94" w:type="dxa"/>
              <w:left w:w="113" w:type="dxa"/>
              <w:bottom w:w="94" w:type="dxa"/>
              <w:right w:w="113" w:type="dxa"/>
            </w:tcMar>
            <w:vAlign w:val="center"/>
          </w:tcPr>
          <w:p w14:paraId="4432C364" w14:textId="77777777" w:rsidR="00C97348" w:rsidRDefault="00C97348" w:rsidP="00C97348">
            <w:pPr>
              <w:pStyle w:val="CDIFigure-Table-BodyTextCentre"/>
            </w:pPr>
            <w:r>
              <w:t>466.4 (455.7–477.3)</w:t>
            </w:r>
          </w:p>
        </w:tc>
        <w:tc>
          <w:tcPr>
            <w:tcW w:w="1318" w:type="dxa"/>
            <w:shd w:val="clear" w:color="auto" w:fill="F2F2F2" w:themeFill="background1" w:themeFillShade="F2"/>
            <w:tcMar>
              <w:top w:w="94" w:type="dxa"/>
              <w:left w:w="113" w:type="dxa"/>
              <w:bottom w:w="94" w:type="dxa"/>
              <w:right w:w="113" w:type="dxa"/>
            </w:tcMar>
            <w:vAlign w:val="center"/>
          </w:tcPr>
          <w:p w14:paraId="6A7EA0E0" w14:textId="77777777" w:rsidR="00C97348" w:rsidRDefault="00C97348" w:rsidP="00C97348">
            <w:pPr>
              <w:pStyle w:val="CDIFigure-Table-BodyTextCentre"/>
            </w:pPr>
            <w:r>
              <w:t>178.1</w:t>
            </w:r>
          </w:p>
        </w:tc>
        <w:tc>
          <w:tcPr>
            <w:tcW w:w="1319" w:type="dxa"/>
            <w:shd w:val="clear" w:color="auto" w:fill="F2F2F2" w:themeFill="background1" w:themeFillShade="F2"/>
            <w:tcMar>
              <w:top w:w="94" w:type="dxa"/>
              <w:left w:w="113" w:type="dxa"/>
              <w:bottom w:w="94" w:type="dxa"/>
              <w:right w:w="113" w:type="dxa"/>
            </w:tcMar>
            <w:vAlign w:val="center"/>
          </w:tcPr>
          <w:p w14:paraId="16EEB181" w14:textId="77777777" w:rsidR="00C97348" w:rsidRDefault="00C97348" w:rsidP="00C97348">
            <w:pPr>
              <w:pStyle w:val="CDIFigure-Table-BodyTextCentre"/>
            </w:pPr>
            <w:r>
              <w:t>465.5</w:t>
            </w:r>
          </w:p>
        </w:tc>
        <w:tc>
          <w:tcPr>
            <w:tcW w:w="1318" w:type="dxa"/>
            <w:shd w:val="clear" w:color="auto" w:fill="F2F2F2" w:themeFill="background1" w:themeFillShade="F2"/>
            <w:tcMar>
              <w:top w:w="94" w:type="dxa"/>
              <w:left w:w="113" w:type="dxa"/>
              <w:bottom w:w="94" w:type="dxa"/>
              <w:right w:w="113" w:type="dxa"/>
            </w:tcMar>
            <w:vAlign w:val="center"/>
          </w:tcPr>
          <w:p w14:paraId="5E1C6C91" w14:textId="77777777" w:rsidR="00C97348" w:rsidRDefault="00C97348" w:rsidP="00C97348">
            <w:pPr>
              <w:pStyle w:val="CDIFigure-Table-BodyTextCentre"/>
            </w:pPr>
            <w:r>
              <w:t>477.3</w:t>
            </w:r>
          </w:p>
        </w:tc>
        <w:tc>
          <w:tcPr>
            <w:tcW w:w="1318" w:type="dxa"/>
            <w:shd w:val="clear" w:color="auto" w:fill="F2F2F2" w:themeFill="background1" w:themeFillShade="F2"/>
            <w:tcMar>
              <w:top w:w="94" w:type="dxa"/>
              <w:left w:w="113" w:type="dxa"/>
              <w:bottom w:w="94" w:type="dxa"/>
              <w:right w:w="113" w:type="dxa"/>
            </w:tcMar>
            <w:vAlign w:val="center"/>
          </w:tcPr>
          <w:p w14:paraId="037DD431" w14:textId="77777777" w:rsidR="00C97348" w:rsidRDefault="00C97348" w:rsidP="00C97348">
            <w:pPr>
              <w:pStyle w:val="CDIFigure-Table-BodyTextCentre"/>
            </w:pPr>
            <w:r>
              <w:t>66.5</w:t>
            </w:r>
          </w:p>
        </w:tc>
      </w:tr>
      <w:tr w:rsidR="00C97348" w14:paraId="3019A86D" w14:textId="77777777" w:rsidTr="00C97348">
        <w:trPr>
          <w:divId w:val="935526654"/>
          <w:trHeight w:val="20"/>
        </w:trPr>
        <w:tc>
          <w:tcPr>
            <w:tcW w:w="1247" w:type="dxa"/>
            <w:tcMar>
              <w:top w:w="94" w:type="dxa"/>
              <w:left w:w="113" w:type="dxa"/>
              <w:bottom w:w="94" w:type="dxa"/>
              <w:right w:w="113" w:type="dxa"/>
            </w:tcMar>
            <w:vAlign w:val="center"/>
          </w:tcPr>
          <w:p w14:paraId="3884FD28" w14:textId="77777777" w:rsidR="00C97348" w:rsidRDefault="00C97348" w:rsidP="00C97348">
            <w:pPr>
              <w:pStyle w:val="CDIFigure-Table-BodyTextLeft"/>
            </w:pPr>
            <w:r>
              <w:t>Tas.</w:t>
            </w:r>
          </w:p>
        </w:tc>
        <w:tc>
          <w:tcPr>
            <w:tcW w:w="1304" w:type="dxa"/>
            <w:tcMar>
              <w:top w:w="94" w:type="dxa"/>
              <w:left w:w="113" w:type="dxa"/>
              <w:bottom w:w="94" w:type="dxa"/>
              <w:right w:w="113" w:type="dxa"/>
            </w:tcMar>
            <w:vAlign w:val="center"/>
          </w:tcPr>
          <w:p w14:paraId="60F0C81D" w14:textId="77777777" w:rsidR="00C97348" w:rsidRDefault="00C97348" w:rsidP="00C97348">
            <w:pPr>
              <w:pStyle w:val="CDIFigure-Table-BodyTextCentre"/>
            </w:pPr>
            <w:r>
              <w:t>3,896 (3.5)</w:t>
            </w:r>
          </w:p>
        </w:tc>
        <w:tc>
          <w:tcPr>
            <w:tcW w:w="1814" w:type="dxa"/>
            <w:tcMar>
              <w:top w:w="94" w:type="dxa"/>
              <w:left w:w="113" w:type="dxa"/>
              <w:bottom w:w="94" w:type="dxa"/>
              <w:right w:w="113" w:type="dxa"/>
            </w:tcMar>
            <w:vAlign w:val="center"/>
          </w:tcPr>
          <w:p w14:paraId="1039DF8C" w14:textId="77777777" w:rsidR="00C97348" w:rsidRDefault="00C97348" w:rsidP="00C97348">
            <w:pPr>
              <w:pStyle w:val="CDIFigure-Table-BodyTextCentre"/>
            </w:pPr>
            <w:r>
              <w:t>831.9 (806.1–858.3)</w:t>
            </w:r>
          </w:p>
        </w:tc>
        <w:tc>
          <w:tcPr>
            <w:tcW w:w="1318" w:type="dxa"/>
            <w:tcMar>
              <w:top w:w="94" w:type="dxa"/>
              <w:left w:w="113" w:type="dxa"/>
              <w:bottom w:w="94" w:type="dxa"/>
              <w:right w:w="113" w:type="dxa"/>
            </w:tcMar>
            <w:vAlign w:val="center"/>
          </w:tcPr>
          <w:p w14:paraId="1741BDA0" w14:textId="77777777" w:rsidR="00C97348" w:rsidRDefault="00C97348" w:rsidP="00C97348">
            <w:pPr>
              <w:pStyle w:val="CDIFigure-Table-BodyTextCentre"/>
            </w:pPr>
            <w:r>
              <w:t>205.6</w:t>
            </w:r>
          </w:p>
        </w:tc>
        <w:tc>
          <w:tcPr>
            <w:tcW w:w="1319" w:type="dxa"/>
            <w:tcMar>
              <w:top w:w="94" w:type="dxa"/>
              <w:left w:w="113" w:type="dxa"/>
              <w:bottom w:w="94" w:type="dxa"/>
              <w:right w:w="113" w:type="dxa"/>
            </w:tcMar>
            <w:vAlign w:val="center"/>
          </w:tcPr>
          <w:p w14:paraId="50146CB4" w14:textId="77777777" w:rsidR="00C97348" w:rsidRDefault="00C97348" w:rsidP="00C97348">
            <w:pPr>
              <w:pStyle w:val="CDIFigure-Table-BodyTextCentre"/>
            </w:pPr>
            <w:r>
              <w:t>904.6</w:t>
            </w:r>
          </w:p>
        </w:tc>
        <w:tc>
          <w:tcPr>
            <w:tcW w:w="1318" w:type="dxa"/>
            <w:tcMar>
              <w:top w:w="94" w:type="dxa"/>
              <w:left w:w="113" w:type="dxa"/>
              <w:bottom w:w="94" w:type="dxa"/>
              <w:right w:w="113" w:type="dxa"/>
            </w:tcMar>
            <w:vAlign w:val="center"/>
          </w:tcPr>
          <w:p w14:paraId="3A9B1D77" w14:textId="77777777" w:rsidR="00C97348" w:rsidRDefault="00C97348" w:rsidP="00C97348">
            <w:pPr>
              <w:pStyle w:val="CDIFigure-Table-BodyTextCentre"/>
            </w:pPr>
            <w:r>
              <w:t>767.5</w:t>
            </w:r>
          </w:p>
        </w:tc>
        <w:tc>
          <w:tcPr>
            <w:tcW w:w="1318" w:type="dxa"/>
            <w:tcMar>
              <w:top w:w="94" w:type="dxa"/>
              <w:left w:w="113" w:type="dxa"/>
              <w:bottom w:w="94" w:type="dxa"/>
              <w:right w:w="113" w:type="dxa"/>
            </w:tcMar>
            <w:vAlign w:val="center"/>
          </w:tcPr>
          <w:p w14:paraId="6BC64388" w14:textId="77777777" w:rsidR="00C97348" w:rsidRDefault="00C97348" w:rsidP="00C97348">
            <w:pPr>
              <w:pStyle w:val="CDIFigure-Table-BodyTextCentre"/>
            </w:pPr>
            <w:r>
              <w:t>104.8</w:t>
            </w:r>
          </w:p>
        </w:tc>
      </w:tr>
      <w:tr w:rsidR="00C97348" w14:paraId="30E54734" w14:textId="77777777" w:rsidTr="00C97348">
        <w:trPr>
          <w:divId w:val="935526654"/>
          <w:trHeight w:val="20"/>
        </w:trPr>
        <w:tc>
          <w:tcPr>
            <w:tcW w:w="1247" w:type="dxa"/>
            <w:shd w:val="clear" w:color="auto" w:fill="F2F2F2" w:themeFill="background1" w:themeFillShade="F2"/>
            <w:tcMar>
              <w:top w:w="94" w:type="dxa"/>
              <w:left w:w="113" w:type="dxa"/>
              <w:bottom w:w="94" w:type="dxa"/>
              <w:right w:w="113" w:type="dxa"/>
            </w:tcMar>
            <w:vAlign w:val="center"/>
          </w:tcPr>
          <w:p w14:paraId="635F265A" w14:textId="77777777" w:rsidR="00C97348" w:rsidRDefault="00C97348" w:rsidP="00C97348">
            <w:pPr>
              <w:pStyle w:val="CDIFigure-Table-BodyTextLeft"/>
            </w:pPr>
            <w:r>
              <w:t>Vic.</w:t>
            </w:r>
          </w:p>
        </w:tc>
        <w:tc>
          <w:tcPr>
            <w:tcW w:w="1304" w:type="dxa"/>
            <w:shd w:val="clear" w:color="auto" w:fill="F2F2F2" w:themeFill="background1" w:themeFillShade="F2"/>
            <w:tcMar>
              <w:top w:w="94" w:type="dxa"/>
              <w:left w:w="113" w:type="dxa"/>
              <w:bottom w:w="94" w:type="dxa"/>
              <w:right w:w="113" w:type="dxa"/>
            </w:tcMar>
            <w:vAlign w:val="center"/>
          </w:tcPr>
          <w:p w14:paraId="544F32D8" w14:textId="77777777" w:rsidR="00C97348" w:rsidRDefault="00C97348" w:rsidP="00C97348">
            <w:pPr>
              <w:pStyle w:val="CDIFigure-Table-BodyTextCentre"/>
            </w:pPr>
            <w:r>
              <w:t>40,727 (36.6)</w:t>
            </w:r>
          </w:p>
        </w:tc>
        <w:tc>
          <w:tcPr>
            <w:tcW w:w="1814" w:type="dxa"/>
            <w:shd w:val="clear" w:color="auto" w:fill="F2F2F2" w:themeFill="background1" w:themeFillShade="F2"/>
            <w:tcMar>
              <w:top w:w="94" w:type="dxa"/>
              <w:left w:w="113" w:type="dxa"/>
              <w:bottom w:w="94" w:type="dxa"/>
              <w:right w:w="113" w:type="dxa"/>
            </w:tcMar>
            <w:vAlign w:val="center"/>
          </w:tcPr>
          <w:p w14:paraId="7D5E74BD" w14:textId="77777777" w:rsidR="00C97348" w:rsidRDefault="00C97348" w:rsidP="00C97348">
            <w:pPr>
              <w:pStyle w:val="CDIFigure-Table-BodyTextCentre"/>
            </w:pPr>
            <w:r>
              <w:t>716.2 (709.3–723.2)</w:t>
            </w:r>
          </w:p>
        </w:tc>
        <w:tc>
          <w:tcPr>
            <w:tcW w:w="1318" w:type="dxa"/>
            <w:shd w:val="clear" w:color="auto" w:fill="F2F2F2" w:themeFill="background1" w:themeFillShade="F2"/>
            <w:tcMar>
              <w:top w:w="94" w:type="dxa"/>
              <w:left w:w="113" w:type="dxa"/>
              <w:bottom w:w="94" w:type="dxa"/>
              <w:right w:w="113" w:type="dxa"/>
            </w:tcMar>
            <w:vAlign w:val="center"/>
          </w:tcPr>
          <w:p w14:paraId="2BB1628F" w14:textId="77777777" w:rsidR="00C97348" w:rsidRDefault="00C97348" w:rsidP="00C97348">
            <w:pPr>
              <w:pStyle w:val="CDIFigure-Table-BodyTextCentre"/>
            </w:pPr>
            <w:r>
              <w:t>228.4</w:t>
            </w:r>
          </w:p>
        </w:tc>
        <w:tc>
          <w:tcPr>
            <w:tcW w:w="1319" w:type="dxa"/>
            <w:shd w:val="clear" w:color="auto" w:fill="F2F2F2" w:themeFill="background1" w:themeFillShade="F2"/>
            <w:tcMar>
              <w:top w:w="94" w:type="dxa"/>
              <w:left w:w="113" w:type="dxa"/>
              <w:bottom w:w="94" w:type="dxa"/>
              <w:right w:w="113" w:type="dxa"/>
            </w:tcMar>
            <w:vAlign w:val="center"/>
          </w:tcPr>
          <w:p w14:paraId="4F1ED101" w14:textId="77777777" w:rsidR="00C97348" w:rsidRDefault="00C97348" w:rsidP="00C97348">
            <w:pPr>
              <w:pStyle w:val="CDIFigure-Table-BodyTextCentre"/>
            </w:pPr>
            <w:r>
              <w:t>776.3</w:t>
            </w:r>
          </w:p>
        </w:tc>
        <w:tc>
          <w:tcPr>
            <w:tcW w:w="1318" w:type="dxa"/>
            <w:shd w:val="clear" w:color="auto" w:fill="F2F2F2" w:themeFill="background1" w:themeFillShade="F2"/>
            <w:tcMar>
              <w:top w:w="94" w:type="dxa"/>
              <w:left w:w="113" w:type="dxa"/>
              <w:bottom w:w="94" w:type="dxa"/>
              <w:right w:w="113" w:type="dxa"/>
            </w:tcMar>
            <w:vAlign w:val="center"/>
          </w:tcPr>
          <w:p w14:paraId="6C44F105" w14:textId="77777777" w:rsidR="00C97348" w:rsidRDefault="00C97348" w:rsidP="00C97348">
            <w:pPr>
              <w:pStyle w:val="CDIFigure-Table-BodyTextCentre"/>
            </w:pPr>
            <w:r>
              <w:t>527.7</w:t>
            </w:r>
          </w:p>
        </w:tc>
        <w:tc>
          <w:tcPr>
            <w:tcW w:w="1318" w:type="dxa"/>
            <w:shd w:val="clear" w:color="auto" w:fill="F2F2F2" w:themeFill="background1" w:themeFillShade="F2"/>
            <w:tcMar>
              <w:top w:w="94" w:type="dxa"/>
              <w:left w:w="113" w:type="dxa"/>
              <w:bottom w:w="94" w:type="dxa"/>
              <w:right w:w="113" w:type="dxa"/>
            </w:tcMar>
            <w:vAlign w:val="center"/>
          </w:tcPr>
          <w:p w14:paraId="2BDF4EF8" w14:textId="77777777" w:rsidR="00C97348" w:rsidRDefault="00C97348" w:rsidP="00C97348">
            <w:pPr>
              <w:pStyle w:val="CDIFigure-Table-BodyTextCentre"/>
            </w:pPr>
            <w:r>
              <w:t>86.1</w:t>
            </w:r>
          </w:p>
        </w:tc>
      </w:tr>
      <w:tr w:rsidR="00C97348" w14:paraId="1C889247" w14:textId="77777777" w:rsidTr="00C97348">
        <w:trPr>
          <w:divId w:val="935526654"/>
          <w:trHeight w:val="20"/>
        </w:trPr>
        <w:tc>
          <w:tcPr>
            <w:tcW w:w="1247" w:type="dxa"/>
            <w:tcMar>
              <w:top w:w="94" w:type="dxa"/>
              <w:left w:w="113" w:type="dxa"/>
              <w:bottom w:w="94" w:type="dxa"/>
              <w:right w:w="113" w:type="dxa"/>
            </w:tcMar>
            <w:vAlign w:val="center"/>
          </w:tcPr>
          <w:p w14:paraId="66E957D3" w14:textId="77777777" w:rsidR="00C97348" w:rsidRDefault="00C97348" w:rsidP="00C97348">
            <w:pPr>
              <w:pStyle w:val="CDIFigure-Table-BodyTextLeft"/>
            </w:pPr>
            <w:r>
              <w:t>WA</w:t>
            </w:r>
          </w:p>
        </w:tc>
        <w:tc>
          <w:tcPr>
            <w:tcW w:w="1304" w:type="dxa"/>
            <w:tcMar>
              <w:top w:w="94" w:type="dxa"/>
              <w:left w:w="113" w:type="dxa"/>
              <w:bottom w:w="94" w:type="dxa"/>
              <w:right w:w="113" w:type="dxa"/>
            </w:tcMar>
            <w:vAlign w:val="center"/>
          </w:tcPr>
          <w:p w14:paraId="20DB33DD" w14:textId="77777777" w:rsidR="00C97348" w:rsidRDefault="00C97348" w:rsidP="00C97348">
            <w:pPr>
              <w:pStyle w:val="CDIFigure-Table-BodyTextCentre"/>
            </w:pPr>
            <w:r>
              <w:t>12,331 (11.1)</w:t>
            </w:r>
          </w:p>
        </w:tc>
        <w:tc>
          <w:tcPr>
            <w:tcW w:w="1814" w:type="dxa"/>
            <w:tcMar>
              <w:top w:w="94" w:type="dxa"/>
              <w:left w:w="113" w:type="dxa"/>
              <w:bottom w:w="94" w:type="dxa"/>
              <w:right w:w="113" w:type="dxa"/>
            </w:tcMar>
            <w:vAlign w:val="center"/>
          </w:tcPr>
          <w:p w14:paraId="14616294" w14:textId="77777777" w:rsidR="00C97348" w:rsidRDefault="00C97348" w:rsidP="00C97348">
            <w:pPr>
              <w:pStyle w:val="CDIFigure-Table-BodyTextCentre"/>
            </w:pPr>
            <w:r>
              <w:t>544.6 (535–554.3)</w:t>
            </w:r>
          </w:p>
        </w:tc>
        <w:tc>
          <w:tcPr>
            <w:tcW w:w="1318" w:type="dxa"/>
            <w:tcMar>
              <w:top w:w="94" w:type="dxa"/>
              <w:left w:w="113" w:type="dxa"/>
              <w:bottom w:w="94" w:type="dxa"/>
              <w:right w:w="113" w:type="dxa"/>
            </w:tcMar>
            <w:vAlign w:val="center"/>
          </w:tcPr>
          <w:p w14:paraId="770F9191" w14:textId="77777777" w:rsidR="00C97348" w:rsidRDefault="00C97348" w:rsidP="00C97348">
            <w:pPr>
              <w:pStyle w:val="CDIFigure-Table-BodyTextCentre"/>
            </w:pPr>
            <w:r>
              <w:t>149.1</w:t>
            </w:r>
          </w:p>
        </w:tc>
        <w:tc>
          <w:tcPr>
            <w:tcW w:w="1319" w:type="dxa"/>
            <w:tcMar>
              <w:top w:w="94" w:type="dxa"/>
              <w:left w:w="113" w:type="dxa"/>
              <w:bottom w:w="94" w:type="dxa"/>
              <w:right w:w="113" w:type="dxa"/>
            </w:tcMar>
            <w:vAlign w:val="center"/>
          </w:tcPr>
          <w:p w14:paraId="2B5064A8" w14:textId="77777777" w:rsidR="00C97348" w:rsidRDefault="00C97348" w:rsidP="00C97348">
            <w:pPr>
              <w:pStyle w:val="CDIFigure-Table-BodyTextCentre"/>
            </w:pPr>
            <w:r>
              <w:t>540.3</w:t>
            </w:r>
          </w:p>
        </w:tc>
        <w:tc>
          <w:tcPr>
            <w:tcW w:w="1318" w:type="dxa"/>
            <w:tcMar>
              <w:top w:w="94" w:type="dxa"/>
              <w:left w:w="113" w:type="dxa"/>
              <w:bottom w:w="94" w:type="dxa"/>
              <w:right w:w="113" w:type="dxa"/>
            </w:tcMar>
            <w:vAlign w:val="center"/>
          </w:tcPr>
          <w:p w14:paraId="463259F9" w14:textId="77777777" w:rsidR="00C97348" w:rsidRDefault="00C97348" w:rsidP="00C97348">
            <w:pPr>
              <w:pStyle w:val="CDIFigure-Table-BodyTextCentre"/>
            </w:pPr>
            <w:r>
              <w:t>488.6</w:t>
            </w:r>
          </w:p>
        </w:tc>
        <w:tc>
          <w:tcPr>
            <w:tcW w:w="1318" w:type="dxa"/>
            <w:tcMar>
              <w:top w:w="94" w:type="dxa"/>
              <w:left w:w="113" w:type="dxa"/>
              <w:bottom w:w="94" w:type="dxa"/>
              <w:right w:w="113" w:type="dxa"/>
            </w:tcMar>
            <w:vAlign w:val="center"/>
          </w:tcPr>
          <w:p w14:paraId="14B2703D" w14:textId="77777777" w:rsidR="00C97348" w:rsidRDefault="00C97348" w:rsidP="00C97348">
            <w:pPr>
              <w:pStyle w:val="CDIFigure-Table-BodyTextCentre"/>
            </w:pPr>
            <w:r>
              <w:t>75.0</w:t>
            </w:r>
          </w:p>
        </w:tc>
      </w:tr>
      <w:tr w:rsidR="00C97348" w14:paraId="7A8C1139" w14:textId="77777777" w:rsidTr="00C97348">
        <w:trPr>
          <w:divId w:val="935526654"/>
          <w:trHeight w:val="20"/>
        </w:trPr>
        <w:tc>
          <w:tcPr>
            <w:tcW w:w="1247" w:type="dxa"/>
            <w:shd w:val="clear" w:color="auto" w:fill="F2F2F2" w:themeFill="background1" w:themeFillShade="F2"/>
            <w:tcMar>
              <w:top w:w="94" w:type="dxa"/>
              <w:left w:w="113" w:type="dxa"/>
              <w:bottom w:w="94" w:type="dxa"/>
              <w:right w:w="113" w:type="dxa"/>
            </w:tcMar>
            <w:vAlign w:val="center"/>
          </w:tcPr>
          <w:p w14:paraId="3E607786" w14:textId="77777777" w:rsidR="00C97348" w:rsidRDefault="00C97348" w:rsidP="00C97348">
            <w:pPr>
              <w:pStyle w:val="CDIFigure-Table-BodyTextLeft"/>
            </w:pPr>
            <w:r>
              <w:lastRenderedPageBreak/>
              <w:t>Unknown</w:t>
            </w:r>
          </w:p>
        </w:tc>
        <w:tc>
          <w:tcPr>
            <w:tcW w:w="1304" w:type="dxa"/>
            <w:shd w:val="clear" w:color="auto" w:fill="F2F2F2" w:themeFill="background1" w:themeFillShade="F2"/>
            <w:tcMar>
              <w:top w:w="94" w:type="dxa"/>
              <w:left w:w="113" w:type="dxa"/>
              <w:bottom w:w="94" w:type="dxa"/>
              <w:right w:w="113" w:type="dxa"/>
            </w:tcMar>
            <w:vAlign w:val="center"/>
          </w:tcPr>
          <w:p w14:paraId="15D61F55" w14:textId="77777777" w:rsidR="00C97348" w:rsidRDefault="00C97348" w:rsidP="00C97348">
            <w:pPr>
              <w:pStyle w:val="CDIFigure-Table-BodyTextCentre"/>
            </w:pPr>
            <w:r>
              <w:t>1,628 (1.5)</w:t>
            </w:r>
          </w:p>
        </w:tc>
        <w:tc>
          <w:tcPr>
            <w:tcW w:w="1814" w:type="dxa"/>
            <w:shd w:val="clear" w:color="auto" w:fill="F2F2F2" w:themeFill="background1" w:themeFillShade="F2"/>
            <w:tcMar>
              <w:top w:w="94" w:type="dxa"/>
              <w:left w:w="113" w:type="dxa"/>
              <w:bottom w:w="94" w:type="dxa"/>
              <w:right w:w="113" w:type="dxa"/>
            </w:tcMar>
            <w:vAlign w:val="center"/>
          </w:tcPr>
          <w:p w14:paraId="527CB693" w14:textId="77777777" w:rsidR="00C97348" w:rsidRDefault="00C97348" w:rsidP="00C97348">
            <w:pPr>
              <w:pStyle w:val="CDIFigure-Table-BodyTextCentre"/>
            </w:pPr>
            <w:r>
              <w:t>—</w:t>
            </w:r>
          </w:p>
        </w:tc>
        <w:tc>
          <w:tcPr>
            <w:tcW w:w="1318" w:type="dxa"/>
            <w:shd w:val="clear" w:color="auto" w:fill="F2F2F2" w:themeFill="background1" w:themeFillShade="F2"/>
            <w:tcMar>
              <w:top w:w="94" w:type="dxa"/>
              <w:left w:w="113" w:type="dxa"/>
              <w:bottom w:w="94" w:type="dxa"/>
              <w:right w:w="113" w:type="dxa"/>
            </w:tcMar>
            <w:vAlign w:val="center"/>
          </w:tcPr>
          <w:p w14:paraId="1575162C" w14:textId="77777777" w:rsidR="00C97348" w:rsidRDefault="00C97348" w:rsidP="00C97348">
            <w:pPr>
              <w:pStyle w:val="CDIFigure-Table-BodyTextCentre"/>
            </w:pPr>
            <w:r>
              <w:t>—</w:t>
            </w:r>
          </w:p>
        </w:tc>
        <w:tc>
          <w:tcPr>
            <w:tcW w:w="1319" w:type="dxa"/>
            <w:shd w:val="clear" w:color="auto" w:fill="F2F2F2" w:themeFill="background1" w:themeFillShade="F2"/>
            <w:tcMar>
              <w:top w:w="94" w:type="dxa"/>
              <w:left w:w="113" w:type="dxa"/>
              <w:bottom w:w="94" w:type="dxa"/>
              <w:right w:w="113" w:type="dxa"/>
            </w:tcMar>
            <w:vAlign w:val="center"/>
          </w:tcPr>
          <w:p w14:paraId="47E0579F" w14:textId="77777777" w:rsidR="00C97348" w:rsidRDefault="00C97348" w:rsidP="00C97348">
            <w:pPr>
              <w:pStyle w:val="CDIFigure-Table-BodyTextCentre"/>
            </w:pPr>
            <w:r>
              <w:t>—</w:t>
            </w:r>
          </w:p>
        </w:tc>
        <w:tc>
          <w:tcPr>
            <w:tcW w:w="1318" w:type="dxa"/>
            <w:shd w:val="clear" w:color="auto" w:fill="F2F2F2" w:themeFill="background1" w:themeFillShade="F2"/>
            <w:tcMar>
              <w:top w:w="94" w:type="dxa"/>
              <w:left w:w="113" w:type="dxa"/>
              <w:bottom w:w="94" w:type="dxa"/>
              <w:right w:w="113" w:type="dxa"/>
            </w:tcMar>
            <w:vAlign w:val="center"/>
          </w:tcPr>
          <w:p w14:paraId="048E4D1A" w14:textId="77777777" w:rsidR="00C97348" w:rsidRDefault="00C97348" w:rsidP="00C97348">
            <w:pPr>
              <w:pStyle w:val="CDIFigure-Table-BodyTextCentre"/>
            </w:pPr>
            <w:r>
              <w:t>—</w:t>
            </w:r>
          </w:p>
        </w:tc>
        <w:tc>
          <w:tcPr>
            <w:tcW w:w="1318" w:type="dxa"/>
            <w:shd w:val="clear" w:color="auto" w:fill="F2F2F2" w:themeFill="background1" w:themeFillShade="F2"/>
            <w:tcMar>
              <w:top w:w="94" w:type="dxa"/>
              <w:left w:w="113" w:type="dxa"/>
              <w:bottom w:w="94" w:type="dxa"/>
              <w:right w:w="113" w:type="dxa"/>
            </w:tcMar>
            <w:vAlign w:val="center"/>
          </w:tcPr>
          <w:p w14:paraId="623085DB" w14:textId="77777777" w:rsidR="00C97348" w:rsidRDefault="00C97348" w:rsidP="00C97348">
            <w:pPr>
              <w:pStyle w:val="CDIFigure-Table-BodyTextCentre"/>
            </w:pPr>
            <w:r>
              <w:t>—</w:t>
            </w:r>
          </w:p>
        </w:tc>
      </w:tr>
      <w:tr w:rsidR="00C97348" w14:paraId="3DA9577F" w14:textId="77777777" w:rsidTr="00C97348">
        <w:trPr>
          <w:divId w:val="935526654"/>
          <w:trHeight w:val="20"/>
        </w:trPr>
        <w:tc>
          <w:tcPr>
            <w:tcW w:w="1247" w:type="dxa"/>
            <w:shd w:val="clear" w:color="auto" w:fill="C5FFEF" w:themeFill="background2" w:themeFillTint="33"/>
            <w:tcMar>
              <w:top w:w="94" w:type="dxa"/>
              <w:left w:w="113" w:type="dxa"/>
              <w:bottom w:w="94" w:type="dxa"/>
              <w:right w:w="113" w:type="dxa"/>
            </w:tcMar>
            <w:vAlign w:val="center"/>
          </w:tcPr>
          <w:p w14:paraId="6A7DC2C6" w14:textId="77777777" w:rsidR="00C97348" w:rsidRPr="00C97348" w:rsidRDefault="00C97348" w:rsidP="00C97348">
            <w:pPr>
              <w:pStyle w:val="CDIFigure-Table-TotalLeft"/>
            </w:pPr>
            <w:r w:rsidRPr="00C97348">
              <w:t>Australia</w:t>
            </w:r>
          </w:p>
        </w:tc>
        <w:tc>
          <w:tcPr>
            <w:tcW w:w="1304" w:type="dxa"/>
            <w:shd w:val="clear" w:color="auto" w:fill="C5FFEF" w:themeFill="background2" w:themeFillTint="33"/>
            <w:tcMar>
              <w:top w:w="94" w:type="dxa"/>
              <w:left w:w="113" w:type="dxa"/>
              <w:bottom w:w="94" w:type="dxa"/>
              <w:right w:w="113" w:type="dxa"/>
            </w:tcMar>
            <w:vAlign w:val="center"/>
          </w:tcPr>
          <w:p w14:paraId="75A60490" w14:textId="77777777" w:rsidR="00C97348" w:rsidRPr="00C97348" w:rsidRDefault="00C97348" w:rsidP="00C97348">
            <w:pPr>
              <w:pStyle w:val="CDIFigure-Table-TotalCentre"/>
            </w:pPr>
            <w:r w:rsidRPr="00C97348">
              <w:t>111,348 (100)</w:t>
            </w:r>
          </w:p>
        </w:tc>
        <w:tc>
          <w:tcPr>
            <w:tcW w:w="1814" w:type="dxa"/>
            <w:shd w:val="clear" w:color="auto" w:fill="C5FFEF" w:themeFill="background2" w:themeFillTint="33"/>
            <w:tcMar>
              <w:top w:w="94" w:type="dxa"/>
              <w:left w:w="113" w:type="dxa"/>
              <w:bottom w:w="94" w:type="dxa"/>
              <w:right w:w="113" w:type="dxa"/>
            </w:tcMar>
            <w:vAlign w:val="center"/>
          </w:tcPr>
          <w:p w14:paraId="7D09F1F5" w14:textId="77777777" w:rsidR="00C97348" w:rsidRPr="00C97348" w:rsidRDefault="00C97348" w:rsidP="00C97348">
            <w:pPr>
              <w:pStyle w:val="CDIFigure-Table-TotalCentre"/>
            </w:pPr>
            <w:r w:rsidRPr="00C97348">
              <w:t>507.8 (504.9–510.8)</w:t>
            </w:r>
          </w:p>
        </w:tc>
        <w:tc>
          <w:tcPr>
            <w:tcW w:w="1318" w:type="dxa"/>
            <w:shd w:val="clear" w:color="auto" w:fill="C5FFEF" w:themeFill="background2" w:themeFillTint="33"/>
            <w:tcMar>
              <w:top w:w="94" w:type="dxa"/>
              <w:left w:w="113" w:type="dxa"/>
              <w:bottom w:w="94" w:type="dxa"/>
              <w:right w:w="113" w:type="dxa"/>
            </w:tcMar>
            <w:vAlign w:val="center"/>
          </w:tcPr>
          <w:p w14:paraId="019448B5" w14:textId="77777777" w:rsidR="00C97348" w:rsidRPr="00C97348" w:rsidRDefault="00C97348" w:rsidP="00C97348">
            <w:pPr>
              <w:pStyle w:val="CDIFigure-Table-TotalCentre"/>
            </w:pPr>
            <w:r w:rsidRPr="00C97348">
              <w:t>157.8</w:t>
            </w:r>
          </w:p>
        </w:tc>
        <w:tc>
          <w:tcPr>
            <w:tcW w:w="1319" w:type="dxa"/>
            <w:shd w:val="clear" w:color="auto" w:fill="C5FFEF" w:themeFill="background2" w:themeFillTint="33"/>
            <w:tcMar>
              <w:top w:w="94" w:type="dxa"/>
              <w:left w:w="113" w:type="dxa"/>
              <w:bottom w:w="94" w:type="dxa"/>
              <w:right w:w="113" w:type="dxa"/>
            </w:tcMar>
            <w:vAlign w:val="center"/>
          </w:tcPr>
          <w:p w14:paraId="30B5EF3E" w14:textId="77777777" w:rsidR="00C97348" w:rsidRPr="00C97348" w:rsidRDefault="00C97348" w:rsidP="00C97348">
            <w:pPr>
              <w:pStyle w:val="CDIFigure-Table-TotalCentre"/>
            </w:pPr>
            <w:r w:rsidRPr="00C97348">
              <w:t>516.2</w:t>
            </w:r>
          </w:p>
        </w:tc>
        <w:tc>
          <w:tcPr>
            <w:tcW w:w="1318" w:type="dxa"/>
            <w:shd w:val="clear" w:color="auto" w:fill="C5FFEF" w:themeFill="background2" w:themeFillTint="33"/>
            <w:tcMar>
              <w:top w:w="94" w:type="dxa"/>
              <w:left w:w="113" w:type="dxa"/>
              <w:bottom w:w="94" w:type="dxa"/>
              <w:right w:w="113" w:type="dxa"/>
            </w:tcMar>
            <w:vAlign w:val="center"/>
          </w:tcPr>
          <w:p w14:paraId="4EA7ECCC" w14:textId="77777777" w:rsidR="00C97348" w:rsidRPr="00C97348" w:rsidRDefault="00C97348" w:rsidP="00C97348">
            <w:pPr>
              <w:pStyle w:val="CDIFigure-Table-TotalCentre"/>
            </w:pPr>
            <w:r w:rsidRPr="00C97348">
              <w:t>476.7</w:t>
            </w:r>
          </w:p>
        </w:tc>
        <w:tc>
          <w:tcPr>
            <w:tcW w:w="1318" w:type="dxa"/>
            <w:shd w:val="clear" w:color="auto" w:fill="C5FFEF" w:themeFill="background2" w:themeFillTint="33"/>
            <w:tcMar>
              <w:top w:w="94" w:type="dxa"/>
              <w:left w:w="113" w:type="dxa"/>
              <w:bottom w:w="94" w:type="dxa"/>
              <w:right w:w="113" w:type="dxa"/>
            </w:tcMar>
            <w:vAlign w:val="center"/>
          </w:tcPr>
          <w:p w14:paraId="1B343A32" w14:textId="77777777" w:rsidR="00C97348" w:rsidRPr="00C97348" w:rsidRDefault="00C97348" w:rsidP="00C97348">
            <w:pPr>
              <w:pStyle w:val="CDIFigure-Table-TotalCentre"/>
            </w:pPr>
            <w:r w:rsidRPr="00C97348">
              <w:t>75.2</w:t>
            </w:r>
          </w:p>
        </w:tc>
      </w:tr>
    </w:tbl>
    <w:p w14:paraId="16C52AD6" w14:textId="61C5D687" w:rsidR="00460E27" w:rsidRPr="00460E27" w:rsidRDefault="00460E27" w:rsidP="00834F33">
      <w:pPr>
        <w:pStyle w:val="CDIFigure-Table-FirstFootnote"/>
        <w:divId w:val="935526654"/>
      </w:pPr>
      <w:r w:rsidRPr="00460E27">
        <w:t>a</w:t>
      </w:r>
      <w:r w:rsidRPr="00460E27">
        <w:tab/>
        <w:t>ACT: Australian Capital Territory; NSW: New South Wales; NT: Northern Territory; Qld: Queensland; SA: South Australia; Tas.: Tasmania; Vic.:</w:t>
      </w:r>
      <w:r>
        <w:t> </w:t>
      </w:r>
      <w:r w:rsidRPr="00460E27">
        <w:t>Victoria; WA: Western Australia.</w:t>
      </w:r>
    </w:p>
    <w:p w14:paraId="25091C20" w14:textId="77777777" w:rsidR="00460E27" w:rsidRPr="00460E27" w:rsidRDefault="00460E27" w:rsidP="00460E27">
      <w:pPr>
        <w:pStyle w:val="CDIFigure-Table-Footnote"/>
        <w:divId w:val="935526654"/>
      </w:pPr>
      <w:r w:rsidRPr="00460E27">
        <w:t>b</w:t>
      </w:r>
      <w:r w:rsidRPr="00460E27">
        <w:tab/>
        <w:t>Average annual rates per 100,000 population aged ≥ 12 years calculated using June 2021 population estimates from the Australian Bureau of Statistics.</w:t>
      </w:r>
    </w:p>
    <w:p w14:paraId="6988BCEE" w14:textId="77777777" w:rsidR="00460E27" w:rsidRPr="00460E27" w:rsidRDefault="00460E27" w:rsidP="00460E27">
      <w:pPr>
        <w:pStyle w:val="CDIFigure-Table-Footnote"/>
        <w:divId w:val="935526654"/>
      </w:pPr>
      <w:r w:rsidRPr="00460E27">
        <w:t>c</w:t>
      </w:r>
      <w:r w:rsidRPr="00460E27">
        <w:tab/>
        <w:t>95% CI: 95% confidence interval.</w:t>
      </w:r>
    </w:p>
    <w:p w14:paraId="3DC4F757" w14:textId="77777777" w:rsidR="00460E27" w:rsidRPr="00460E27" w:rsidRDefault="00460E27" w:rsidP="00460E27">
      <w:pPr>
        <w:pStyle w:val="CDIFigure-Table-Footnote"/>
        <w:divId w:val="935526654"/>
      </w:pPr>
      <w:r w:rsidRPr="00460E27">
        <w:t>d</w:t>
      </w:r>
      <w:r w:rsidRPr="00460E27">
        <w:tab/>
        <w:t>Includes only AEFI reports where an age or date of birth has been reported.</w:t>
      </w:r>
    </w:p>
    <w:p w14:paraId="74B44C86" w14:textId="7058534B" w:rsidR="00460E27" w:rsidRDefault="00460E27" w:rsidP="00460E27">
      <w:pPr>
        <w:pStyle w:val="CDIFigure-Table-Footnote"/>
        <w:divId w:val="935526654"/>
      </w:pPr>
      <w:r w:rsidRPr="00460E27">
        <w:t>e</w:t>
      </w:r>
      <w:r w:rsidRPr="00460E27">
        <w:tab/>
        <w:t>An adverse event report is defined as ‘serious’ if it meets one or more of the following criteria: (1) results in death; (2) is life-threatening; (3)</w:t>
      </w:r>
      <w:r>
        <w:t> </w:t>
      </w:r>
      <w:r w:rsidRPr="00460E27">
        <w:t>requires inpatient hospitalisation or prolongation of existing hospitalisation; (4) results in persistent or significant disability/incapacity; (5)</w:t>
      </w:r>
      <w:r>
        <w:t> </w:t>
      </w:r>
      <w:r w:rsidRPr="00460E27">
        <w:t>is</w:t>
      </w:r>
      <w:r>
        <w:t> </w:t>
      </w:r>
      <w:r w:rsidRPr="00460E27">
        <w:t>a congenital anomaly/birth defect or; (6) is a medically important event or reaction.</w:t>
      </w:r>
    </w:p>
    <w:p w14:paraId="79F097B5" w14:textId="4E57EBCD" w:rsidR="00834F33" w:rsidRDefault="00BE0269" w:rsidP="00BE0269">
      <w:pPr>
        <w:pStyle w:val="CDIFigure-Table-Titlemorespacebefore"/>
        <w:divId w:val="935526654"/>
      </w:pPr>
      <w:r w:rsidRPr="00BE0269">
        <w:t>Figure 1: Adverse event following immunisation reports for COVID-19 vaccines in the Adverse Event Management System database in 2021</w:t>
      </w:r>
      <w:r w:rsidRPr="00BE0269">
        <w:rPr>
          <w:vertAlign w:val="superscript"/>
        </w:rPr>
        <w:t>a</w:t>
      </w:r>
    </w:p>
    <w:p w14:paraId="65A5D523" w14:textId="1C86A948" w:rsidR="00834F33" w:rsidRDefault="00BE0269" w:rsidP="00F909FB">
      <w:pPr>
        <w:pStyle w:val="CDIFigure-Table-ImagePlaceholder"/>
        <w:divId w:val="935526654"/>
      </w:pPr>
      <w:r>
        <w:rPr>
          <w:noProof/>
        </w:rPr>
        <w:drawing>
          <wp:inline distT="0" distB="0" distL="0" distR="0" wp14:anchorId="7518EB2C" wp14:editId="79DF3A8D">
            <wp:extent cx="6120396" cy="3307087"/>
            <wp:effectExtent l="0" t="0" r="0" b="7620"/>
            <wp:docPr id="2" name="Picture 2" descr="Figure 1 is a bar chart showing the number of adverse event reports received by the TGA for COVID-19 vaccines every month from February to December 2021. The shading of each bar shows the number of reports out of the total that are classified as serious or non-serious adverse events. It shows that the month with the highest number of total adverse event reports and serious adverse event reports was August 2021, with a gradual decrease between August and December. Superimposed onto the bar chart is a line graph showing the number of adverse events following immunisation from all sources, and from sources other than the general public, demonstrating that most reports have come from non-lay sources each month. August 2021 was also the month with the highest proportion of adverse event reports following COVID-19 vaccines from the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is a bar chart showing the number of adverse event reports received by the TGA for COVID-19 vaccines every month from February to December 2021. The shading of each bar shows the number of reports out of the total that are classified as serious or non-serious adverse events. It shows that the month with the highest number of total adverse event reports and serious adverse event reports was August 2021, with a gradual decrease between August and December. Superimposed onto the bar chart is a line graph showing the number of adverse events following immunisation from all sources, and from sources other than the general public, demonstrating that most reports have come from non-lay sources each month. August 2021 was also the month with the highest proportion of adverse event reports following COVID-19 vaccines from the public."/>
                    <pic:cNvPicPr/>
                  </pic:nvPicPr>
                  <pic:blipFill>
                    <a:blip r:embed="rId15" cstate="print">
                      <a:extLst>
                        <a:ext uri="{28A0092B-C50C-407E-A947-70E740481C1C}">
                          <a14:useLocalDpi xmlns:a14="http://schemas.microsoft.com/office/drawing/2010/main"/>
                        </a:ext>
                      </a:extLst>
                    </a:blip>
                    <a:stretch>
                      <a:fillRect/>
                    </a:stretch>
                  </pic:blipFill>
                  <pic:spPr>
                    <a:xfrm>
                      <a:off x="0" y="0"/>
                      <a:ext cx="6120396" cy="3307087"/>
                    </a:xfrm>
                    <a:prstGeom prst="rect">
                      <a:avLst/>
                    </a:prstGeom>
                  </pic:spPr>
                </pic:pic>
              </a:graphicData>
            </a:graphic>
          </wp:inline>
        </w:drawing>
      </w:r>
    </w:p>
    <w:p w14:paraId="4325F8EB" w14:textId="307005ED" w:rsidR="00BE0269" w:rsidRDefault="00BE0269" w:rsidP="00BE0269">
      <w:pPr>
        <w:pStyle w:val="CDIFigure-Table-FirstFootnote"/>
        <w:divId w:val="935526654"/>
      </w:pPr>
      <w:r w:rsidRPr="00BE0269">
        <w:t>a</w:t>
      </w:r>
      <w:r w:rsidRPr="00BE0269">
        <w:tab/>
        <w:t>Reports are excluded from the figure where the date of vaccination was not recorded, or vaccination was recorded for January 2021; or where Spikevax vaccination was recorded as before September 2021, or Vaxzevria vaccination was recorded as before March 2021.</w:t>
      </w:r>
    </w:p>
    <w:p w14:paraId="28BBF9D8" w14:textId="0DBB4DE3" w:rsidR="00BE0269" w:rsidRDefault="00F909FB" w:rsidP="00BE0269">
      <w:pPr>
        <w:pStyle w:val="CDIFigure-Table-Titlemorespacebefore"/>
        <w:divId w:val="935526654"/>
      </w:pPr>
      <w:r w:rsidRPr="00F909FB">
        <w:lastRenderedPageBreak/>
        <w:t>Figure 2: Adverse event following immunisation reports for COVID-19 vaccines in the Adverse Event Management System database in 2021, by age group and brand</w:t>
      </w:r>
      <w:r w:rsidRPr="00F909FB">
        <w:rPr>
          <w:vertAlign w:val="superscript"/>
        </w:rPr>
        <w:t>a</w:t>
      </w:r>
    </w:p>
    <w:p w14:paraId="2B09166A" w14:textId="060AEC1B" w:rsidR="00BE0269" w:rsidRDefault="00F909FB" w:rsidP="00F909FB">
      <w:pPr>
        <w:pStyle w:val="CDIFigure-Table-ImagePlaceholder"/>
        <w:divId w:val="935526654"/>
      </w:pPr>
      <w:r>
        <w:rPr>
          <w:noProof/>
        </w:rPr>
        <w:drawing>
          <wp:inline distT="0" distB="0" distL="0" distR="0" wp14:anchorId="6C106F5E" wp14:editId="2ECB83B8">
            <wp:extent cx="6120000" cy="3751200"/>
            <wp:effectExtent l="0" t="0" r="0" b="1905"/>
            <wp:docPr id="3" name="Picture 3" descr="Figure 2 are line graphs showing the number of adverse event reports received each month from February to December for each specific COVID-19 vaccine. There are three panels of graphs corresponding to three age groups: 12-15, 16-59 and ≥60. Superimposed onto the timeline are text descriptions of the timing of significant events in the Australian COVID-19 program in 2021, showing that in many cases, there was a temporal relationship between the introduction of the vaccines in new age groups and an increase in the number of adverse event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are line graphs showing the number of adverse event reports received each month from February to December for each specific COVID-19 vaccine. There are three panels of graphs corresponding to three age groups: 12-15, 16-59 and ≥60. Superimposed onto the timeline are text descriptions of the timing of significant events in the Australian COVID-19 program in 2021, showing that in many cases, there was a temporal relationship between the introduction of the vaccines in new age groups and an increase in the number of adverse event reports."/>
                    <pic:cNvPicPr/>
                  </pic:nvPicPr>
                  <pic:blipFill>
                    <a:blip r:embed="rId16">
                      <a:extLst>
                        <a:ext uri="{28A0092B-C50C-407E-A947-70E740481C1C}">
                          <a14:useLocalDpi xmlns:a14="http://schemas.microsoft.com/office/drawing/2010/main" val="0"/>
                        </a:ext>
                      </a:extLst>
                    </a:blip>
                    <a:stretch>
                      <a:fillRect/>
                    </a:stretch>
                  </pic:blipFill>
                  <pic:spPr>
                    <a:xfrm>
                      <a:off x="0" y="0"/>
                      <a:ext cx="6120000" cy="3751200"/>
                    </a:xfrm>
                    <a:prstGeom prst="rect">
                      <a:avLst/>
                    </a:prstGeom>
                  </pic:spPr>
                </pic:pic>
              </a:graphicData>
            </a:graphic>
          </wp:inline>
        </w:drawing>
      </w:r>
    </w:p>
    <w:p w14:paraId="1E29A42B" w14:textId="2D412474" w:rsidR="00BE0269" w:rsidRDefault="00F909FB" w:rsidP="00F909FB">
      <w:pPr>
        <w:pStyle w:val="CDIFigure-Table-FirstFootnote"/>
        <w:divId w:val="935526654"/>
      </w:pPr>
      <w:r w:rsidRPr="00F909FB">
        <w:t>a</w:t>
      </w:r>
      <w:r w:rsidRPr="00F909FB">
        <w:tab/>
        <w:t>Reports are excluded from the figure where the date of vaccination was not recorded, or vaccination was recorded for January 2021; where Spikevax vaccination was recorded as before September 2021; where 12–15 year-old adolescent vaccination was recorded as before August 2021; and where Vaxzevria vaccination was recorded in February.</w:t>
      </w:r>
    </w:p>
    <w:p w14:paraId="37BDF250" w14:textId="3C9A498B" w:rsidR="004464EC" w:rsidRDefault="004464EC" w:rsidP="004464EC">
      <w:pPr>
        <w:pStyle w:val="Heading2"/>
        <w:divId w:val="935526654"/>
        <w:rPr>
          <w:lang w:val="en-GB"/>
        </w:rPr>
      </w:pPr>
      <w:r>
        <w:rPr>
          <w:lang w:val="en-GB"/>
        </w:rPr>
        <w:t>Adverse effects</w:t>
      </w:r>
    </w:p>
    <w:p w14:paraId="53BE6B02" w14:textId="77777777" w:rsidR="002F1A7C" w:rsidRDefault="004464EC" w:rsidP="004464EC">
      <w:pPr>
        <w:divId w:val="935526654"/>
        <w:rPr>
          <w:lang w:val="en-GB"/>
        </w:rPr>
        <w:sectPr w:rsidR="002F1A7C" w:rsidSect="001A26DD">
          <w:headerReference w:type="default" r:id="rId17"/>
          <w:footerReference w:type="default" r:id="rId18"/>
          <w:pgSz w:w="11907" w:h="16840" w:code="9"/>
          <w:pgMar w:top="1304" w:right="1134" w:bottom="1304" w:left="1134" w:header="709" w:footer="527" w:gutter="0"/>
          <w:cols w:space="708"/>
          <w:docGrid w:linePitch="360"/>
        </w:sectPr>
      </w:pPr>
      <w:r w:rsidRPr="004464EC">
        <w:rPr>
          <w:lang w:val="en-GB"/>
        </w:rPr>
        <w:t xml:space="preserve">Overall, the five most frequently reported PT or SMQ for all COVID-19 vaccines were: headache (28,739 reports; 25.8%); gastrointestinal nonspecific symptoms and therapeutic procedures (22,186 reports; 19.9%; hereafter abbreviated to ‘gastrointestinal nonspecific symptoms’); myalgia (17,851 reports; 16.0%); pyrexia (15,674 reports; 14.1%); and fatigue (13,503 reports; 12.1%) (Table 3). The twenty most frequently reported PT or SMQ were similar across age groups. Chest pain was the most commonly reported event in adolescents aged 12–15 years, with reports decreasing in relative frequency with increasing age (Figure 3). Cardiorespiratory-related events were reported more frequently relative to other events in this age group compared to the other age groups. In people aged 16–59 and ≥ 60 years, the five most frequently reported symptoms were identical (Figure 3 and Table 3). The most frequently reported PT or SMQ following Comirnaty and Vaxzevria were also headache, gastrointestinal nonspecific symptoms and myalgia, while following Spikevax they were chest pain, gastrointestinal nonspecific symptoms and headache (Figure 4 and Table 4). </w:t>
      </w:r>
    </w:p>
    <w:p w14:paraId="44D24C65" w14:textId="5093EA3B" w:rsidR="00F909FB" w:rsidRDefault="00F909FB" w:rsidP="00F909FB">
      <w:pPr>
        <w:pStyle w:val="CDIFigure-Table-Titlemorespacebefore"/>
        <w:divId w:val="935526654"/>
      </w:pPr>
      <w:r w:rsidRPr="00F909FB">
        <w:lastRenderedPageBreak/>
        <w:t>Table 3: The 50 most frequently reported adverse events classified by MedDRA</w:t>
      </w:r>
      <w:r w:rsidRPr="0082328C">
        <w:rPr>
          <w:vertAlign w:val="superscript"/>
        </w:rPr>
        <w:t>a</w:t>
      </w:r>
      <w:r w:rsidRPr="00F909FB">
        <w:t xml:space="preserve"> Preferred Terms or Standardised MedDRA queries in reports of adverse events following immunisation (AEFI) with COVID-19 vaccines in the Adverse Event Management System database in 2021</w:t>
      </w:r>
    </w:p>
    <w:tbl>
      <w:tblPr>
        <w:tblW w:w="14316" w:type="dxa"/>
        <w:tblInd w:w="-8" w:type="dxa"/>
        <w:tblLayout w:type="fixed"/>
        <w:tblCellMar>
          <w:left w:w="0" w:type="dxa"/>
          <w:right w:w="0" w:type="dxa"/>
        </w:tblCellMar>
        <w:tblLook w:val="0000" w:firstRow="0" w:lastRow="0" w:firstColumn="0" w:lastColumn="0" w:noHBand="0" w:noVBand="0"/>
        <w:tblCaption w:val="Table 3: The 50 most frequently reported adverse events classified by MedDRAa Preferred Terms or Standardised MedDRA queries in reports of adverse events following immunisation (AEFI) with COVID-19 vaccines in the Adverse Event Management System database in 2021"/>
        <w:tblDescription w:val="Table 3 shows, in descending order, the 50 MedDRA-coded adverse events that were reported the most frequently following COVID-19 vaccines administered in 2021. For each adverse event, the table gives the number and proportion of reports classified as serious, and the proportions of recipients aged 12-15 years, 16-59 years and ≥60 years."/>
      </w:tblPr>
      <w:tblGrid>
        <w:gridCol w:w="5386"/>
        <w:gridCol w:w="1488"/>
        <w:gridCol w:w="1488"/>
        <w:gridCol w:w="1489"/>
        <w:gridCol w:w="1488"/>
        <w:gridCol w:w="1488"/>
        <w:gridCol w:w="1489"/>
      </w:tblGrid>
      <w:tr w:rsidR="00B92C70" w14:paraId="1921F41D" w14:textId="77777777" w:rsidTr="00B92C70">
        <w:trPr>
          <w:divId w:val="935526654"/>
          <w:trHeight w:val="20"/>
          <w:tblHeader/>
        </w:trPr>
        <w:tc>
          <w:tcPr>
            <w:tcW w:w="5386" w:type="dxa"/>
            <w:shd w:val="clear" w:color="auto" w:fill="033636" w:themeFill="text2"/>
            <w:tcMar>
              <w:top w:w="113" w:type="dxa"/>
              <w:left w:w="113" w:type="dxa"/>
              <w:bottom w:w="113" w:type="dxa"/>
              <w:right w:w="113" w:type="dxa"/>
            </w:tcMar>
            <w:vAlign w:val="bottom"/>
          </w:tcPr>
          <w:p w14:paraId="49DB02C3" w14:textId="77777777" w:rsidR="001F231A" w:rsidRDefault="001F231A" w:rsidP="00B92C70">
            <w:pPr>
              <w:pStyle w:val="CDIFigure-Table-H1Left"/>
            </w:pPr>
            <w:r w:rsidRPr="0003381F">
              <w:t>PT or SMQ</w:t>
            </w:r>
            <w:r>
              <w:rPr>
                <w:rStyle w:val="Superscript"/>
              </w:rPr>
              <w:t>b</w:t>
            </w:r>
          </w:p>
        </w:tc>
        <w:tc>
          <w:tcPr>
            <w:tcW w:w="1488" w:type="dxa"/>
            <w:shd w:val="clear" w:color="auto" w:fill="033636" w:themeFill="text2"/>
            <w:tcMar>
              <w:top w:w="113" w:type="dxa"/>
              <w:left w:w="113" w:type="dxa"/>
              <w:bottom w:w="113" w:type="dxa"/>
              <w:right w:w="113" w:type="dxa"/>
            </w:tcMar>
            <w:vAlign w:val="bottom"/>
          </w:tcPr>
          <w:p w14:paraId="7205D824" w14:textId="5A6024CA" w:rsidR="001F231A" w:rsidRDefault="001F231A" w:rsidP="00B92C70">
            <w:pPr>
              <w:pStyle w:val="CDIFigure-Table-H1"/>
            </w:pPr>
            <w:r>
              <w:t>AEFI reports</w:t>
            </w:r>
            <w:r w:rsidR="00B92C70">
              <w:t xml:space="preserve"> </w:t>
            </w:r>
            <w:r>
              <w:t>n</w:t>
            </w:r>
            <w:r w:rsidR="00B92C70">
              <w:t> </w:t>
            </w:r>
            <w:r>
              <w:t>(%)</w:t>
            </w:r>
            <w:r>
              <w:rPr>
                <w:rStyle w:val="Superscript"/>
              </w:rPr>
              <w:t>c</w:t>
            </w:r>
          </w:p>
        </w:tc>
        <w:tc>
          <w:tcPr>
            <w:tcW w:w="1488" w:type="dxa"/>
            <w:shd w:val="clear" w:color="auto" w:fill="033636" w:themeFill="text2"/>
            <w:tcMar>
              <w:top w:w="113" w:type="dxa"/>
              <w:left w:w="113" w:type="dxa"/>
              <w:bottom w:w="113" w:type="dxa"/>
              <w:right w:w="113" w:type="dxa"/>
            </w:tcMar>
            <w:vAlign w:val="bottom"/>
          </w:tcPr>
          <w:p w14:paraId="6541CD18" w14:textId="26C9F0A2" w:rsidR="001F231A" w:rsidRDefault="001F231A" w:rsidP="00B92C70">
            <w:pPr>
              <w:pStyle w:val="CDIFigure-Table-H1"/>
            </w:pPr>
            <w:r>
              <w:t>One PT only n</w:t>
            </w:r>
            <w:r w:rsidR="00B92C70">
              <w:t> </w:t>
            </w:r>
            <w:r>
              <w:t>(%)</w:t>
            </w:r>
            <w:r>
              <w:rPr>
                <w:rStyle w:val="Superscript"/>
              </w:rPr>
              <w:t>d,e</w:t>
            </w:r>
          </w:p>
        </w:tc>
        <w:tc>
          <w:tcPr>
            <w:tcW w:w="1489" w:type="dxa"/>
            <w:shd w:val="clear" w:color="auto" w:fill="033636" w:themeFill="text2"/>
            <w:tcMar>
              <w:top w:w="113" w:type="dxa"/>
              <w:left w:w="113" w:type="dxa"/>
              <w:bottom w:w="113" w:type="dxa"/>
              <w:right w:w="113" w:type="dxa"/>
            </w:tcMar>
            <w:vAlign w:val="bottom"/>
          </w:tcPr>
          <w:p w14:paraId="286600D7" w14:textId="730B514B" w:rsidR="001F231A" w:rsidRDefault="001F231A" w:rsidP="00B92C70">
            <w:pPr>
              <w:pStyle w:val="CDIFigure-Table-H1"/>
            </w:pPr>
            <w:r>
              <w:t>Aged</w:t>
            </w:r>
            <w:r w:rsidR="00B92C70">
              <w:br/>
            </w:r>
            <w:r>
              <w:t>12–15 years n</w:t>
            </w:r>
            <w:r w:rsidR="00B92C70">
              <w:t> </w:t>
            </w:r>
            <w:r>
              <w:t>(%)</w:t>
            </w:r>
            <w:r>
              <w:rPr>
                <w:rStyle w:val="Superscript"/>
              </w:rPr>
              <w:t>e,f</w:t>
            </w:r>
          </w:p>
        </w:tc>
        <w:tc>
          <w:tcPr>
            <w:tcW w:w="1488" w:type="dxa"/>
            <w:shd w:val="clear" w:color="auto" w:fill="033636" w:themeFill="text2"/>
            <w:tcMar>
              <w:top w:w="113" w:type="dxa"/>
              <w:left w:w="113" w:type="dxa"/>
              <w:bottom w:w="113" w:type="dxa"/>
              <w:right w:w="113" w:type="dxa"/>
            </w:tcMar>
            <w:vAlign w:val="bottom"/>
          </w:tcPr>
          <w:p w14:paraId="6C3AF9E4" w14:textId="4600F286" w:rsidR="001F231A" w:rsidRDefault="001F231A" w:rsidP="00B92C70">
            <w:pPr>
              <w:pStyle w:val="CDIFigure-Table-H1"/>
            </w:pPr>
            <w:r>
              <w:t>Aged</w:t>
            </w:r>
            <w:r w:rsidR="00B92C70">
              <w:br/>
            </w:r>
            <w:r>
              <w:t>16–59 years n</w:t>
            </w:r>
            <w:r w:rsidR="00B92C70">
              <w:t> </w:t>
            </w:r>
            <w:r>
              <w:t>(%)</w:t>
            </w:r>
            <w:r>
              <w:rPr>
                <w:rStyle w:val="Superscript"/>
              </w:rPr>
              <w:t>e,f</w:t>
            </w:r>
          </w:p>
        </w:tc>
        <w:tc>
          <w:tcPr>
            <w:tcW w:w="1488" w:type="dxa"/>
            <w:shd w:val="clear" w:color="auto" w:fill="033636" w:themeFill="text2"/>
            <w:tcMar>
              <w:top w:w="113" w:type="dxa"/>
              <w:left w:w="113" w:type="dxa"/>
              <w:bottom w:w="113" w:type="dxa"/>
              <w:right w:w="113" w:type="dxa"/>
            </w:tcMar>
            <w:vAlign w:val="bottom"/>
          </w:tcPr>
          <w:p w14:paraId="2D918C1A" w14:textId="4BB7732F" w:rsidR="001F231A" w:rsidRDefault="001F231A" w:rsidP="00B92C70">
            <w:pPr>
              <w:pStyle w:val="CDIFigure-Table-H1"/>
            </w:pPr>
            <w:r>
              <w:t>Aged</w:t>
            </w:r>
            <w:r>
              <w:br/>
              <w:t>≥ 60 years n</w:t>
            </w:r>
            <w:r w:rsidR="00B92C70">
              <w:t> </w:t>
            </w:r>
            <w:r>
              <w:t>(%)</w:t>
            </w:r>
            <w:r>
              <w:rPr>
                <w:rStyle w:val="Superscript"/>
              </w:rPr>
              <w:t>e,f</w:t>
            </w:r>
          </w:p>
        </w:tc>
        <w:tc>
          <w:tcPr>
            <w:tcW w:w="1489" w:type="dxa"/>
            <w:shd w:val="clear" w:color="auto" w:fill="033636" w:themeFill="text2"/>
            <w:tcMar>
              <w:top w:w="113" w:type="dxa"/>
              <w:left w:w="113" w:type="dxa"/>
              <w:bottom w:w="113" w:type="dxa"/>
              <w:right w:w="113" w:type="dxa"/>
            </w:tcMar>
            <w:vAlign w:val="bottom"/>
          </w:tcPr>
          <w:p w14:paraId="43B8870E" w14:textId="77777777" w:rsidR="001F231A" w:rsidRDefault="001F231A" w:rsidP="00B92C70">
            <w:pPr>
              <w:pStyle w:val="CDIFigure-Table-H1"/>
            </w:pPr>
            <w:r>
              <w:t>Serious</w:t>
            </w:r>
            <w:r>
              <w:br/>
              <w:t>AEFI</w:t>
            </w:r>
            <w:r>
              <w:br/>
              <w:t>n (%)</w:t>
            </w:r>
            <w:r>
              <w:rPr>
                <w:rStyle w:val="Superscript"/>
              </w:rPr>
              <w:t xml:space="preserve">e,f </w:t>
            </w:r>
          </w:p>
        </w:tc>
      </w:tr>
      <w:tr w:rsidR="00B92C70" w14:paraId="6D86D6F5"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469EAFB6" w14:textId="77777777" w:rsidR="001F231A" w:rsidRDefault="001F231A" w:rsidP="009B2B5F">
            <w:pPr>
              <w:pStyle w:val="CDIFigure-Table-BodyTextLeft"/>
            </w:pPr>
            <w:r>
              <w:t>Headache</w:t>
            </w:r>
          </w:p>
        </w:tc>
        <w:tc>
          <w:tcPr>
            <w:tcW w:w="1488" w:type="dxa"/>
            <w:shd w:val="clear" w:color="auto" w:fill="F2F2F2" w:themeFill="background1" w:themeFillShade="F2"/>
            <w:tcMar>
              <w:top w:w="79" w:type="dxa"/>
              <w:left w:w="113" w:type="dxa"/>
              <w:bottom w:w="79" w:type="dxa"/>
              <w:right w:w="113" w:type="dxa"/>
            </w:tcMar>
            <w:vAlign w:val="center"/>
          </w:tcPr>
          <w:p w14:paraId="50C7B547" w14:textId="77777777" w:rsidR="001F231A" w:rsidRDefault="001F231A" w:rsidP="009B2B5F">
            <w:pPr>
              <w:pStyle w:val="CDIFigure-Table-BodyTextCentre"/>
            </w:pPr>
            <w:r>
              <w:t>28,739 (25.8)</w:t>
            </w:r>
          </w:p>
        </w:tc>
        <w:tc>
          <w:tcPr>
            <w:tcW w:w="1488" w:type="dxa"/>
            <w:shd w:val="clear" w:color="auto" w:fill="F2F2F2" w:themeFill="background1" w:themeFillShade="F2"/>
            <w:tcMar>
              <w:top w:w="79" w:type="dxa"/>
              <w:left w:w="113" w:type="dxa"/>
              <w:bottom w:w="79" w:type="dxa"/>
              <w:right w:w="113" w:type="dxa"/>
            </w:tcMar>
            <w:vAlign w:val="center"/>
          </w:tcPr>
          <w:p w14:paraId="18824EAB" w14:textId="77777777" w:rsidR="001F231A" w:rsidRDefault="001F231A" w:rsidP="009B2B5F">
            <w:pPr>
              <w:pStyle w:val="CDIFigure-Table-BodyTextCentre"/>
            </w:pPr>
            <w:r>
              <w:t>1,234 (4.3)</w:t>
            </w:r>
          </w:p>
        </w:tc>
        <w:tc>
          <w:tcPr>
            <w:tcW w:w="1489" w:type="dxa"/>
            <w:shd w:val="clear" w:color="auto" w:fill="F2F2F2" w:themeFill="background1" w:themeFillShade="F2"/>
            <w:tcMar>
              <w:top w:w="79" w:type="dxa"/>
              <w:left w:w="113" w:type="dxa"/>
              <w:bottom w:w="79" w:type="dxa"/>
              <w:right w:w="113" w:type="dxa"/>
            </w:tcMar>
            <w:vAlign w:val="center"/>
          </w:tcPr>
          <w:p w14:paraId="5A10C2D9" w14:textId="77777777" w:rsidR="001F231A" w:rsidRDefault="001F231A" w:rsidP="009B2B5F">
            <w:pPr>
              <w:pStyle w:val="CDIFigure-Table-BodyTextCentre"/>
            </w:pPr>
            <w:r>
              <w:t>325 (1.1)</w:t>
            </w:r>
          </w:p>
        </w:tc>
        <w:tc>
          <w:tcPr>
            <w:tcW w:w="1488" w:type="dxa"/>
            <w:shd w:val="clear" w:color="auto" w:fill="F2F2F2" w:themeFill="background1" w:themeFillShade="F2"/>
            <w:tcMar>
              <w:top w:w="79" w:type="dxa"/>
              <w:left w:w="113" w:type="dxa"/>
              <w:bottom w:w="79" w:type="dxa"/>
              <w:right w:w="113" w:type="dxa"/>
            </w:tcMar>
            <w:vAlign w:val="center"/>
          </w:tcPr>
          <w:p w14:paraId="500FD8AC" w14:textId="77777777" w:rsidR="001F231A" w:rsidRDefault="001F231A" w:rsidP="009B2B5F">
            <w:pPr>
              <w:pStyle w:val="CDIFigure-Table-BodyTextCentre"/>
            </w:pPr>
            <w:r>
              <w:t>20,025 (69.7)</w:t>
            </w:r>
          </w:p>
        </w:tc>
        <w:tc>
          <w:tcPr>
            <w:tcW w:w="1488" w:type="dxa"/>
            <w:shd w:val="clear" w:color="auto" w:fill="F2F2F2" w:themeFill="background1" w:themeFillShade="F2"/>
            <w:tcMar>
              <w:top w:w="79" w:type="dxa"/>
              <w:left w:w="113" w:type="dxa"/>
              <w:bottom w:w="79" w:type="dxa"/>
              <w:right w:w="113" w:type="dxa"/>
            </w:tcMar>
            <w:vAlign w:val="center"/>
          </w:tcPr>
          <w:p w14:paraId="0AF81029" w14:textId="77777777" w:rsidR="001F231A" w:rsidRDefault="001F231A" w:rsidP="009B2B5F">
            <w:pPr>
              <w:pStyle w:val="CDIFigure-Table-BodyTextCentre"/>
            </w:pPr>
            <w:r>
              <w:t>7,000 (24.4)</w:t>
            </w:r>
          </w:p>
        </w:tc>
        <w:tc>
          <w:tcPr>
            <w:tcW w:w="1489" w:type="dxa"/>
            <w:shd w:val="clear" w:color="auto" w:fill="F2F2F2" w:themeFill="background1" w:themeFillShade="F2"/>
            <w:tcMar>
              <w:top w:w="79" w:type="dxa"/>
              <w:left w:w="113" w:type="dxa"/>
              <w:bottom w:w="79" w:type="dxa"/>
              <w:right w:w="113" w:type="dxa"/>
            </w:tcMar>
            <w:vAlign w:val="center"/>
          </w:tcPr>
          <w:p w14:paraId="6990A7EB" w14:textId="77777777" w:rsidR="001F231A" w:rsidRDefault="001F231A" w:rsidP="009B2B5F">
            <w:pPr>
              <w:pStyle w:val="CDIFigure-Table-BodyTextCentre"/>
            </w:pPr>
            <w:r>
              <w:t>3,118 (10.8)</w:t>
            </w:r>
          </w:p>
        </w:tc>
      </w:tr>
      <w:tr w:rsidR="001F231A" w14:paraId="6F483891" w14:textId="77777777" w:rsidTr="00B92C70">
        <w:trPr>
          <w:divId w:val="935526654"/>
          <w:trHeight w:val="20"/>
        </w:trPr>
        <w:tc>
          <w:tcPr>
            <w:tcW w:w="5386" w:type="dxa"/>
            <w:tcMar>
              <w:top w:w="79" w:type="dxa"/>
              <w:left w:w="113" w:type="dxa"/>
              <w:bottom w:w="79" w:type="dxa"/>
              <w:right w:w="113" w:type="dxa"/>
            </w:tcMar>
            <w:vAlign w:val="center"/>
          </w:tcPr>
          <w:p w14:paraId="68F1671E" w14:textId="77777777" w:rsidR="001F231A" w:rsidRDefault="001F231A" w:rsidP="009B2B5F">
            <w:pPr>
              <w:pStyle w:val="CDIFigure-Table-BodyTextLeft"/>
            </w:pPr>
            <w:r>
              <w:t>Gastrointestinal nonspecific symptoms and therapeutic procedures</w:t>
            </w:r>
          </w:p>
        </w:tc>
        <w:tc>
          <w:tcPr>
            <w:tcW w:w="1488" w:type="dxa"/>
            <w:tcMar>
              <w:top w:w="79" w:type="dxa"/>
              <w:left w:w="113" w:type="dxa"/>
              <w:bottom w:w="79" w:type="dxa"/>
              <w:right w:w="113" w:type="dxa"/>
            </w:tcMar>
            <w:vAlign w:val="center"/>
          </w:tcPr>
          <w:p w14:paraId="100DDC51" w14:textId="77777777" w:rsidR="001F231A" w:rsidRDefault="001F231A" w:rsidP="009B2B5F">
            <w:pPr>
              <w:pStyle w:val="CDIFigure-Table-BodyTextCentre"/>
            </w:pPr>
            <w:r>
              <w:t>22,186 (19.9)</w:t>
            </w:r>
          </w:p>
        </w:tc>
        <w:tc>
          <w:tcPr>
            <w:tcW w:w="1488" w:type="dxa"/>
            <w:tcMar>
              <w:top w:w="79" w:type="dxa"/>
              <w:left w:w="113" w:type="dxa"/>
              <w:bottom w:w="79" w:type="dxa"/>
              <w:right w:w="113" w:type="dxa"/>
            </w:tcMar>
            <w:vAlign w:val="center"/>
          </w:tcPr>
          <w:p w14:paraId="7EC9D0E9" w14:textId="77777777" w:rsidR="001F231A" w:rsidRDefault="001F231A" w:rsidP="009B2B5F">
            <w:pPr>
              <w:pStyle w:val="CDIFigure-Table-BodyTextCentre"/>
            </w:pPr>
            <w:r>
              <w:t>982 (4.4)</w:t>
            </w:r>
          </w:p>
        </w:tc>
        <w:tc>
          <w:tcPr>
            <w:tcW w:w="1489" w:type="dxa"/>
            <w:tcMar>
              <w:top w:w="79" w:type="dxa"/>
              <w:left w:w="113" w:type="dxa"/>
              <w:bottom w:w="79" w:type="dxa"/>
              <w:right w:w="113" w:type="dxa"/>
            </w:tcMar>
            <w:vAlign w:val="center"/>
          </w:tcPr>
          <w:p w14:paraId="1F607168" w14:textId="77777777" w:rsidR="001F231A" w:rsidRDefault="001F231A" w:rsidP="009B2B5F">
            <w:pPr>
              <w:pStyle w:val="CDIFigure-Table-BodyTextCentre"/>
            </w:pPr>
            <w:r>
              <w:t>454 (2.0)</w:t>
            </w:r>
          </w:p>
        </w:tc>
        <w:tc>
          <w:tcPr>
            <w:tcW w:w="1488" w:type="dxa"/>
            <w:tcMar>
              <w:top w:w="79" w:type="dxa"/>
              <w:left w:w="113" w:type="dxa"/>
              <w:bottom w:w="79" w:type="dxa"/>
              <w:right w:w="113" w:type="dxa"/>
            </w:tcMar>
            <w:vAlign w:val="center"/>
          </w:tcPr>
          <w:p w14:paraId="51EB78E0" w14:textId="77777777" w:rsidR="001F231A" w:rsidRDefault="001F231A" w:rsidP="009B2B5F">
            <w:pPr>
              <w:pStyle w:val="CDIFigure-Table-BodyTextCentre"/>
            </w:pPr>
            <w:r>
              <w:t>15,418 (69.5)</w:t>
            </w:r>
          </w:p>
        </w:tc>
        <w:tc>
          <w:tcPr>
            <w:tcW w:w="1488" w:type="dxa"/>
            <w:tcMar>
              <w:top w:w="79" w:type="dxa"/>
              <w:left w:w="113" w:type="dxa"/>
              <w:bottom w:w="79" w:type="dxa"/>
              <w:right w:w="113" w:type="dxa"/>
            </w:tcMar>
            <w:vAlign w:val="center"/>
          </w:tcPr>
          <w:p w14:paraId="5188F7E6" w14:textId="77777777" w:rsidR="001F231A" w:rsidRDefault="001F231A" w:rsidP="009B2B5F">
            <w:pPr>
              <w:pStyle w:val="CDIFigure-Table-BodyTextCentre"/>
            </w:pPr>
            <w:r>
              <w:t>5,363 (24.2)</w:t>
            </w:r>
          </w:p>
        </w:tc>
        <w:tc>
          <w:tcPr>
            <w:tcW w:w="1489" w:type="dxa"/>
            <w:tcMar>
              <w:top w:w="79" w:type="dxa"/>
              <w:left w:w="113" w:type="dxa"/>
              <w:bottom w:w="79" w:type="dxa"/>
              <w:right w:w="113" w:type="dxa"/>
            </w:tcMar>
            <w:vAlign w:val="center"/>
          </w:tcPr>
          <w:p w14:paraId="0E9B1A2F" w14:textId="77777777" w:rsidR="001F231A" w:rsidRDefault="001F231A" w:rsidP="009B2B5F">
            <w:pPr>
              <w:pStyle w:val="CDIFigure-Table-BodyTextCentre"/>
            </w:pPr>
            <w:r>
              <w:t>2,795 (12.6)</w:t>
            </w:r>
          </w:p>
        </w:tc>
      </w:tr>
      <w:tr w:rsidR="00B92C70" w14:paraId="7158F17D"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40AEF50F" w14:textId="77777777" w:rsidR="001F231A" w:rsidRDefault="001F231A" w:rsidP="009B2B5F">
            <w:pPr>
              <w:pStyle w:val="CDIFigure-Table-BodyTextLeft"/>
            </w:pPr>
            <w:r>
              <w:t>Myalgia</w:t>
            </w:r>
          </w:p>
        </w:tc>
        <w:tc>
          <w:tcPr>
            <w:tcW w:w="1488" w:type="dxa"/>
            <w:shd w:val="clear" w:color="auto" w:fill="F2F2F2" w:themeFill="background1" w:themeFillShade="F2"/>
            <w:tcMar>
              <w:top w:w="79" w:type="dxa"/>
              <w:left w:w="113" w:type="dxa"/>
              <w:bottom w:w="79" w:type="dxa"/>
              <w:right w:w="113" w:type="dxa"/>
            </w:tcMar>
            <w:vAlign w:val="center"/>
          </w:tcPr>
          <w:p w14:paraId="12FC06F6" w14:textId="77777777" w:rsidR="001F231A" w:rsidRDefault="001F231A" w:rsidP="009B2B5F">
            <w:pPr>
              <w:pStyle w:val="CDIFigure-Table-BodyTextCentre"/>
            </w:pPr>
            <w:r>
              <w:t>17,851 (16)</w:t>
            </w:r>
          </w:p>
        </w:tc>
        <w:tc>
          <w:tcPr>
            <w:tcW w:w="1488" w:type="dxa"/>
            <w:shd w:val="clear" w:color="auto" w:fill="F2F2F2" w:themeFill="background1" w:themeFillShade="F2"/>
            <w:tcMar>
              <w:top w:w="79" w:type="dxa"/>
              <w:left w:w="113" w:type="dxa"/>
              <w:bottom w:w="79" w:type="dxa"/>
              <w:right w:w="113" w:type="dxa"/>
            </w:tcMar>
            <w:vAlign w:val="center"/>
          </w:tcPr>
          <w:p w14:paraId="69A3BBEB" w14:textId="77777777" w:rsidR="001F231A" w:rsidRDefault="001F231A" w:rsidP="009B2B5F">
            <w:pPr>
              <w:pStyle w:val="CDIFigure-Table-BodyTextCentre"/>
            </w:pPr>
            <w:r>
              <w:t>264 (1.5)</w:t>
            </w:r>
          </w:p>
        </w:tc>
        <w:tc>
          <w:tcPr>
            <w:tcW w:w="1489" w:type="dxa"/>
            <w:shd w:val="clear" w:color="auto" w:fill="F2F2F2" w:themeFill="background1" w:themeFillShade="F2"/>
            <w:tcMar>
              <w:top w:w="79" w:type="dxa"/>
              <w:left w:w="113" w:type="dxa"/>
              <w:bottom w:w="79" w:type="dxa"/>
              <w:right w:w="113" w:type="dxa"/>
            </w:tcMar>
            <w:vAlign w:val="center"/>
          </w:tcPr>
          <w:p w14:paraId="496D1B2F" w14:textId="77777777" w:rsidR="001F231A" w:rsidRDefault="001F231A" w:rsidP="009B2B5F">
            <w:pPr>
              <w:pStyle w:val="CDIFigure-Table-BodyTextCentre"/>
            </w:pPr>
            <w:r>
              <w:t>148 (0.8)</w:t>
            </w:r>
          </w:p>
        </w:tc>
        <w:tc>
          <w:tcPr>
            <w:tcW w:w="1488" w:type="dxa"/>
            <w:shd w:val="clear" w:color="auto" w:fill="F2F2F2" w:themeFill="background1" w:themeFillShade="F2"/>
            <w:tcMar>
              <w:top w:w="79" w:type="dxa"/>
              <w:left w:w="113" w:type="dxa"/>
              <w:bottom w:w="79" w:type="dxa"/>
              <w:right w:w="113" w:type="dxa"/>
            </w:tcMar>
            <w:vAlign w:val="center"/>
          </w:tcPr>
          <w:p w14:paraId="79B8BABB" w14:textId="77777777" w:rsidR="001F231A" w:rsidRDefault="001F231A" w:rsidP="009B2B5F">
            <w:pPr>
              <w:pStyle w:val="CDIFigure-Table-BodyTextCentre"/>
            </w:pPr>
            <w:r>
              <w:t>13,008 (72.9)</w:t>
            </w:r>
          </w:p>
        </w:tc>
        <w:tc>
          <w:tcPr>
            <w:tcW w:w="1488" w:type="dxa"/>
            <w:shd w:val="clear" w:color="auto" w:fill="F2F2F2" w:themeFill="background1" w:themeFillShade="F2"/>
            <w:tcMar>
              <w:top w:w="79" w:type="dxa"/>
              <w:left w:w="113" w:type="dxa"/>
              <w:bottom w:w="79" w:type="dxa"/>
              <w:right w:w="113" w:type="dxa"/>
            </w:tcMar>
            <w:vAlign w:val="center"/>
          </w:tcPr>
          <w:p w14:paraId="3EE07DE9" w14:textId="77777777" w:rsidR="001F231A" w:rsidRDefault="001F231A" w:rsidP="009B2B5F">
            <w:pPr>
              <w:pStyle w:val="CDIFigure-Table-BodyTextCentre"/>
            </w:pPr>
            <w:r>
              <w:t>3,800 (21.3)</w:t>
            </w:r>
          </w:p>
        </w:tc>
        <w:tc>
          <w:tcPr>
            <w:tcW w:w="1489" w:type="dxa"/>
            <w:shd w:val="clear" w:color="auto" w:fill="F2F2F2" w:themeFill="background1" w:themeFillShade="F2"/>
            <w:tcMar>
              <w:top w:w="79" w:type="dxa"/>
              <w:left w:w="113" w:type="dxa"/>
              <w:bottom w:w="79" w:type="dxa"/>
              <w:right w:w="113" w:type="dxa"/>
            </w:tcMar>
            <w:vAlign w:val="center"/>
          </w:tcPr>
          <w:p w14:paraId="454B35BA" w14:textId="77777777" w:rsidR="001F231A" w:rsidRDefault="001F231A" w:rsidP="009B2B5F">
            <w:pPr>
              <w:pStyle w:val="CDIFigure-Table-BodyTextCentre"/>
            </w:pPr>
            <w:r>
              <w:t>1,725 (9.7)</w:t>
            </w:r>
          </w:p>
        </w:tc>
      </w:tr>
      <w:tr w:rsidR="001F231A" w14:paraId="00160995" w14:textId="77777777" w:rsidTr="00B92C70">
        <w:trPr>
          <w:divId w:val="935526654"/>
          <w:trHeight w:val="20"/>
        </w:trPr>
        <w:tc>
          <w:tcPr>
            <w:tcW w:w="5386" w:type="dxa"/>
            <w:tcMar>
              <w:top w:w="79" w:type="dxa"/>
              <w:left w:w="113" w:type="dxa"/>
              <w:bottom w:w="79" w:type="dxa"/>
              <w:right w:w="113" w:type="dxa"/>
            </w:tcMar>
            <w:vAlign w:val="center"/>
          </w:tcPr>
          <w:p w14:paraId="7C354F34" w14:textId="77777777" w:rsidR="001F231A" w:rsidRDefault="001F231A" w:rsidP="009B2B5F">
            <w:pPr>
              <w:pStyle w:val="CDIFigure-Table-BodyTextLeft"/>
            </w:pPr>
            <w:r>
              <w:t>Pyrexia</w:t>
            </w:r>
          </w:p>
        </w:tc>
        <w:tc>
          <w:tcPr>
            <w:tcW w:w="1488" w:type="dxa"/>
            <w:tcMar>
              <w:top w:w="79" w:type="dxa"/>
              <w:left w:w="113" w:type="dxa"/>
              <w:bottom w:w="79" w:type="dxa"/>
              <w:right w:w="113" w:type="dxa"/>
            </w:tcMar>
            <w:vAlign w:val="center"/>
          </w:tcPr>
          <w:p w14:paraId="242C7567" w14:textId="77777777" w:rsidR="001F231A" w:rsidRDefault="001F231A" w:rsidP="009B2B5F">
            <w:pPr>
              <w:pStyle w:val="CDIFigure-Table-BodyTextCentre"/>
            </w:pPr>
            <w:r>
              <w:t>15,674 (14.1)</w:t>
            </w:r>
          </w:p>
        </w:tc>
        <w:tc>
          <w:tcPr>
            <w:tcW w:w="1488" w:type="dxa"/>
            <w:tcMar>
              <w:top w:w="79" w:type="dxa"/>
              <w:left w:w="113" w:type="dxa"/>
              <w:bottom w:w="79" w:type="dxa"/>
              <w:right w:w="113" w:type="dxa"/>
            </w:tcMar>
            <w:vAlign w:val="center"/>
          </w:tcPr>
          <w:p w14:paraId="58A0BF77" w14:textId="77777777" w:rsidR="001F231A" w:rsidRDefault="001F231A" w:rsidP="009B2B5F">
            <w:pPr>
              <w:pStyle w:val="CDIFigure-Table-BodyTextCentre"/>
            </w:pPr>
            <w:r>
              <w:t>246 (1.6)</w:t>
            </w:r>
          </w:p>
        </w:tc>
        <w:tc>
          <w:tcPr>
            <w:tcW w:w="1489" w:type="dxa"/>
            <w:tcMar>
              <w:top w:w="79" w:type="dxa"/>
              <w:left w:w="113" w:type="dxa"/>
              <w:bottom w:w="79" w:type="dxa"/>
              <w:right w:w="113" w:type="dxa"/>
            </w:tcMar>
            <w:vAlign w:val="center"/>
          </w:tcPr>
          <w:p w14:paraId="29DE2A46" w14:textId="77777777" w:rsidR="001F231A" w:rsidRDefault="001F231A" w:rsidP="009B2B5F">
            <w:pPr>
              <w:pStyle w:val="CDIFigure-Table-BodyTextCentre"/>
            </w:pPr>
            <w:r>
              <w:t>251 (1.6)</w:t>
            </w:r>
          </w:p>
        </w:tc>
        <w:tc>
          <w:tcPr>
            <w:tcW w:w="1488" w:type="dxa"/>
            <w:tcMar>
              <w:top w:w="79" w:type="dxa"/>
              <w:left w:w="113" w:type="dxa"/>
              <w:bottom w:w="79" w:type="dxa"/>
              <w:right w:w="113" w:type="dxa"/>
            </w:tcMar>
            <w:vAlign w:val="center"/>
          </w:tcPr>
          <w:p w14:paraId="4B088470" w14:textId="77777777" w:rsidR="001F231A" w:rsidRDefault="001F231A" w:rsidP="009B2B5F">
            <w:pPr>
              <w:pStyle w:val="CDIFigure-Table-BodyTextCentre"/>
            </w:pPr>
            <w:r>
              <w:t>11,131 (71.0)</w:t>
            </w:r>
          </w:p>
        </w:tc>
        <w:tc>
          <w:tcPr>
            <w:tcW w:w="1488" w:type="dxa"/>
            <w:tcMar>
              <w:top w:w="79" w:type="dxa"/>
              <w:left w:w="113" w:type="dxa"/>
              <w:bottom w:w="79" w:type="dxa"/>
              <w:right w:w="113" w:type="dxa"/>
            </w:tcMar>
            <w:vAlign w:val="center"/>
          </w:tcPr>
          <w:p w14:paraId="20CDA1B1" w14:textId="77777777" w:rsidR="001F231A" w:rsidRDefault="001F231A" w:rsidP="009B2B5F">
            <w:pPr>
              <w:pStyle w:val="CDIFigure-Table-BodyTextCentre"/>
            </w:pPr>
            <w:r>
              <w:t>3,498 (22.3)</w:t>
            </w:r>
          </w:p>
        </w:tc>
        <w:tc>
          <w:tcPr>
            <w:tcW w:w="1489" w:type="dxa"/>
            <w:tcMar>
              <w:top w:w="79" w:type="dxa"/>
              <w:left w:w="113" w:type="dxa"/>
              <w:bottom w:w="79" w:type="dxa"/>
              <w:right w:w="113" w:type="dxa"/>
            </w:tcMar>
            <w:vAlign w:val="center"/>
          </w:tcPr>
          <w:p w14:paraId="0BC0D773" w14:textId="77777777" w:rsidR="001F231A" w:rsidRDefault="001F231A" w:rsidP="009B2B5F">
            <w:pPr>
              <w:pStyle w:val="CDIFigure-Table-BodyTextCentre"/>
            </w:pPr>
            <w:r>
              <w:t>1,757 (11.2)</w:t>
            </w:r>
          </w:p>
        </w:tc>
      </w:tr>
      <w:tr w:rsidR="00B92C70" w14:paraId="219C4BD7"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687A5272" w14:textId="77777777" w:rsidR="001F231A" w:rsidRDefault="001F231A" w:rsidP="009B2B5F">
            <w:pPr>
              <w:pStyle w:val="CDIFigure-Table-BodyTextLeft"/>
            </w:pPr>
            <w:r>
              <w:t>Fatigue</w:t>
            </w:r>
          </w:p>
        </w:tc>
        <w:tc>
          <w:tcPr>
            <w:tcW w:w="1488" w:type="dxa"/>
            <w:shd w:val="clear" w:color="auto" w:fill="F2F2F2" w:themeFill="background1" w:themeFillShade="F2"/>
            <w:tcMar>
              <w:top w:w="79" w:type="dxa"/>
              <w:left w:w="113" w:type="dxa"/>
              <w:bottom w:w="79" w:type="dxa"/>
              <w:right w:w="113" w:type="dxa"/>
            </w:tcMar>
            <w:vAlign w:val="center"/>
          </w:tcPr>
          <w:p w14:paraId="37B9DDE5" w14:textId="77777777" w:rsidR="001F231A" w:rsidRDefault="001F231A" w:rsidP="009B2B5F">
            <w:pPr>
              <w:pStyle w:val="CDIFigure-Table-BodyTextCentre"/>
            </w:pPr>
            <w:r>
              <w:t>13,503 (12.1)</w:t>
            </w:r>
          </w:p>
        </w:tc>
        <w:tc>
          <w:tcPr>
            <w:tcW w:w="1488" w:type="dxa"/>
            <w:shd w:val="clear" w:color="auto" w:fill="F2F2F2" w:themeFill="background1" w:themeFillShade="F2"/>
            <w:tcMar>
              <w:top w:w="79" w:type="dxa"/>
              <w:left w:w="113" w:type="dxa"/>
              <w:bottom w:w="79" w:type="dxa"/>
              <w:right w:w="113" w:type="dxa"/>
            </w:tcMar>
            <w:vAlign w:val="center"/>
          </w:tcPr>
          <w:p w14:paraId="708272AE" w14:textId="77777777" w:rsidR="001F231A" w:rsidRDefault="001F231A" w:rsidP="009B2B5F">
            <w:pPr>
              <w:pStyle w:val="CDIFigure-Table-BodyTextCentre"/>
            </w:pPr>
            <w:r>
              <w:t>163 (1.2)</w:t>
            </w:r>
          </w:p>
        </w:tc>
        <w:tc>
          <w:tcPr>
            <w:tcW w:w="1489" w:type="dxa"/>
            <w:shd w:val="clear" w:color="auto" w:fill="F2F2F2" w:themeFill="background1" w:themeFillShade="F2"/>
            <w:tcMar>
              <w:top w:w="79" w:type="dxa"/>
              <w:left w:w="113" w:type="dxa"/>
              <w:bottom w:w="79" w:type="dxa"/>
              <w:right w:w="113" w:type="dxa"/>
            </w:tcMar>
            <w:vAlign w:val="center"/>
          </w:tcPr>
          <w:p w14:paraId="57766AE8" w14:textId="77777777" w:rsidR="001F231A" w:rsidRDefault="001F231A" w:rsidP="009B2B5F">
            <w:pPr>
              <w:pStyle w:val="CDIFigure-Table-BodyTextCentre"/>
            </w:pPr>
            <w:r>
              <w:t>139 (1.0)</w:t>
            </w:r>
          </w:p>
        </w:tc>
        <w:tc>
          <w:tcPr>
            <w:tcW w:w="1488" w:type="dxa"/>
            <w:shd w:val="clear" w:color="auto" w:fill="F2F2F2" w:themeFill="background1" w:themeFillShade="F2"/>
            <w:tcMar>
              <w:top w:w="79" w:type="dxa"/>
              <w:left w:w="113" w:type="dxa"/>
              <w:bottom w:w="79" w:type="dxa"/>
              <w:right w:w="113" w:type="dxa"/>
            </w:tcMar>
            <w:vAlign w:val="center"/>
          </w:tcPr>
          <w:p w14:paraId="74F01D1F" w14:textId="77777777" w:rsidR="001F231A" w:rsidRDefault="001F231A" w:rsidP="009B2B5F">
            <w:pPr>
              <w:pStyle w:val="CDIFigure-Table-BodyTextCentre"/>
            </w:pPr>
            <w:r>
              <w:t>9,253 (68.5)</w:t>
            </w:r>
          </w:p>
        </w:tc>
        <w:tc>
          <w:tcPr>
            <w:tcW w:w="1488" w:type="dxa"/>
            <w:shd w:val="clear" w:color="auto" w:fill="F2F2F2" w:themeFill="background1" w:themeFillShade="F2"/>
            <w:tcMar>
              <w:top w:w="79" w:type="dxa"/>
              <w:left w:w="113" w:type="dxa"/>
              <w:bottom w:w="79" w:type="dxa"/>
              <w:right w:w="113" w:type="dxa"/>
            </w:tcMar>
            <w:vAlign w:val="center"/>
          </w:tcPr>
          <w:p w14:paraId="3A9A1C1B" w14:textId="77777777" w:rsidR="001F231A" w:rsidRDefault="001F231A" w:rsidP="009B2B5F">
            <w:pPr>
              <w:pStyle w:val="CDIFigure-Table-BodyTextCentre"/>
            </w:pPr>
            <w:r>
              <w:t>3,451 (25.6)</w:t>
            </w:r>
          </w:p>
        </w:tc>
        <w:tc>
          <w:tcPr>
            <w:tcW w:w="1489" w:type="dxa"/>
            <w:shd w:val="clear" w:color="auto" w:fill="F2F2F2" w:themeFill="background1" w:themeFillShade="F2"/>
            <w:tcMar>
              <w:top w:w="79" w:type="dxa"/>
              <w:left w:w="113" w:type="dxa"/>
              <w:bottom w:w="79" w:type="dxa"/>
              <w:right w:w="113" w:type="dxa"/>
            </w:tcMar>
            <w:vAlign w:val="center"/>
          </w:tcPr>
          <w:p w14:paraId="45351CBD" w14:textId="77777777" w:rsidR="001F231A" w:rsidRDefault="001F231A" w:rsidP="009B2B5F">
            <w:pPr>
              <w:pStyle w:val="CDIFigure-Table-BodyTextCentre"/>
            </w:pPr>
            <w:r>
              <w:t>1,784 (13.2)</w:t>
            </w:r>
          </w:p>
        </w:tc>
      </w:tr>
      <w:tr w:rsidR="001F231A" w14:paraId="2B36B918" w14:textId="77777777" w:rsidTr="00B92C70">
        <w:trPr>
          <w:divId w:val="935526654"/>
          <w:trHeight w:val="20"/>
        </w:trPr>
        <w:tc>
          <w:tcPr>
            <w:tcW w:w="5386" w:type="dxa"/>
            <w:tcMar>
              <w:top w:w="79" w:type="dxa"/>
              <w:left w:w="113" w:type="dxa"/>
              <w:bottom w:w="79" w:type="dxa"/>
              <w:right w:w="113" w:type="dxa"/>
            </w:tcMar>
            <w:vAlign w:val="center"/>
          </w:tcPr>
          <w:p w14:paraId="04162E08" w14:textId="77777777" w:rsidR="001F231A" w:rsidRDefault="001F231A" w:rsidP="009B2B5F">
            <w:pPr>
              <w:pStyle w:val="CDIFigure-Table-BodyTextLeft"/>
            </w:pPr>
            <w:r>
              <w:t>Injection site reaction</w:t>
            </w:r>
          </w:p>
        </w:tc>
        <w:tc>
          <w:tcPr>
            <w:tcW w:w="1488" w:type="dxa"/>
            <w:tcMar>
              <w:top w:w="79" w:type="dxa"/>
              <w:left w:w="113" w:type="dxa"/>
              <w:bottom w:w="79" w:type="dxa"/>
              <w:right w:w="113" w:type="dxa"/>
            </w:tcMar>
            <w:vAlign w:val="center"/>
          </w:tcPr>
          <w:p w14:paraId="61F0A1DA" w14:textId="77777777" w:rsidR="001F231A" w:rsidRDefault="001F231A" w:rsidP="009B2B5F">
            <w:pPr>
              <w:pStyle w:val="CDIFigure-Table-BodyTextCentre"/>
            </w:pPr>
            <w:r>
              <w:t>11,878 (10.7)</w:t>
            </w:r>
          </w:p>
        </w:tc>
        <w:tc>
          <w:tcPr>
            <w:tcW w:w="1488" w:type="dxa"/>
            <w:tcMar>
              <w:top w:w="79" w:type="dxa"/>
              <w:left w:w="113" w:type="dxa"/>
              <w:bottom w:w="79" w:type="dxa"/>
              <w:right w:w="113" w:type="dxa"/>
            </w:tcMar>
            <w:vAlign w:val="center"/>
          </w:tcPr>
          <w:p w14:paraId="677E03D5" w14:textId="77777777" w:rsidR="001F231A" w:rsidRDefault="001F231A" w:rsidP="009B2B5F">
            <w:pPr>
              <w:pStyle w:val="CDIFigure-Table-BodyTextCentre"/>
            </w:pPr>
            <w:r>
              <w:t>1,666 (14.0)</w:t>
            </w:r>
          </w:p>
        </w:tc>
        <w:tc>
          <w:tcPr>
            <w:tcW w:w="1489" w:type="dxa"/>
            <w:tcMar>
              <w:top w:w="79" w:type="dxa"/>
              <w:left w:w="113" w:type="dxa"/>
              <w:bottom w:w="79" w:type="dxa"/>
              <w:right w:w="113" w:type="dxa"/>
            </w:tcMar>
            <w:vAlign w:val="center"/>
          </w:tcPr>
          <w:p w14:paraId="6865E1D6" w14:textId="77777777" w:rsidR="001F231A" w:rsidRDefault="001F231A" w:rsidP="009B2B5F">
            <w:pPr>
              <w:pStyle w:val="CDIFigure-Table-BodyTextCentre"/>
            </w:pPr>
            <w:r>
              <w:t>174 (1.5)</w:t>
            </w:r>
          </w:p>
        </w:tc>
        <w:tc>
          <w:tcPr>
            <w:tcW w:w="1488" w:type="dxa"/>
            <w:tcMar>
              <w:top w:w="79" w:type="dxa"/>
              <w:left w:w="113" w:type="dxa"/>
              <w:bottom w:w="79" w:type="dxa"/>
              <w:right w:w="113" w:type="dxa"/>
            </w:tcMar>
            <w:vAlign w:val="center"/>
          </w:tcPr>
          <w:p w14:paraId="2795B851" w14:textId="77777777" w:rsidR="001F231A" w:rsidRDefault="001F231A" w:rsidP="009B2B5F">
            <w:pPr>
              <w:pStyle w:val="CDIFigure-Table-BodyTextCentre"/>
            </w:pPr>
            <w:r>
              <w:t>8,744 (73.6)</w:t>
            </w:r>
          </w:p>
        </w:tc>
        <w:tc>
          <w:tcPr>
            <w:tcW w:w="1488" w:type="dxa"/>
            <w:tcMar>
              <w:top w:w="79" w:type="dxa"/>
              <w:left w:w="113" w:type="dxa"/>
              <w:bottom w:w="79" w:type="dxa"/>
              <w:right w:w="113" w:type="dxa"/>
            </w:tcMar>
            <w:vAlign w:val="center"/>
          </w:tcPr>
          <w:p w14:paraId="35CCD2A5" w14:textId="77777777" w:rsidR="001F231A" w:rsidRDefault="001F231A" w:rsidP="009B2B5F">
            <w:pPr>
              <w:pStyle w:val="CDIFigure-Table-BodyTextCentre"/>
            </w:pPr>
            <w:r>
              <w:t>2,482 (20.9)</w:t>
            </w:r>
          </w:p>
        </w:tc>
        <w:tc>
          <w:tcPr>
            <w:tcW w:w="1489" w:type="dxa"/>
            <w:tcMar>
              <w:top w:w="79" w:type="dxa"/>
              <w:left w:w="113" w:type="dxa"/>
              <w:bottom w:w="79" w:type="dxa"/>
              <w:right w:w="113" w:type="dxa"/>
            </w:tcMar>
            <w:vAlign w:val="center"/>
          </w:tcPr>
          <w:p w14:paraId="0DB9C7E8" w14:textId="77777777" w:rsidR="001F231A" w:rsidRDefault="001F231A" w:rsidP="009B2B5F">
            <w:pPr>
              <w:pStyle w:val="CDIFigure-Table-BodyTextCentre"/>
            </w:pPr>
            <w:r>
              <w:t>860 (7.2)</w:t>
            </w:r>
          </w:p>
        </w:tc>
      </w:tr>
      <w:tr w:rsidR="00B92C70" w14:paraId="467C3D37"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6D678ED4" w14:textId="77777777" w:rsidR="001F231A" w:rsidRDefault="001F231A" w:rsidP="009B2B5F">
            <w:pPr>
              <w:pStyle w:val="CDIFigure-Table-BodyTextLeft"/>
            </w:pPr>
            <w:r>
              <w:t>Dizziness</w:t>
            </w:r>
          </w:p>
        </w:tc>
        <w:tc>
          <w:tcPr>
            <w:tcW w:w="1488" w:type="dxa"/>
            <w:shd w:val="clear" w:color="auto" w:fill="F2F2F2" w:themeFill="background1" w:themeFillShade="F2"/>
            <w:tcMar>
              <w:top w:w="79" w:type="dxa"/>
              <w:left w:w="113" w:type="dxa"/>
              <w:bottom w:w="79" w:type="dxa"/>
              <w:right w:w="113" w:type="dxa"/>
            </w:tcMar>
            <w:vAlign w:val="center"/>
          </w:tcPr>
          <w:p w14:paraId="38DF554D" w14:textId="77777777" w:rsidR="001F231A" w:rsidRDefault="001F231A" w:rsidP="009B2B5F">
            <w:pPr>
              <w:pStyle w:val="CDIFigure-Table-BodyTextCentre"/>
            </w:pPr>
            <w:r>
              <w:t>11,506 (10.3)</w:t>
            </w:r>
          </w:p>
        </w:tc>
        <w:tc>
          <w:tcPr>
            <w:tcW w:w="1488" w:type="dxa"/>
            <w:shd w:val="clear" w:color="auto" w:fill="F2F2F2" w:themeFill="background1" w:themeFillShade="F2"/>
            <w:tcMar>
              <w:top w:w="79" w:type="dxa"/>
              <w:left w:w="113" w:type="dxa"/>
              <w:bottom w:w="79" w:type="dxa"/>
              <w:right w:w="113" w:type="dxa"/>
            </w:tcMar>
            <w:vAlign w:val="center"/>
          </w:tcPr>
          <w:p w14:paraId="6AD82F3B" w14:textId="77777777" w:rsidR="001F231A" w:rsidRDefault="001F231A" w:rsidP="009B2B5F">
            <w:pPr>
              <w:pStyle w:val="CDIFigure-Table-BodyTextCentre"/>
            </w:pPr>
            <w:r>
              <w:t>1,262 (11.0)</w:t>
            </w:r>
          </w:p>
        </w:tc>
        <w:tc>
          <w:tcPr>
            <w:tcW w:w="1489" w:type="dxa"/>
            <w:shd w:val="clear" w:color="auto" w:fill="F2F2F2" w:themeFill="background1" w:themeFillShade="F2"/>
            <w:tcMar>
              <w:top w:w="79" w:type="dxa"/>
              <w:left w:w="113" w:type="dxa"/>
              <w:bottom w:w="79" w:type="dxa"/>
              <w:right w:w="113" w:type="dxa"/>
            </w:tcMar>
            <w:vAlign w:val="center"/>
          </w:tcPr>
          <w:p w14:paraId="0298D67C" w14:textId="77777777" w:rsidR="001F231A" w:rsidRDefault="001F231A" w:rsidP="009B2B5F">
            <w:pPr>
              <w:pStyle w:val="CDIFigure-Table-BodyTextCentre"/>
            </w:pPr>
            <w:r>
              <w:t>261 (2.3)</w:t>
            </w:r>
          </w:p>
        </w:tc>
        <w:tc>
          <w:tcPr>
            <w:tcW w:w="1488" w:type="dxa"/>
            <w:shd w:val="clear" w:color="auto" w:fill="F2F2F2" w:themeFill="background1" w:themeFillShade="F2"/>
            <w:tcMar>
              <w:top w:w="79" w:type="dxa"/>
              <w:left w:w="113" w:type="dxa"/>
              <w:bottom w:w="79" w:type="dxa"/>
              <w:right w:w="113" w:type="dxa"/>
            </w:tcMar>
            <w:vAlign w:val="center"/>
          </w:tcPr>
          <w:p w14:paraId="3C6903D3" w14:textId="77777777" w:rsidR="001F231A" w:rsidRDefault="001F231A" w:rsidP="009B2B5F">
            <w:pPr>
              <w:pStyle w:val="CDIFigure-Table-BodyTextCentre"/>
            </w:pPr>
            <w:r>
              <w:t>8,659 (75.3)</w:t>
            </w:r>
          </w:p>
        </w:tc>
        <w:tc>
          <w:tcPr>
            <w:tcW w:w="1488" w:type="dxa"/>
            <w:shd w:val="clear" w:color="auto" w:fill="F2F2F2" w:themeFill="background1" w:themeFillShade="F2"/>
            <w:tcMar>
              <w:top w:w="79" w:type="dxa"/>
              <w:left w:w="113" w:type="dxa"/>
              <w:bottom w:w="79" w:type="dxa"/>
              <w:right w:w="113" w:type="dxa"/>
            </w:tcMar>
            <w:vAlign w:val="center"/>
          </w:tcPr>
          <w:p w14:paraId="23C49903" w14:textId="77777777" w:rsidR="001F231A" w:rsidRDefault="001F231A" w:rsidP="009B2B5F">
            <w:pPr>
              <w:pStyle w:val="CDIFigure-Table-BodyTextCentre"/>
            </w:pPr>
            <w:r>
              <w:t>2,159 (18.8)</w:t>
            </w:r>
          </w:p>
        </w:tc>
        <w:tc>
          <w:tcPr>
            <w:tcW w:w="1489" w:type="dxa"/>
            <w:shd w:val="clear" w:color="auto" w:fill="F2F2F2" w:themeFill="background1" w:themeFillShade="F2"/>
            <w:tcMar>
              <w:top w:w="79" w:type="dxa"/>
              <w:left w:w="113" w:type="dxa"/>
              <w:bottom w:w="79" w:type="dxa"/>
              <w:right w:w="113" w:type="dxa"/>
            </w:tcMar>
            <w:vAlign w:val="center"/>
          </w:tcPr>
          <w:p w14:paraId="482ECD06" w14:textId="77777777" w:rsidR="001F231A" w:rsidRDefault="001F231A" w:rsidP="009B2B5F">
            <w:pPr>
              <w:pStyle w:val="CDIFigure-Table-BodyTextCentre"/>
            </w:pPr>
            <w:r>
              <w:t>1,619 (14.1)</w:t>
            </w:r>
          </w:p>
        </w:tc>
      </w:tr>
      <w:tr w:rsidR="001F231A" w14:paraId="54561D3F" w14:textId="77777777" w:rsidTr="00B92C70">
        <w:trPr>
          <w:divId w:val="935526654"/>
          <w:trHeight w:val="20"/>
        </w:trPr>
        <w:tc>
          <w:tcPr>
            <w:tcW w:w="5386" w:type="dxa"/>
            <w:tcMar>
              <w:top w:w="79" w:type="dxa"/>
              <w:left w:w="113" w:type="dxa"/>
              <w:bottom w:w="79" w:type="dxa"/>
              <w:right w:w="113" w:type="dxa"/>
            </w:tcMar>
            <w:vAlign w:val="center"/>
          </w:tcPr>
          <w:p w14:paraId="27453F3F" w14:textId="77777777" w:rsidR="001F231A" w:rsidRDefault="001F231A" w:rsidP="009B2B5F">
            <w:pPr>
              <w:pStyle w:val="CDIFigure-Table-BodyTextLeft"/>
            </w:pPr>
            <w:r>
              <w:t>Lethargy</w:t>
            </w:r>
          </w:p>
        </w:tc>
        <w:tc>
          <w:tcPr>
            <w:tcW w:w="1488" w:type="dxa"/>
            <w:tcMar>
              <w:top w:w="79" w:type="dxa"/>
              <w:left w:w="113" w:type="dxa"/>
              <w:bottom w:w="79" w:type="dxa"/>
              <w:right w:w="113" w:type="dxa"/>
            </w:tcMar>
            <w:vAlign w:val="center"/>
          </w:tcPr>
          <w:p w14:paraId="26982CAE" w14:textId="77777777" w:rsidR="001F231A" w:rsidRDefault="001F231A" w:rsidP="009B2B5F">
            <w:pPr>
              <w:pStyle w:val="CDIFigure-Table-BodyTextCentre"/>
            </w:pPr>
            <w:r>
              <w:t>11,218 (10.1)</w:t>
            </w:r>
          </w:p>
        </w:tc>
        <w:tc>
          <w:tcPr>
            <w:tcW w:w="1488" w:type="dxa"/>
            <w:tcMar>
              <w:top w:w="79" w:type="dxa"/>
              <w:left w:w="113" w:type="dxa"/>
              <w:bottom w:w="79" w:type="dxa"/>
              <w:right w:w="113" w:type="dxa"/>
            </w:tcMar>
            <w:vAlign w:val="center"/>
          </w:tcPr>
          <w:p w14:paraId="36F6CC0E" w14:textId="77777777" w:rsidR="001F231A" w:rsidRDefault="001F231A" w:rsidP="009B2B5F">
            <w:pPr>
              <w:pStyle w:val="CDIFigure-Table-BodyTextCentre"/>
            </w:pPr>
            <w:r>
              <w:t>81 (0.7)</w:t>
            </w:r>
          </w:p>
        </w:tc>
        <w:tc>
          <w:tcPr>
            <w:tcW w:w="1489" w:type="dxa"/>
            <w:tcMar>
              <w:top w:w="79" w:type="dxa"/>
              <w:left w:w="113" w:type="dxa"/>
              <w:bottom w:w="79" w:type="dxa"/>
              <w:right w:w="113" w:type="dxa"/>
            </w:tcMar>
            <w:vAlign w:val="center"/>
          </w:tcPr>
          <w:p w14:paraId="34FEFB72" w14:textId="77777777" w:rsidR="001F231A" w:rsidRDefault="001F231A" w:rsidP="009B2B5F">
            <w:pPr>
              <w:pStyle w:val="CDIFigure-Table-BodyTextCentre"/>
            </w:pPr>
            <w:r>
              <w:t>164 (1.5)</w:t>
            </w:r>
          </w:p>
        </w:tc>
        <w:tc>
          <w:tcPr>
            <w:tcW w:w="1488" w:type="dxa"/>
            <w:tcMar>
              <w:top w:w="79" w:type="dxa"/>
              <w:left w:w="113" w:type="dxa"/>
              <w:bottom w:w="79" w:type="dxa"/>
              <w:right w:w="113" w:type="dxa"/>
            </w:tcMar>
            <w:vAlign w:val="center"/>
          </w:tcPr>
          <w:p w14:paraId="35010D65" w14:textId="77777777" w:rsidR="001F231A" w:rsidRDefault="001F231A" w:rsidP="009B2B5F">
            <w:pPr>
              <w:pStyle w:val="CDIFigure-Table-BodyTextCentre"/>
            </w:pPr>
            <w:r>
              <w:t>8,690 (77.5)</w:t>
            </w:r>
          </w:p>
        </w:tc>
        <w:tc>
          <w:tcPr>
            <w:tcW w:w="1488" w:type="dxa"/>
            <w:tcMar>
              <w:top w:w="79" w:type="dxa"/>
              <w:left w:w="113" w:type="dxa"/>
              <w:bottom w:w="79" w:type="dxa"/>
              <w:right w:w="113" w:type="dxa"/>
            </w:tcMar>
            <w:vAlign w:val="center"/>
          </w:tcPr>
          <w:p w14:paraId="046BB263" w14:textId="77777777" w:rsidR="001F231A" w:rsidRDefault="001F231A" w:rsidP="009B2B5F">
            <w:pPr>
              <w:pStyle w:val="CDIFigure-Table-BodyTextCentre"/>
            </w:pPr>
            <w:r>
              <w:t>1,978 (17.6)</w:t>
            </w:r>
          </w:p>
        </w:tc>
        <w:tc>
          <w:tcPr>
            <w:tcW w:w="1489" w:type="dxa"/>
            <w:tcMar>
              <w:top w:w="79" w:type="dxa"/>
              <w:left w:w="113" w:type="dxa"/>
              <w:bottom w:w="79" w:type="dxa"/>
              <w:right w:w="113" w:type="dxa"/>
            </w:tcMar>
            <w:vAlign w:val="center"/>
          </w:tcPr>
          <w:p w14:paraId="32A73983" w14:textId="77777777" w:rsidR="001F231A" w:rsidRDefault="001F231A" w:rsidP="009B2B5F">
            <w:pPr>
              <w:pStyle w:val="CDIFigure-Table-BodyTextCentre"/>
            </w:pPr>
            <w:r>
              <w:t>1,092 (9.7)</w:t>
            </w:r>
          </w:p>
        </w:tc>
      </w:tr>
      <w:tr w:rsidR="00B92C70" w14:paraId="7C743D5B"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06ACDEBE" w14:textId="77777777" w:rsidR="001F231A" w:rsidRDefault="001F231A" w:rsidP="009B2B5F">
            <w:pPr>
              <w:pStyle w:val="CDIFigure-Table-BodyTextLeft"/>
            </w:pPr>
            <w:r>
              <w:t>Arthralgia</w:t>
            </w:r>
          </w:p>
        </w:tc>
        <w:tc>
          <w:tcPr>
            <w:tcW w:w="1488" w:type="dxa"/>
            <w:shd w:val="clear" w:color="auto" w:fill="F2F2F2" w:themeFill="background1" w:themeFillShade="F2"/>
            <w:tcMar>
              <w:top w:w="79" w:type="dxa"/>
              <w:left w:w="113" w:type="dxa"/>
              <w:bottom w:w="79" w:type="dxa"/>
              <w:right w:w="113" w:type="dxa"/>
            </w:tcMar>
            <w:vAlign w:val="center"/>
          </w:tcPr>
          <w:p w14:paraId="30E9E53C" w14:textId="77777777" w:rsidR="001F231A" w:rsidRDefault="001F231A" w:rsidP="009B2B5F">
            <w:pPr>
              <w:pStyle w:val="CDIFigure-Table-BodyTextCentre"/>
            </w:pPr>
            <w:r>
              <w:t>11,217 (10.1)</w:t>
            </w:r>
          </w:p>
        </w:tc>
        <w:tc>
          <w:tcPr>
            <w:tcW w:w="1488" w:type="dxa"/>
            <w:shd w:val="clear" w:color="auto" w:fill="F2F2F2" w:themeFill="background1" w:themeFillShade="F2"/>
            <w:tcMar>
              <w:top w:w="79" w:type="dxa"/>
              <w:left w:w="113" w:type="dxa"/>
              <w:bottom w:w="79" w:type="dxa"/>
              <w:right w:w="113" w:type="dxa"/>
            </w:tcMar>
            <w:vAlign w:val="center"/>
          </w:tcPr>
          <w:p w14:paraId="180BE9D8" w14:textId="77777777" w:rsidR="001F231A" w:rsidRDefault="001F231A" w:rsidP="009B2B5F">
            <w:pPr>
              <w:pStyle w:val="CDIFigure-Table-BodyTextCentre"/>
            </w:pPr>
            <w:r>
              <w:t>263 (2.3)</w:t>
            </w:r>
          </w:p>
        </w:tc>
        <w:tc>
          <w:tcPr>
            <w:tcW w:w="1489" w:type="dxa"/>
            <w:shd w:val="clear" w:color="auto" w:fill="F2F2F2" w:themeFill="background1" w:themeFillShade="F2"/>
            <w:tcMar>
              <w:top w:w="79" w:type="dxa"/>
              <w:left w:w="113" w:type="dxa"/>
              <w:bottom w:w="79" w:type="dxa"/>
              <w:right w:w="113" w:type="dxa"/>
            </w:tcMar>
            <w:vAlign w:val="center"/>
          </w:tcPr>
          <w:p w14:paraId="1C16BC0B" w14:textId="77777777" w:rsidR="001F231A" w:rsidRDefault="001F231A" w:rsidP="009B2B5F">
            <w:pPr>
              <w:pStyle w:val="CDIFigure-Table-BodyTextCentre"/>
            </w:pPr>
            <w:r>
              <w:t>82 (0.7)</w:t>
            </w:r>
          </w:p>
        </w:tc>
        <w:tc>
          <w:tcPr>
            <w:tcW w:w="1488" w:type="dxa"/>
            <w:shd w:val="clear" w:color="auto" w:fill="F2F2F2" w:themeFill="background1" w:themeFillShade="F2"/>
            <w:tcMar>
              <w:top w:w="79" w:type="dxa"/>
              <w:left w:w="113" w:type="dxa"/>
              <w:bottom w:w="79" w:type="dxa"/>
              <w:right w:w="113" w:type="dxa"/>
            </w:tcMar>
            <w:vAlign w:val="center"/>
          </w:tcPr>
          <w:p w14:paraId="2F38AACB" w14:textId="77777777" w:rsidR="001F231A" w:rsidRDefault="001F231A" w:rsidP="009B2B5F">
            <w:pPr>
              <w:pStyle w:val="CDIFigure-Table-BodyTextCentre"/>
            </w:pPr>
            <w:r>
              <w:t>8,088 (72.1)</w:t>
            </w:r>
          </w:p>
        </w:tc>
        <w:tc>
          <w:tcPr>
            <w:tcW w:w="1488" w:type="dxa"/>
            <w:shd w:val="clear" w:color="auto" w:fill="F2F2F2" w:themeFill="background1" w:themeFillShade="F2"/>
            <w:tcMar>
              <w:top w:w="79" w:type="dxa"/>
              <w:left w:w="113" w:type="dxa"/>
              <w:bottom w:w="79" w:type="dxa"/>
              <w:right w:w="113" w:type="dxa"/>
            </w:tcMar>
            <w:vAlign w:val="center"/>
          </w:tcPr>
          <w:p w14:paraId="2BFCFB73" w14:textId="77777777" w:rsidR="001F231A" w:rsidRDefault="001F231A" w:rsidP="009B2B5F">
            <w:pPr>
              <w:pStyle w:val="CDIFigure-Table-BodyTextCentre"/>
            </w:pPr>
            <w:r>
              <w:t>2,526 (22.5)</w:t>
            </w:r>
          </w:p>
        </w:tc>
        <w:tc>
          <w:tcPr>
            <w:tcW w:w="1489" w:type="dxa"/>
            <w:shd w:val="clear" w:color="auto" w:fill="F2F2F2" w:themeFill="background1" w:themeFillShade="F2"/>
            <w:tcMar>
              <w:top w:w="79" w:type="dxa"/>
              <w:left w:w="113" w:type="dxa"/>
              <w:bottom w:w="79" w:type="dxa"/>
              <w:right w:w="113" w:type="dxa"/>
            </w:tcMar>
            <w:vAlign w:val="center"/>
          </w:tcPr>
          <w:p w14:paraId="23472C1E" w14:textId="77777777" w:rsidR="001F231A" w:rsidRDefault="001F231A" w:rsidP="009B2B5F">
            <w:pPr>
              <w:pStyle w:val="CDIFigure-Table-BodyTextCentre"/>
            </w:pPr>
            <w:r>
              <w:t>1,203 (10.7)</w:t>
            </w:r>
          </w:p>
        </w:tc>
      </w:tr>
      <w:tr w:rsidR="001F231A" w14:paraId="07A6CDE1" w14:textId="77777777" w:rsidTr="00B92C70">
        <w:trPr>
          <w:divId w:val="935526654"/>
          <w:trHeight w:val="20"/>
        </w:trPr>
        <w:tc>
          <w:tcPr>
            <w:tcW w:w="5386" w:type="dxa"/>
            <w:tcMar>
              <w:top w:w="79" w:type="dxa"/>
              <w:left w:w="113" w:type="dxa"/>
              <w:bottom w:w="79" w:type="dxa"/>
              <w:right w:w="113" w:type="dxa"/>
            </w:tcMar>
            <w:vAlign w:val="center"/>
          </w:tcPr>
          <w:p w14:paraId="1262D0AF" w14:textId="77777777" w:rsidR="001F231A" w:rsidRDefault="001F231A" w:rsidP="009B2B5F">
            <w:pPr>
              <w:pStyle w:val="CDIFigure-Table-BodyTextLeft"/>
            </w:pPr>
            <w:r>
              <w:t>Chest pain</w:t>
            </w:r>
          </w:p>
        </w:tc>
        <w:tc>
          <w:tcPr>
            <w:tcW w:w="1488" w:type="dxa"/>
            <w:tcMar>
              <w:top w:w="79" w:type="dxa"/>
              <w:left w:w="113" w:type="dxa"/>
              <w:bottom w:w="79" w:type="dxa"/>
              <w:right w:w="113" w:type="dxa"/>
            </w:tcMar>
            <w:vAlign w:val="center"/>
          </w:tcPr>
          <w:p w14:paraId="73EC9087" w14:textId="77777777" w:rsidR="001F231A" w:rsidRDefault="001F231A" w:rsidP="009B2B5F">
            <w:pPr>
              <w:pStyle w:val="CDIFigure-Table-BodyTextCentre"/>
            </w:pPr>
            <w:r>
              <w:t>10,733 (9.6)</w:t>
            </w:r>
          </w:p>
        </w:tc>
        <w:tc>
          <w:tcPr>
            <w:tcW w:w="1488" w:type="dxa"/>
            <w:tcMar>
              <w:top w:w="79" w:type="dxa"/>
              <w:left w:w="113" w:type="dxa"/>
              <w:bottom w:w="79" w:type="dxa"/>
              <w:right w:w="113" w:type="dxa"/>
            </w:tcMar>
            <w:vAlign w:val="center"/>
          </w:tcPr>
          <w:p w14:paraId="55718BC5" w14:textId="77777777" w:rsidR="001F231A" w:rsidRDefault="001F231A" w:rsidP="009B2B5F">
            <w:pPr>
              <w:pStyle w:val="CDIFigure-Table-BodyTextCentre"/>
            </w:pPr>
            <w:r>
              <w:t>1189 (11.1)</w:t>
            </w:r>
          </w:p>
        </w:tc>
        <w:tc>
          <w:tcPr>
            <w:tcW w:w="1489" w:type="dxa"/>
            <w:tcMar>
              <w:top w:w="79" w:type="dxa"/>
              <w:left w:w="113" w:type="dxa"/>
              <w:bottom w:w="79" w:type="dxa"/>
              <w:right w:w="113" w:type="dxa"/>
            </w:tcMar>
            <w:vAlign w:val="center"/>
          </w:tcPr>
          <w:p w14:paraId="000BE0CF" w14:textId="77777777" w:rsidR="001F231A" w:rsidRDefault="001F231A" w:rsidP="009B2B5F">
            <w:pPr>
              <w:pStyle w:val="CDIFigure-Table-BodyTextCentre"/>
            </w:pPr>
            <w:r>
              <w:t>472 (4.4)</w:t>
            </w:r>
          </w:p>
        </w:tc>
        <w:tc>
          <w:tcPr>
            <w:tcW w:w="1488" w:type="dxa"/>
            <w:tcMar>
              <w:top w:w="79" w:type="dxa"/>
              <w:left w:w="113" w:type="dxa"/>
              <w:bottom w:w="79" w:type="dxa"/>
              <w:right w:w="113" w:type="dxa"/>
            </w:tcMar>
            <w:vAlign w:val="center"/>
          </w:tcPr>
          <w:p w14:paraId="62BC0950" w14:textId="77777777" w:rsidR="001F231A" w:rsidRDefault="001F231A" w:rsidP="009B2B5F">
            <w:pPr>
              <w:pStyle w:val="CDIFigure-Table-BodyTextCentre"/>
            </w:pPr>
            <w:r>
              <w:t>8,830 (82.3)</w:t>
            </w:r>
          </w:p>
        </w:tc>
        <w:tc>
          <w:tcPr>
            <w:tcW w:w="1488" w:type="dxa"/>
            <w:tcMar>
              <w:top w:w="79" w:type="dxa"/>
              <w:left w:w="113" w:type="dxa"/>
              <w:bottom w:w="79" w:type="dxa"/>
              <w:right w:w="113" w:type="dxa"/>
            </w:tcMar>
            <w:vAlign w:val="center"/>
          </w:tcPr>
          <w:p w14:paraId="62BE3108" w14:textId="77777777" w:rsidR="001F231A" w:rsidRDefault="001F231A" w:rsidP="009B2B5F">
            <w:pPr>
              <w:pStyle w:val="CDIFigure-Table-BodyTextCentre"/>
            </w:pPr>
            <w:r>
              <w:t>1,068 (10.0)</w:t>
            </w:r>
          </w:p>
        </w:tc>
        <w:tc>
          <w:tcPr>
            <w:tcW w:w="1489" w:type="dxa"/>
            <w:tcMar>
              <w:top w:w="79" w:type="dxa"/>
              <w:left w:w="113" w:type="dxa"/>
              <w:bottom w:w="79" w:type="dxa"/>
              <w:right w:w="113" w:type="dxa"/>
            </w:tcMar>
            <w:vAlign w:val="center"/>
          </w:tcPr>
          <w:p w14:paraId="356BE7C2" w14:textId="77777777" w:rsidR="001F231A" w:rsidRDefault="001F231A" w:rsidP="009B2B5F">
            <w:pPr>
              <w:pStyle w:val="CDIFigure-Table-BodyTextCentre"/>
            </w:pPr>
            <w:r>
              <w:t>2,445 (22.8)</w:t>
            </w:r>
          </w:p>
        </w:tc>
      </w:tr>
      <w:tr w:rsidR="00B92C70" w14:paraId="40A26AC8"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534E065" w14:textId="77777777" w:rsidR="001F231A" w:rsidRDefault="001F231A" w:rsidP="009B2B5F">
            <w:pPr>
              <w:pStyle w:val="CDIFigure-Table-BodyTextLeft"/>
            </w:pPr>
            <w:r>
              <w:t>Chills</w:t>
            </w:r>
          </w:p>
        </w:tc>
        <w:tc>
          <w:tcPr>
            <w:tcW w:w="1488" w:type="dxa"/>
            <w:shd w:val="clear" w:color="auto" w:fill="F2F2F2" w:themeFill="background1" w:themeFillShade="F2"/>
            <w:tcMar>
              <w:top w:w="79" w:type="dxa"/>
              <w:left w:w="113" w:type="dxa"/>
              <w:bottom w:w="79" w:type="dxa"/>
              <w:right w:w="113" w:type="dxa"/>
            </w:tcMar>
            <w:vAlign w:val="center"/>
          </w:tcPr>
          <w:p w14:paraId="78914A3F" w14:textId="77777777" w:rsidR="001F231A" w:rsidRDefault="001F231A" w:rsidP="009B2B5F">
            <w:pPr>
              <w:pStyle w:val="CDIFigure-Table-BodyTextCentre"/>
            </w:pPr>
            <w:r>
              <w:t>10,068 (9.0)</w:t>
            </w:r>
          </w:p>
        </w:tc>
        <w:tc>
          <w:tcPr>
            <w:tcW w:w="1488" w:type="dxa"/>
            <w:shd w:val="clear" w:color="auto" w:fill="F2F2F2" w:themeFill="background1" w:themeFillShade="F2"/>
            <w:tcMar>
              <w:top w:w="79" w:type="dxa"/>
              <w:left w:w="113" w:type="dxa"/>
              <w:bottom w:w="79" w:type="dxa"/>
              <w:right w:w="113" w:type="dxa"/>
            </w:tcMar>
            <w:vAlign w:val="center"/>
          </w:tcPr>
          <w:p w14:paraId="78DA3EA1" w14:textId="77777777" w:rsidR="001F231A" w:rsidRDefault="001F231A" w:rsidP="009B2B5F">
            <w:pPr>
              <w:pStyle w:val="CDIFigure-Table-BodyTextCentre"/>
            </w:pPr>
            <w:r>
              <w:t>98 (1.0)</w:t>
            </w:r>
          </w:p>
        </w:tc>
        <w:tc>
          <w:tcPr>
            <w:tcW w:w="1489" w:type="dxa"/>
            <w:shd w:val="clear" w:color="auto" w:fill="F2F2F2" w:themeFill="background1" w:themeFillShade="F2"/>
            <w:tcMar>
              <w:top w:w="79" w:type="dxa"/>
              <w:left w:w="113" w:type="dxa"/>
              <w:bottom w:w="79" w:type="dxa"/>
              <w:right w:w="113" w:type="dxa"/>
            </w:tcMar>
            <w:vAlign w:val="center"/>
          </w:tcPr>
          <w:p w14:paraId="67A1AE7B" w14:textId="77777777" w:rsidR="001F231A" w:rsidRDefault="001F231A" w:rsidP="009B2B5F">
            <w:pPr>
              <w:pStyle w:val="CDIFigure-Table-BodyTextCentre"/>
            </w:pPr>
            <w:r>
              <w:t>61 (0.6)</w:t>
            </w:r>
          </w:p>
        </w:tc>
        <w:tc>
          <w:tcPr>
            <w:tcW w:w="1488" w:type="dxa"/>
            <w:shd w:val="clear" w:color="auto" w:fill="F2F2F2" w:themeFill="background1" w:themeFillShade="F2"/>
            <w:tcMar>
              <w:top w:w="79" w:type="dxa"/>
              <w:left w:w="113" w:type="dxa"/>
              <w:bottom w:w="79" w:type="dxa"/>
              <w:right w:w="113" w:type="dxa"/>
            </w:tcMar>
            <w:vAlign w:val="center"/>
          </w:tcPr>
          <w:p w14:paraId="40AF9899" w14:textId="77777777" w:rsidR="001F231A" w:rsidRDefault="001F231A" w:rsidP="009B2B5F">
            <w:pPr>
              <w:pStyle w:val="CDIFigure-Table-BodyTextCentre"/>
            </w:pPr>
            <w:r>
              <w:t>6,882 (68.4)</w:t>
            </w:r>
          </w:p>
        </w:tc>
        <w:tc>
          <w:tcPr>
            <w:tcW w:w="1488" w:type="dxa"/>
            <w:shd w:val="clear" w:color="auto" w:fill="F2F2F2" w:themeFill="background1" w:themeFillShade="F2"/>
            <w:tcMar>
              <w:top w:w="79" w:type="dxa"/>
              <w:left w:w="113" w:type="dxa"/>
              <w:bottom w:w="79" w:type="dxa"/>
              <w:right w:w="113" w:type="dxa"/>
            </w:tcMar>
            <w:vAlign w:val="center"/>
          </w:tcPr>
          <w:p w14:paraId="2B7DFF59" w14:textId="77777777" w:rsidR="001F231A" w:rsidRDefault="001F231A" w:rsidP="009B2B5F">
            <w:pPr>
              <w:pStyle w:val="CDIFigure-Table-BodyTextCentre"/>
            </w:pPr>
            <w:r>
              <w:t>2,619 (26.0)</w:t>
            </w:r>
          </w:p>
        </w:tc>
        <w:tc>
          <w:tcPr>
            <w:tcW w:w="1489" w:type="dxa"/>
            <w:shd w:val="clear" w:color="auto" w:fill="F2F2F2" w:themeFill="background1" w:themeFillShade="F2"/>
            <w:tcMar>
              <w:top w:w="79" w:type="dxa"/>
              <w:left w:w="113" w:type="dxa"/>
              <w:bottom w:w="79" w:type="dxa"/>
              <w:right w:w="113" w:type="dxa"/>
            </w:tcMar>
            <w:vAlign w:val="center"/>
          </w:tcPr>
          <w:p w14:paraId="1BB9C40A" w14:textId="77777777" w:rsidR="001F231A" w:rsidRDefault="001F231A" w:rsidP="009B2B5F">
            <w:pPr>
              <w:pStyle w:val="CDIFigure-Table-BodyTextCentre"/>
            </w:pPr>
            <w:r>
              <w:t>810 (8.0)</w:t>
            </w:r>
          </w:p>
        </w:tc>
      </w:tr>
      <w:tr w:rsidR="001F231A" w14:paraId="01B13922" w14:textId="77777777" w:rsidTr="00B92C70">
        <w:trPr>
          <w:divId w:val="935526654"/>
          <w:trHeight w:val="20"/>
        </w:trPr>
        <w:tc>
          <w:tcPr>
            <w:tcW w:w="5386" w:type="dxa"/>
            <w:tcMar>
              <w:top w:w="79" w:type="dxa"/>
              <w:left w:w="113" w:type="dxa"/>
              <w:bottom w:w="79" w:type="dxa"/>
              <w:right w:w="113" w:type="dxa"/>
            </w:tcMar>
            <w:vAlign w:val="center"/>
          </w:tcPr>
          <w:p w14:paraId="31E74882" w14:textId="77777777" w:rsidR="001F231A" w:rsidRDefault="001F231A" w:rsidP="009B2B5F">
            <w:pPr>
              <w:pStyle w:val="CDIFigure-Table-BodyTextLeft"/>
            </w:pPr>
            <w:r>
              <w:t>Hypersensitivity</w:t>
            </w:r>
          </w:p>
        </w:tc>
        <w:tc>
          <w:tcPr>
            <w:tcW w:w="1488" w:type="dxa"/>
            <w:tcMar>
              <w:top w:w="79" w:type="dxa"/>
              <w:left w:w="113" w:type="dxa"/>
              <w:bottom w:w="79" w:type="dxa"/>
              <w:right w:w="113" w:type="dxa"/>
            </w:tcMar>
            <w:vAlign w:val="center"/>
          </w:tcPr>
          <w:p w14:paraId="10D57281" w14:textId="77777777" w:rsidR="001F231A" w:rsidRDefault="001F231A" w:rsidP="009B2B5F">
            <w:pPr>
              <w:pStyle w:val="CDIFigure-Table-BodyTextCentre"/>
            </w:pPr>
            <w:r>
              <w:t>9,026 (8.1)</w:t>
            </w:r>
          </w:p>
        </w:tc>
        <w:tc>
          <w:tcPr>
            <w:tcW w:w="1488" w:type="dxa"/>
            <w:tcMar>
              <w:top w:w="79" w:type="dxa"/>
              <w:left w:w="113" w:type="dxa"/>
              <w:bottom w:w="79" w:type="dxa"/>
              <w:right w:w="113" w:type="dxa"/>
            </w:tcMar>
            <w:vAlign w:val="center"/>
          </w:tcPr>
          <w:p w14:paraId="67967915" w14:textId="77777777" w:rsidR="001F231A" w:rsidRDefault="001F231A" w:rsidP="009B2B5F">
            <w:pPr>
              <w:pStyle w:val="CDIFigure-Table-BodyTextCentre"/>
            </w:pPr>
            <w:r>
              <w:t>2,565 (28.4)</w:t>
            </w:r>
          </w:p>
        </w:tc>
        <w:tc>
          <w:tcPr>
            <w:tcW w:w="1489" w:type="dxa"/>
            <w:tcMar>
              <w:top w:w="79" w:type="dxa"/>
              <w:left w:w="113" w:type="dxa"/>
              <w:bottom w:w="79" w:type="dxa"/>
              <w:right w:w="113" w:type="dxa"/>
            </w:tcMar>
            <w:vAlign w:val="center"/>
          </w:tcPr>
          <w:p w14:paraId="12AFF9A4" w14:textId="77777777" w:rsidR="001F231A" w:rsidRDefault="001F231A" w:rsidP="009B2B5F">
            <w:pPr>
              <w:pStyle w:val="CDIFigure-Table-BodyTextCentre"/>
            </w:pPr>
            <w:r>
              <w:t>172 (1.9)</w:t>
            </w:r>
          </w:p>
        </w:tc>
        <w:tc>
          <w:tcPr>
            <w:tcW w:w="1488" w:type="dxa"/>
            <w:tcMar>
              <w:top w:w="79" w:type="dxa"/>
              <w:left w:w="113" w:type="dxa"/>
              <w:bottom w:w="79" w:type="dxa"/>
              <w:right w:w="113" w:type="dxa"/>
            </w:tcMar>
            <w:vAlign w:val="center"/>
          </w:tcPr>
          <w:p w14:paraId="0408C859" w14:textId="77777777" w:rsidR="001F231A" w:rsidRDefault="001F231A" w:rsidP="009B2B5F">
            <w:pPr>
              <w:pStyle w:val="CDIFigure-Table-BodyTextCentre"/>
            </w:pPr>
            <w:r>
              <w:t>6,265 (69.4)</w:t>
            </w:r>
          </w:p>
        </w:tc>
        <w:tc>
          <w:tcPr>
            <w:tcW w:w="1488" w:type="dxa"/>
            <w:tcMar>
              <w:top w:w="79" w:type="dxa"/>
              <w:left w:w="113" w:type="dxa"/>
              <w:bottom w:w="79" w:type="dxa"/>
              <w:right w:w="113" w:type="dxa"/>
            </w:tcMar>
            <w:vAlign w:val="center"/>
          </w:tcPr>
          <w:p w14:paraId="5FFAA18C" w14:textId="77777777" w:rsidR="001F231A" w:rsidRDefault="001F231A" w:rsidP="009B2B5F">
            <w:pPr>
              <w:pStyle w:val="CDIFigure-Table-BodyTextCentre"/>
            </w:pPr>
            <w:r>
              <w:t>2,214 (24.5)</w:t>
            </w:r>
          </w:p>
        </w:tc>
        <w:tc>
          <w:tcPr>
            <w:tcW w:w="1489" w:type="dxa"/>
            <w:tcMar>
              <w:top w:w="79" w:type="dxa"/>
              <w:left w:w="113" w:type="dxa"/>
              <w:bottom w:w="79" w:type="dxa"/>
              <w:right w:w="113" w:type="dxa"/>
            </w:tcMar>
            <w:vAlign w:val="center"/>
          </w:tcPr>
          <w:p w14:paraId="2D145FF0" w14:textId="77777777" w:rsidR="001F231A" w:rsidRDefault="001F231A" w:rsidP="009B2B5F">
            <w:pPr>
              <w:pStyle w:val="CDIFigure-Table-BodyTextCentre"/>
            </w:pPr>
            <w:r>
              <w:t>1,025 (11.4)</w:t>
            </w:r>
          </w:p>
        </w:tc>
      </w:tr>
      <w:tr w:rsidR="00B92C70" w14:paraId="09B8668F"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06E970A6" w14:textId="77777777" w:rsidR="001F231A" w:rsidRDefault="001F231A" w:rsidP="009B2B5F">
            <w:pPr>
              <w:pStyle w:val="CDIFigure-Table-BodyTextLeft"/>
            </w:pPr>
            <w:r>
              <w:t>Dyspnoea</w:t>
            </w:r>
          </w:p>
        </w:tc>
        <w:tc>
          <w:tcPr>
            <w:tcW w:w="1488" w:type="dxa"/>
            <w:shd w:val="clear" w:color="auto" w:fill="F2F2F2" w:themeFill="background1" w:themeFillShade="F2"/>
            <w:tcMar>
              <w:top w:w="79" w:type="dxa"/>
              <w:left w:w="113" w:type="dxa"/>
              <w:bottom w:w="79" w:type="dxa"/>
              <w:right w:w="113" w:type="dxa"/>
            </w:tcMar>
            <w:vAlign w:val="center"/>
          </w:tcPr>
          <w:p w14:paraId="449332A0" w14:textId="77777777" w:rsidR="001F231A" w:rsidRDefault="001F231A" w:rsidP="009B2B5F">
            <w:pPr>
              <w:pStyle w:val="CDIFigure-Table-BodyTextCentre"/>
            </w:pPr>
            <w:r>
              <w:t>8,672 (7.8)</w:t>
            </w:r>
          </w:p>
        </w:tc>
        <w:tc>
          <w:tcPr>
            <w:tcW w:w="1488" w:type="dxa"/>
            <w:shd w:val="clear" w:color="auto" w:fill="F2F2F2" w:themeFill="background1" w:themeFillShade="F2"/>
            <w:tcMar>
              <w:top w:w="79" w:type="dxa"/>
              <w:left w:w="113" w:type="dxa"/>
              <w:bottom w:w="79" w:type="dxa"/>
              <w:right w:w="113" w:type="dxa"/>
            </w:tcMar>
            <w:vAlign w:val="center"/>
          </w:tcPr>
          <w:p w14:paraId="5E09F5F0" w14:textId="77777777" w:rsidR="001F231A" w:rsidRDefault="001F231A" w:rsidP="009B2B5F">
            <w:pPr>
              <w:pStyle w:val="CDIFigure-Table-BodyTextCentre"/>
            </w:pPr>
            <w:r>
              <w:t>215 (2.5)</w:t>
            </w:r>
          </w:p>
        </w:tc>
        <w:tc>
          <w:tcPr>
            <w:tcW w:w="1489" w:type="dxa"/>
            <w:shd w:val="clear" w:color="auto" w:fill="F2F2F2" w:themeFill="background1" w:themeFillShade="F2"/>
            <w:tcMar>
              <w:top w:w="79" w:type="dxa"/>
              <w:left w:w="113" w:type="dxa"/>
              <w:bottom w:w="79" w:type="dxa"/>
              <w:right w:w="113" w:type="dxa"/>
            </w:tcMar>
            <w:vAlign w:val="center"/>
          </w:tcPr>
          <w:p w14:paraId="3F2CD03B" w14:textId="77777777" w:rsidR="001F231A" w:rsidRDefault="001F231A" w:rsidP="009B2B5F">
            <w:pPr>
              <w:pStyle w:val="CDIFigure-Table-BodyTextCentre"/>
            </w:pPr>
            <w:r>
              <w:t>200 (2.3)</w:t>
            </w:r>
          </w:p>
        </w:tc>
        <w:tc>
          <w:tcPr>
            <w:tcW w:w="1488" w:type="dxa"/>
            <w:shd w:val="clear" w:color="auto" w:fill="F2F2F2" w:themeFill="background1" w:themeFillShade="F2"/>
            <w:tcMar>
              <w:top w:w="79" w:type="dxa"/>
              <w:left w:w="113" w:type="dxa"/>
              <w:bottom w:w="79" w:type="dxa"/>
              <w:right w:w="113" w:type="dxa"/>
            </w:tcMar>
            <w:vAlign w:val="center"/>
          </w:tcPr>
          <w:p w14:paraId="353D2B52" w14:textId="77777777" w:rsidR="001F231A" w:rsidRDefault="001F231A" w:rsidP="009B2B5F">
            <w:pPr>
              <w:pStyle w:val="CDIFigure-Table-BodyTextCentre"/>
            </w:pPr>
            <w:r>
              <w:t>6,680 (77.0)</w:t>
            </w:r>
          </w:p>
        </w:tc>
        <w:tc>
          <w:tcPr>
            <w:tcW w:w="1488" w:type="dxa"/>
            <w:shd w:val="clear" w:color="auto" w:fill="F2F2F2" w:themeFill="background1" w:themeFillShade="F2"/>
            <w:tcMar>
              <w:top w:w="79" w:type="dxa"/>
              <w:left w:w="113" w:type="dxa"/>
              <w:bottom w:w="79" w:type="dxa"/>
              <w:right w:w="113" w:type="dxa"/>
            </w:tcMar>
            <w:vAlign w:val="center"/>
          </w:tcPr>
          <w:p w14:paraId="06B3B1FF" w14:textId="77777777" w:rsidR="001F231A" w:rsidRDefault="001F231A" w:rsidP="009B2B5F">
            <w:pPr>
              <w:pStyle w:val="CDIFigure-Table-BodyTextCentre"/>
            </w:pPr>
            <w:r>
              <w:t>1,511 (17.4)</w:t>
            </w:r>
          </w:p>
        </w:tc>
        <w:tc>
          <w:tcPr>
            <w:tcW w:w="1489" w:type="dxa"/>
            <w:shd w:val="clear" w:color="auto" w:fill="F2F2F2" w:themeFill="background1" w:themeFillShade="F2"/>
            <w:tcMar>
              <w:top w:w="79" w:type="dxa"/>
              <w:left w:w="113" w:type="dxa"/>
              <w:bottom w:w="79" w:type="dxa"/>
              <w:right w:w="113" w:type="dxa"/>
            </w:tcMar>
            <w:vAlign w:val="center"/>
          </w:tcPr>
          <w:p w14:paraId="36C048DF" w14:textId="77777777" w:rsidR="001F231A" w:rsidRDefault="001F231A" w:rsidP="009B2B5F">
            <w:pPr>
              <w:pStyle w:val="CDIFigure-Table-BodyTextCentre"/>
            </w:pPr>
            <w:r>
              <w:t>2,048 (23.6)</w:t>
            </w:r>
          </w:p>
        </w:tc>
      </w:tr>
      <w:tr w:rsidR="001F231A" w14:paraId="5FA8A932" w14:textId="77777777" w:rsidTr="00B92C70">
        <w:trPr>
          <w:divId w:val="935526654"/>
          <w:trHeight w:val="111"/>
        </w:trPr>
        <w:tc>
          <w:tcPr>
            <w:tcW w:w="5386" w:type="dxa"/>
            <w:tcMar>
              <w:top w:w="79" w:type="dxa"/>
              <w:left w:w="113" w:type="dxa"/>
              <w:bottom w:w="79" w:type="dxa"/>
              <w:right w:w="113" w:type="dxa"/>
            </w:tcMar>
            <w:vAlign w:val="center"/>
          </w:tcPr>
          <w:p w14:paraId="024343BC" w14:textId="77777777" w:rsidR="001F231A" w:rsidRDefault="001F231A" w:rsidP="009B2B5F">
            <w:pPr>
              <w:pStyle w:val="CDIFigure-Table-BodyTextLeft"/>
            </w:pPr>
            <w:r>
              <w:t>Paraesthesia</w:t>
            </w:r>
          </w:p>
        </w:tc>
        <w:tc>
          <w:tcPr>
            <w:tcW w:w="1488" w:type="dxa"/>
            <w:tcMar>
              <w:top w:w="79" w:type="dxa"/>
              <w:left w:w="113" w:type="dxa"/>
              <w:bottom w:w="79" w:type="dxa"/>
              <w:right w:w="113" w:type="dxa"/>
            </w:tcMar>
            <w:vAlign w:val="center"/>
          </w:tcPr>
          <w:p w14:paraId="698A3738" w14:textId="77777777" w:rsidR="001F231A" w:rsidRDefault="001F231A" w:rsidP="009B2B5F">
            <w:pPr>
              <w:pStyle w:val="CDIFigure-Table-BodyTextCentre"/>
            </w:pPr>
            <w:r>
              <w:t>6,188 (5.6)</w:t>
            </w:r>
          </w:p>
        </w:tc>
        <w:tc>
          <w:tcPr>
            <w:tcW w:w="1488" w:type="dxa"/>
            <w:tcMar>
              <w:top w:w="79" w:type="dxa"/>
              <w:left w:w="113" w:type="dxa"/>
              <w:bottom w:w="79" w:type="dxa"/>
              <w:right w:w="113" w:type="dxa"/>
            </w:tcMar>
            <w:vAlign w:val="center"/>
          </w:tcPr>
          <w:p w14:paraId="76755AD3" w14:textId="77777777" w:rsidR="001F231A" w:rsidRDefault="001F231A" w:rsidP="009B2B5F">
            <w:pPr>
              <w:pStyle w:val="CDIFigure-Table-BodyTextCentre"/>
            </w:pPr>
            <w:r>
              <w:t>701 (11.3)</w:t>
            </w:r>
          </w:p>
        </w:tc>
        <w:tc>
          <w:tcPr>
            <w:tcW w:w="1489" w:type="dxa"/>
            <w:tcMar>
              <w:top w:w="79" w:type="dxa"/>
              <w:left w:w="113" w:type="dxa"/>
              <w:bottom w:w="79" w:type="dxa"/>
              <w:right w:w="113" w:type="dxa"/>
            </w:tcMar>
            <w:vAlign w:val="center"/>
          </w:tcPr>
          <w:p w14:paraId="0F2A4EAF" w14:textId="77777777" w:rsidR="001F231A" w:rsidRDefault="001F231A" w:rsidP="009B2B5F">
            <w:pPr>
              <w:pStyle w:val="CDIFigure-Table-BodyTextCentre"/>
            </w:pPr>
            <w:r>
              <w:t>33 (0.5)</w:t>
            </w:r>
          </w:p>
        </w:tc>
        <w:tc>
          <w:tcPr>
            <w:tcW w:w="1488" w:type="dxa"/>
            <w:tcMar>
              <w:top w:w="79" w:type="dxa"/>
              <w:left w:w="113" w:type="dxa"/>
              <w:bottom w:w="79" w:type="dxa"/>
              <w:right w:w="113" w:type="dxa"/>
            </w:tcMar>
            <w:vAlign w:val="center"/>
          </w:tcPr>
          <w:p w14:paraId="65195721" w14:textId="77777777" w:rsidR="001F231A" w:rsidRDefault="001F231A" w:rsidP="009B2B5F">
            <w:pPr>
              <w:pStyle w:val="CDIFigure-Table-BodyTextCentre"/>
            </w:pPr>
            <w:r>
              <w:t>4,971 (80.3)</w:t>
            </w:r>
          </w:p>
        </w:tc>
        <w:tc>
          <w:tcPr>
            <w:tcW w:w="1488" w:type="dxa"/>
            <w:tcMar>
              <w:top w:w="79" w:type="dxa"/>
              <w:left w:w="113" w:type="dxa"/>
              <w:bottom w:w="79" w:type="dxa"/>
              <w:right w:w="113" w:type="dxa"/>
            </w:tcMar>
            <w:vAlign w:val="center"/>
          </w:tcPr>
          <w:p w14:paraId="183078BD" w14:textId="77777777" w:rsidR="001F231A" w:rsidRDefault="001F231A" w:rsidP="009B2B5F">
            <w:pPr>
              <w:pStyle w:val="CDIFigure-Table-BodyTextCentre"/>
            </w:pPr>
            <w:r>
              <w:t>917 (14.8)</w:t>
            </w:r>
          </w:p>
        </w:tc>
        <w:tc>
          <w:tcPr>
            <w:tcW w:w="1489" w:type="dxa"/>
            <w:tcMar>
              <w:top w:w="79" w:type="dxa"/>
              <w:left w:w="113" w:type="dxa"/>
              <w:bottom w:w="79" w:type="dxa"/>
              <w:right w:w="113" w:type="dxa"/>
            </w:tcMar>
            <w:vAlign w:val="center"/>
          </w:tcPr>
          <w:p w14:paraId="1694A5C8" w14:textId="77777777" w:rsidR="001F231A" w:rsidRDefault="001F231A" w:rsidP="009B2B5F">
            <w:pPr>
              <w:pStyle w:val="CDIFigure-Table-BodyTextCentre"/>
            </w:pPr>
            <w:r>
              <w:t>965 (15.6)</w:t>
            </w:r>
          </w:p>
        </w:tc>
      </w:tr>
      <w:tr w:rsidR="00B92C70" w14:paraId="6CE8CC41"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646FBE33" w14:textId="77777777" w:rsidR="001F231A" w:rsidRDefault="001F231A" w:rsidP="009B2B5F">
            <w:pPr>
              <w:pStyle w:val="CDIFigure-Table-BodyTextLeft"/>
            </w:pPr>
            <w:r>
              <w:t>Palpitations</w:t>
            </w:r>
          </w:p>
        </w:tc>
        <w:tc>
          <w:tcPr>
            <w:tcW w:w="1488" w:type="dxa"/>
            <w:shd w:val="clear" w:color="auto" w:fill="F2F2F2" w:themeFill="background1" w:themeFillShade="F2"/>
            <w:tcMar>
              <w:top w:w="79" w:type="dxa"/>
              <w:left w:w="113" w:type="dxa"/>
              <w:bottom w:w="79" w:type="dxa"/>
              <w:right w:w="113" w:type="dxa"/>
            </w:tcMar>
            <w:vAlign w:val="center"/>
          </w:tcPr>
          <w:p w14:paraId="2DE09EF8" w14:textId="77777777" w:rsidR="001F231A" w:rsidRDefault="001F231A" w:rsidP="009B2B5F">
            <w:pPr>
              <w:pStyle w:val="CDIFigure-Table-BodyTextCentre"/>
            </w:pPr>
            <w:r>
              <w:t>4,775 (4.3)</w:t>
            </w:r>
          </w:p>
        </w:tc>
        <w:tc>
          <w:tcPr>
            <w:tcW w:w="1488" w:type="dxa"/>
            <w:shd w:val="clear" w:color="auto" w:fill="F2F2F2" w:themeFill="background1" w:themeFillShade="F2"/>
            <w:tcMar>
              <w:top w:w="79" w:type="dxa"/>
              <w:left w:w="113" w:type="dxa"/>
              <w:bottom w:w="79" w:type="dxa"/>
              <w:right w:w="113" w:type="dxa"/>
            </w:tcMar>
            <w:vAlign w:val="center"/>
          </w:tcPr>
          <w:p w14:paraId="1D3F4DE9" w14:textId="77777777" w:rsidR="001F231A" w:rsidRDefault="001F231A" w:rsidP="009B2B5F">
            <w:pPr>
              <w:pStyle w:val="CDIFigure-Table-BodyTextCentre"/>
            </w:pPr>
            <w:r>
              <w:t>320 (6.7)</w:t>
            </w:r>
          </w:p>
        </w:tc>
        <w:tc>
          <w:tcPr>
            <w:tcW w:w="1489" w:type="dxa"/>
            <w:shd w:val="clear" w:color="auto" w:fill="F2F2F2" w:themeFill="background1" w:themeFillShade="F2"/>
            <w:tcMar>
              <w:top w:w="79" w:type="dxa"/>
              <w:left w:w="113" w:type="dxa"/>
              <w:bottom w:w="79" w:type="dxa"/>
              <w:right w:w="113" w:type="dxa"/>
            </w:tcMar>
            <w:vAlign w:val="center"/>
          </w:tcPr>
          <w:p w14:paraId="209CB7DE" w14:textId="77777777" w:rsidR="001F231A" w:rsidRDefault="001F231A" w:rsidP="009B2B5F">
            <w:pPr>
              <w:pStyle w:val="CDIFigure-Table-BodyTextCentre"/>
            </w:pPr>
            <w:r>
              <w:t>95 (2.0)</w:t>
            </w:r>
          </w:p>
        </w:tc>
        <w:tc>
          <w:tcPr>
            <w:tcW w:w="1488" w:type="dxa"/>
            <w:shd w:val="clear" w:color="auto" w:fill="F2F2F2" w:themeFill="background1" w:themeFillShade="F2"/>
            <w:tcMar>
              <w:top w:w="79" w:type="dxa"/>
              <w:left w:w="113" w:type="dxa"/>
              <w:bottom w:w="79" w:type="dxa"/>
              <w:right w:w="113" w:type="dxa"/>
            </w:tcMar>
            <w:vAlign w:val="center"/>
          </w:tcPr>
          <w:p w14:paraId="3746796B" w14:textId="77777777" w:rsidR="001F231A" w:rsidRDefault="001F231A" w:rsidP="009B2B5F">
            <w:pPr>
              <w:pStyle w:val="CDIFigure-Table-BodyTextCentre"/>
            </w:pPr>
            <w:r>
              <w:t>3,975 (83.2)</w:t>
            </w:r>
          </w:p>
        </w:tc>
        <w:tc>
          <w:tcPr>
            <w:tcW w:w="1488" w:type="dxa"/>
            <w:shd w:val="clear" w:color="auto" w:fill="F2F2F2" w:themeFill="background1" w:themeFillShade="F2"/>
            <w:tcMar>
              <w:top w:w="79" w:type="dxa"/>
              <w:left w:w="113" w:type="dxa"/>
              <w:bottom w:w="79" w:type="dxa"/>
              <w:right w:w="113" w:type="dxa"/>
            </w:tcMar>
            <w:vAlign w:val="center"/>
          </w:tcPr>
          <w:p w14:paraId="25ACD96F" w14:textId="77777777" w:rsidR="001F231A" w:rsidRDefault="001F231A" w:rsidP="009B2B5F">
            <w:pPr>
              <w:pStyle w:val="CDIFigure-Table-BodyTextCentre"/>
            </w:pPr>
            <w:r>
              <w:t>521 (10.9)</w:t>
            </w:r>
          </w:p>
        </w:tc>
        <w:tc>
          <w:tcPr>
            <w:tcW w:w="1489" w:type="dxa"/>
            <w:shd w:val="clear" w:color="auto" w:fill="F2F2F2" w:themeFill="background1" w:themeFillShade="F2"/>
            <w:tcMar>
              <w:top w:w="79" w:type="dxa"/>
              <w:left w:w="113" w:type="dxa"/>
              <w:bottom w:w="79" w:type="dxa"/>
              <w:right w:w="113" w:type="dxa"/>
            </w:tcMar>
            <w:vAlign w:val="center"/>
          </w:tcPr>
          <w:p w14:paraId="731E4FD0" w14:textId="77777777" w:rsidR="001F231A" w:rsidRDefault="001F231A" w:rsidP="009B2B5F">
            <w:pPr>
              <w:pStyle w:val="CDIFigure-Table-BodyTextCentre"/>
            </w:pPr>
            <w:r>
              <w:t>1,032 (21.6)</w:t>
            </w:r>
          </w:p>
        </w:tc>
      </w:tr>
      <w:tr w:rsidR="001F231A" w14:paraId="4E7C4237" w14:textId="77777777" w:rsidTr="00B92C70">
        <w:trPr>
          <w:divId w:val="935526654"/>
          <w:trHeight w:val="20"/>
        </w:trPr>
        <w:tc>
          <w:tcPr>
            <w:tcW w:w="5386" w:type="dxa"/>
            <w:tcMar>
              <w:top w:w="79" w:type="dxa"/>
              <w:left w:w="113" w:type="dxa"/>
              <w:bottom w:w="79" w:type="dxa"/>
              <w:right w:w="113" w:type="dxa"/>
            </w:tcMar>
            <w:vAlign w:val="center"/>
          </w:tcPr>
          <w:p w14:paraId="39F0D6D2" w14:textId="77777777" w:rsidR="001F231A" w:rsidRDefault="001F231A" w:rsidP="009B2B5F">
            <w:pPr>
              <w:pStyle w:val="CDIFigure-Table-BodyTextLeft"/>
            </w:pPr>
            <w:r>
              <w:t>Injection site pain</w:t>
            </w:r>
          </w:p>
        </w:tc>
        <w:tc>
          <w:tcPr>
            <w:tcW w:w="1488" w:type="dxa"/>
            <w:tcMar>
              <w:top w:w="79" w:type="dxa"/>
              <w:left w:w="113" w:type="dxa"/>
              <w:bottom w:w="79" w:type="dxa"/>
              <w:right w:w="113" w:type="dxa"/>
            </w:tcMar>
            <w:vAlign w:val="center"/>
          </w:tcPr>
          <w:p w14:paraId="676DFDD8" w14:textId="77777777" w:rsidR="001F231A" w:rsidRDefault="001F231A" w:rsidP="009B2B5F">
            <w:pPr>
              <w:pStyle w:val="CDIFigure-Table-BodyTextCentre"/>
            </w:pPr>
            <w:r>
              <w:t>4,700 (4.2)</w:t>
            </w:r>
          </w:p>
        </w:tc>
        <w:tc>
          <w:tcPr>
            <w:tcW w:w="1488" w:type="dxa"/>
            <w:tcMar>
              <w:top w:w="79" w:type="dxa"/>
              <w:left w:w="113" w:type="dxa"/>
              <w:bottom w:w="79" w:type="dxa"/>
              <w:right w:w="113" w:type="dxa"/>
            </w:tcMar>
            <w:vAlign w:val="center"/>
          </w:tcPr>
          <w:p w14:paraId="01B03338" w14:textId="77777777" w:rsidR="001F231A" w:rsidRDefault="001F231A" w:rsidP="009B2B5F">
            <w:pPr>
              <w:pStyle w:val="CDIFigure-Table-BodyTextCentre"/>
            </w:pPr>
            <w:r>
              <w:t>281 (6.0)</w:t>
            </w:r>
          </w:p>
        </w:tc>
        <w:tc>
          <w:tcPr>
            <w:tcW w:w="1489" w:type="dxa"/>
            <w:tcMar>
              <w:top w:w="79" w:type="dxa"/>
              <w:left w:w="113" w:type="dxa"/>
              <w:bottom w:w="79" w:type="dxa"/>
              <w:right w:w="113" w:type="dxa"/>
            </w:tcMar>
            <w:vAlign w:val="center"/>
          </w:tcPr>
          <w:p w14:paraId="5FA9A676" w14:textId="77777777" w:rsidR="001F231A" w:rsidRDefault="001F231A" w:rsidP="009B2B5F">
            <w:pPr>
              <w:pStyle w:val="CDIFigure-Table-BodyTextCentre"/>
            </w:pPr>
            <w:r>
              <w:t>50 (1.1)</w:t>
            </w:r>
          </w:p>
        </w:tc>
        <w:tc>
          <w:tcPr>
            <w:tcW w:w="1488" w:type="dxa"/>
            <w:tcMar>
              <w:top w:w="79" w:type="dxa"/>
              <w:left w:w="113" w:type="dxa"/>
              <w:bottom w:w="79" w:type="dxa"/>
              <w:right w:w="113" w:type="dxa"/>
            </w:tcMar>
            <w:vAlign w:val="center"/>
          </w:tcPr>
          <w:p w14:paraId="0A63E2C7" w14:textId="77777777" w:rsidR="001F231A" w:rsidRDefault="001F231A" w:rsidP="009B2B5F">
            <w:pPr>
              <w:pStyle w:val="CDIFigure-Table-BodyTextCentre"/>
            </w:pPr>
            <w:r>
              <w:t>3,425 (72.9)</w:t>
            </w:r>
          </w:p>
        </w:tc>
        <w:tc>
          <w:tcPr>
            <w:tcW w:w="1488" w:type="dxa"/>
            <w:tcMar>
              <w:top w:w="79" w:type="dxa"/>
              <w:left w:w="113" w:type="dxa"/>
              <w:bottom w:w="79" w:type="dxa"/>
              <w:right w:w="113" w:type="dxa"/>
            </w:tcMar>
            <w:vAlign w:val="center"/>
          </w:tcPr>
          <w:p w14:paraId="34FF919C" w14:textId="77777777" w:rsidR="001F231A" w:rsidRDefault="001F231A" w:rsidP="009B2B5F">
            <w:pPr>
              <w:pStyle w:val="CDIFigure-Table-BodyTextCentre"/>
            </w:pPr>
            <w:r>
              <w:t>977 (20.8)</w:t>
            </w:r>
          </w:p>
        </w:tc>
        <w:tc>
          <w:tcPr>
            <w:tcW w:w="1489" w:type="dxa"/>
            <w:tcMar>
              <w:top w:w="79" w:type="dxa"/>
              <w:left w:w="113" w:type="dxa"/>
              <w:bottom w:w="79" w:type="dxa"/>
              <w:right w:w="113" w:type="dxa"/>
            </w:tcMar>
            <w:vAlign w:val="center"/>
          </w:tcPr>
          <w:p w14:paraId="4B81D2AE" w14:textId="77777777" w:rsidR="001F231A" w:rsidRDefault="001F231A" w:rsidP="009B2B5F">
            <w:pPr>
              <w:pStyle w:val="CDIFigure-Table-BodyTextCentre"/>
            </w:pPr>
            <w:r>
              <w:t>477 (10.1)</w:t>
            </w:r>
          </w:p>
        </w:tc>
      </w:tr>
      <w:tr w:rsidR="00B92C70" w14:paraId="7D331B79"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10050C21" w14:textId="77777777" w:rsidR="001F231A" w:rsidRDefault="001F231A" w:rsidP="009B2B5F">
            <w:pPr>
              <w:pStyle w:val="CDIFigure-Table-BodyTextLeft"/>
            </w:pPr>
            <w:r>
              <w:t>Pain in extremity</w:t>
            </w:r>
          </w:p>
        </w:tc>
        <w:tc>
          <w:tcPr>
            <w:tcW w:w="1488" w:type="dxa"/>
            <w:shd w:val="clear" w:color="auto" w:fill="F2F2F2" w:themeFill="background1" w:themeFillShade="F2"/>
            <w:tcMar>
              <w:top w:w="79" w:type="dxa"/>
              <w:left w:w="113" w:type="dxa"/>
              <w:bottom w:w="79" w:type="dxa"/>
              <w:right w:w="113" w:type="dxa"/>
            </w:tcMar>
            <w:vAlign w:val="center"/>
          </w:tcPr>
          <w:p w14:paraId="2CAF00CB" w14:textId="77777777" w:rsidR="001F231A" w:rsidRDefault="001F231A" w:rsidP="009B2B5F">
            <w:pPr>
              <w:pStyle w:val="CDIFigure-Table-BodyTextCentre"/>
            </w:pPr>
            <w:r>
              <w:t>4,373 (3.9)</w:t>
            </w:r>
          </w:p>
        </w:tc>
        <w:tc>
          <w:tcPr>
            <w:tcW w:w="1488" w:type="dxa"/>
            <w:shd w:val="clear" w:color="auto" w:fill="F2F2F2" w:themeFill="background1" w:themeFillShade="F2"/>
            <w:tcMar>
              <w:top w:w="79" w:type="dxa"/>
              <w:left w:w="113" w:type="dxa"/>
              <w:bottom w:w="79" w:type="dxa"/>
              <w:right w:w="113" w:type="dxa"/>
            </w:tcMar>
            <w:vAlign w:val="center"/>
          </w:tcPr>
          <w:p w14:paraId="50BE2511" w14:textId="77777777" w:rsidR="001F231A" w:rsidRDefault="001F231A" w:rsidP="009B2B5F">
            <w:pPr>
              <w:pStyle w:val="CDIFigure-Table-BodyTextCentre"/>
            </w:pPr>
            <w:r>
              <w:t>368 (8.4)</w:t>
            </w:r>
          </w:p>
        </w:tc>
        <w:tc>
          <w:tcPr>
            <w:tcW w:w="1489" w:type="dxa"/>
            <w:shd w:val="clear" w:color="auto" w:fill="F2F2F2" w:themeFill="background1" w:themeFillShade="F2"/>
            <w:tcMar>
              <w:top w:w="79" w:type="dxa"/>
              <w:left w:w="113" w:type="dxa"/>
              <w:bottom w:w="79" w:type="dxa"/>
              <w:right w:w="113" w:type="dxa"/>
            </w:tcMar>
            <w:vAlign w:val="center"/>
          </w:tcPr>
          <w:p w14:paraId="29A0D54B" w14:textId="77777777" w:rsidR="001F231A" w:rsidRDefault="001F231A" w:rsidP="009B2B5F">
            <w:pPr>
              <w:pStyle w:val="CDIFigure-Table-BodyTextCentre"/>
            </w:pPr>
            <w:r>
              <w:t>47 (1.1)</w:t>
            </w:r>
          </w:p>
        </w:tc>
        <w:tc>
          <w:tcPr>
            <w:tcW w:w="1488" w:type="dxa"/>
            <w:shd w:val="clear" w:color="auto" w:fill="F2F2F2" w:themeFill="background1" w:themeFillShade="F2"/>
            <w:tcMar>
              <w:top w:w="79" w:type="dxa"/>
              <w:left w:w="113" w:type="dxa"/>
              <w:bottom w:w="79" w:type="dxa"/>
              <w:right w:w="113" w:type="dxa"/>
            </w:tcMar>
            <w:vAlign w:val="center"/>
          </w:tcPr>
          <w:p w14:paraId="1A23691A" w14:textId="77777777" w:rsidR="001F231A" w:rsidRDefault="001F231A" w:rsidP="009B2B5F">
            <w:pPr>
              <w:pStyle w:val="CDIFigure-Table-BodyTextCentre"/>
            </w:pPr>
            <w:r>
              <w:t>2,861 (65.4)</w:t>
            </w:r>
          </w:p>
        </w:tc>
        <w:tc>
          <w:tcPr>
            <w:tcW w:w="1488" w:type="dxa"/>
            <w:shd w:val="clear" w:color="auto" w:fill="F2F2F2" w:themeFill="background1" w:themeFillShade="F2"/>
            <w:tcMar>
              <w:top w:w="79" w:type="dxa"/>
              <w:left w:w="113" w:type="dxa"/>
              <w:bottom w:w="79" w:type="dxa"/>
              <w:right w:w="113" w:type="dxa"/>
            </w:tcMar>
            <w:vAlign w:val="center"/>
          </w:tcPr>
          <w:p w14:paraId="5B83CF87" w14:textId="77777777" w:rsidR="001F231A" w:rsidRDefault="001F231A" w:rsidP="009B2B5F">
            <w:pPr>
              <w:pStyle w:val="CDIFigure-Table-BodyTextCentre"/>
            </w:pPr>
            <w:r>
              <w:t>1,168 (26.7)</w:t>
            </w:r>
          </w:p>
        </w:tc>
        <w:tc>
          <w:tcPr>
            <w:tcW w:w="1489" w:type="dxa"/>
            <w:shd w:val="clear" w:color="auto" w:fill="F2F2F2" w:themeFill="background1" w:themeFillShade="F2"/>
            <w:tcMar>
              <w:top w:w="79" w:type="dxa"/>
              <w:left w:w="113" w:type="dxa"/>
              <w:bottom w:w="79" w:type="dxa"/>
              <w:right w:w="113" w:type="dxa"/>
            </w:tcMar>
            <w:vAlign w:val="center"/>
          </w:tcPr>
          <w:p w14:paraId="6ABD5A03" w14:textId="77777777" w:rsidR="001F231A" w:rsidRDefault="001F231A" w:rsidP="009B2B5F">
            <w:pPr>
              <w:pStyle w:val="CDIFigure-Table-BodyTextCentre"/>
            </w:pPr>
            <w:r>
              <w:t>646 (14.8)</w:t>
            </w:r>
          </w:p>
        </w:tc>
      </w:tr>
      <w:tr w:rsidR="001F231A" w14:paraId="624AA93B" w14:textId="77777777" w:rsidTr="00B92C70">
        <w:trPr>
          <w:divId w:val="935526654"/>
          <w:trHeight w:val="20"/>
        </w:trPr>
        <w:tc>
          <w:tcPr>
            <w:tcW w:w="5386" w:type="dxa"/>
            <w:tcMar>
              <w:top w:w="79" w:type="dxa"/>
              <w:left w:w="113" w:type="dxa"/>
              <w:bottom w:w="79" w:type="dxa"/>
              <w:right w:w="113" w:type="dxa"/>
            </w:tcMar>
            <w:vAlign w:val="center"/>
          </w:tcPr>
          <w:p w14:paraId="2CB1F0DC" w14:textId="77777777" w:rsidR="001F231A" w:rsidRDefault="001F231A" w:rsidP="009B2B5F">
            <w:pPr>
              <w:pStyle w:val="CDIFigure-Table-BodyTextLeft"/>
            </w:pPr>
            <w:r>
              <w:t>Lymphadenopathy</w:t>
            </w:r>
          </w:p>
        </w:tc>
        <w:tc>
          <w:tcPr>
            <w:tcW w:w="1488" w:type="dxa"/>
            <w:tcMar>
              <w:top w:w="79" w:type="dxa"/>
              <w:left w:w="113" w:type="dxa"/>
              <w:bottom w:w="79" w:type="dxa"/>
              <w:right w:w="113" w:type="dxa"/>
            </w:tcMar>
            <w:vAlign w:val="center"/>
          </w:tcPr>
          <w:p w14:paraId="41720429" w14:textId="77777777" w:rsidR="001F231A" w:rsidRDefault="001F231A" w:rsidP="009B2B5F">
            <w:pPr>
              <w:pStyle w:val="CDIFigure-Table-BodyTextCentre"/>
            </w:pPr>
            <w:r>
              <w:t>4,105 (3.7)</w:t>
            </w:r>
          </w:p>
        </w:tc>
        <w:tc>
          <w:tcPr>
            <w:tcW w:w="1488" w:type="dxa"/>
            <w:tcMar>
              <w:top w:w="79" w:type="dxa"/>
              <w:left w:w="113" w:type="dxa"/>
              <w:bottom w:w="79" w:type="dxa"/>
              <w:right w:w="113" w:type="dxa"/>
            </w:tcMar>
            <w:vAlign w:val="center"/>
          </w:tcPr>
          <w:p w14:paraId="4E16635F" w14:textId="77777777" w:rsidR="001F231A" w:rsidRDefault="001F231A" w:rsidP="009B2B5F">
            <w:pPr>
              <w:pStyle w:val="CDIFigure-Table-BodyTextCentre"/>
            </w:pPr>
            <w:r>
              <w:t>753 (18.3)</w:t>
            </w:r>
          </w:p>
        </w:tc>
        <w:tc>
          <w:tcPr>
            <w:tcW w:w="1489" w:type="dxa"/>
            <w:tcMar>
              <w:top w:w="79" w:type="dxa"/>
              <w:left w:w="113" w:type="dxa"/>
              <w:bottom w:w="79" w:type="dxa"/>
              <w:right w:w="113" w:type="dxa"/>
            </w:tcMar>
            <w:vAlign w:val="center"/>
          </w:tcPr>
          <w:p w14:paraId="4BEF227B" w14:textId="77777777" w:rsidR="001F231A" w:rsidRDefault="001F231A" w:rsidP="009B2B5F">
            <w:pPr>
              <w:pStyle w:val="CDIFigure-Table-BodyTextCentre"/>
            </w:pPr>
            <w:r>
              <w:t>68 (1.7)</w:t>
            </w:r>
          </w:p>
        </w:tc>
        <w:tc>
          <w:tcPr>
            <w:tcW w:w="1488" w:type="dxa"/>
            <w:tcMar>
              <w:top w:w="79" w:type="dxa"/>
              <w:left w:w="113" w:type="dxa"/>
              <w:bottom w:w="79" w:type="dxa"/>
              <w:right w:w="113" w:type="dxa"/>
            </w:tcMar>
            <w:vAlign w:val="center"/>
          </w:tcPr>
          <w:p w14:paraId="300AA2E6" w14:textId="77777777" w:rsidR="001F231A" w:rsidRDefault="001F231A" w:rsidP="009B2B5F">
            <w:pPr>
              <w:pStyle w:val="CDIFigure-Table-BodyTextCentre"/>
            </w:pPr>
            <w:r>
              <w:t>3,455 (84.2)</w:t>
            </w:r>
          </w:p>
        </w:tc>
        <w:tc>
          <w:tcPr>
            <w:tcW w:w="1488" w:type="dxa"/>
            <w:tcMar>
              <w:top w:w="79" w:type="dxa"/>
              <w:left w:w="113" w:type="dxa"/>
              <w:bottom w:w="79" w:type="dxa"/>
              <w:right w:w="113" w:type="dxa"/>
            </w:tcMar>
            <w:vAlign w:val="center"/>
          </w:tcPr>
          <w:p w14:paraId="23181FB5" w14:textId="77777777" w:rsidR="001F231A" w:rsidRDefault="001F231A" w:rsidP="009B2B5F">
            <w:pPr>
              <w:pStyle w:val="CDIFigure-Table-BodyTextCentre"/>
            </w:pPr>
            <w:r>
              <w:t>385 (9.4)</w:t>
            </w:r>
          </w:p>
        </w:tc>
        <w:tc>
          <w:tcPr>
            <w:tcW w:w="1489" w:type="dxa"/>
            <w:tcMar>
              <w:top w:w="79" w:type="dxa"/>
              <w:left w:w="113" w:type="dxa"/>
              <w:bottom w:w="79" w:type="dxa"/>
              <w:right w:w="113" w:type="dxa"/>
            </w:tcMar>
            <w:vAlign w:val="center"/>
          </w:tcPr>
          <w:p w14:paraId="6F852789" w14:textId="77777777" w:rsidR="001F231A" w:rsidRDefault="001F231A" w:rsidP="009B2B5F">
            <w:pPr>
              <w:pStyle w:val="CDIFigure-Table-BodyTextCentre"/>
            </w:pPr>
            <w:r>
              <w:t>432 (10.5)</w:t>
            </w:r>
          </w:p>
        </w:tc>
      </w:tr>
      <w:tr w:rsidR="00B92C70" w14:paraId="117B663B"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654B1D04" w14:textId="77777777" w:rsidR="001F231A" w:rsidRDefault="001F231A" w:rsidP="009B2B5F">
            <w:pPr>
              <w:pStyle w:val="CDIFigure-Table-BodyTextLeft"/>
            </w:pPr>
            <w:r>
              <w:t>Noninfectious myocarditis/pericarditis</w:t>
            </w:r>
          </w:p>
        </w:tc>
        <w:tc>
          <w:tcPr>
            <w:tcW w:w="1488" w:type="dxa"/>
            <w:shd w:val="clear" w:color="auto" w:fill="F2F2F2" w:themeFill="background1" w:themeFillShade="F2"/>
            <w:tcMar>
              <w:top w:w="79" w:type="dxa"/>
              <w:left w:w="113" w:type="dxa"/>
              <w:bottom w:w="79" w:type="dxa"/>
              <w:right w:w="113" w:type="dxa"/>
            </w:tcMar>
            <w:vAlign w:val="center"/>
          </w:tcPr>
          <w:p w14:paraId="0DA50177" w14:textId="77777777" w:rsidR="001F231A" w:rsidRDefault="001F231A" w:rsidP="009B2B5F">
            <w:pPr>
              <w:pStyle w:val="CDIFigure-Table-BodyTextCentre"/>
            </w:pPr>
            <w:r>
              <w:t>4,041 (3.6)</w:t>
            </w:r>
          </w:p>
        </w:tc>
        <w:tc>
          <w:tcPr>
            <w:tcW w:w="1488" w:type="dxa"/>
            <w:shd w:val="clear" w:color="auto" w:fill="F2F2F2" w:themeFill="background1" w:themeFillShade="F2"/>
            <w:tcMar>
              <w:top w:w="79" w:type="dxa"/>
              <w:left w:w="113" w:type="dxa"/>
              <w:bottom w:w="79" w:type="dxa"/>
              <w:right w:w="113" w:type="dxa"/>
            </w:tcMar>
            <w:vAlign w:val="center"/>
          </w:tcPr>
          <w:p w14:paraId="0E35F1FF" w14:textId="77777777" w:rsidR="001F231A" w:rsidRDefault="001F231A" w:rsidP="009B2B5F">
            <w:pPr>
              <w:pStyle w:val="CDIFigure-Table-BodyTextCentre"/>
            </w:pPr>
            <w:r>
              <w:t>1,147 (28.4)</w:t>
            </w:r>
          </w:p>
        </w:tc>
        <w:tc>
          <w:tcPr>
            <w:tcW w:w="1489" w:type="dxa"/>
            <w:shd w:val="clear" w:color="auto" w:fill="F2F2F2" w:themeFill="background1" w:themeFillShade="F2"/>
            <w:tcMar>
              <w:top w:w="79" w:type="dxa"/>
              <w:left w:w="113" w:type="dxa"/>
              <w:bottom w:w="79" w:type="dxa"/>
              <w:right w:w="113" w:type="dxa"/>
            </w:tcMar>
            <w:vAlign w:val="center"/>
          </w:tcPr>
          <w:p w14:paraId="46918D37" w14:textId="77777777" w:rsidR="001F231A" w:rsidRDefault="001F231A" w:rsidP="009B2B5F">
            <w:pPr>
              <w:pStyle w:val="CDIFigure-Table-BodyTextCentre"/>
            </w:pPr>
            <w:r>
              <w:t>214 (5.3)</w:t>
            </w:r>
          </w:p>
        </w:tc>
        <w:tc>
          <w:tcPr>
            <w:tcW w:w="1488" w:type="dxa"/>
            <w:shd w:val="clear" w:color="auto" w:fill="F2F2F2" w:themeFill="background1" w:themeFillShade="F2"/>
            <w:tcMar>
              <w:top w:w="79" w:type="dxa"/>
              <w:left w:w="113" w:type="dxa"/>
              <w:bottom w:w="79" w:type="dxa"/>
              <w:right w:w="113" w:type="dxa"/>
            </w:tcMar>
            <w:vAlign w:val="center"/>
          </w:tcPr>
          <w:p w14:paraId="58E35F0E" w14:textId="77777777" w:rsidR="001F231A" w:rsidRDefault="001F231A" w:rsidP="009B2B5F">
            <w:pPr>
              <w:pStyle w:val="CDIFigure-Table-BodyTextCentre"/>
            </w:pPr>
            <w:r>
              <w:t>3,538 (87.6)</w:t>
            </w:r>
          </w:p>
        </w:tc>
        <w:tc>
          <w:tcPr>
            <w:tcW w:w="1488" w:type="dxa"/>
            <w:shd w:val="clear" w:color="auto" w:fill="F2F2F2" w:themeFill="background1" w:themeFillShade="F2"/>
            <w:tcMar>
              <w:top w:w="79" w:type="dxa"/>
              <w:left w:w="113" w:type="dxa"/>
              <w:bottom w:w="79" w:type="dxa"/>
              <w:right w:w="113" w:type="dxa"/>
            </w:tcMar>
            <w:vAlign w:val="center"/>
          </w:tcPr>
          <w:p w14:paraId="25C28164" w14:textId="77777777" w:rsidR="001F231A" w:rsidRDefault="001F231A" w:rsidP="009B2B5F">
            <w:pPr>
              <w:pStyle w:val="CDIFigure-Table-BodyTextCentre"/>
            </w:pPr>
            <w:r>
              <w:t>170 (4.2)</w:t>
            </w:r>
          </w:p>
        </w:tc>
        <w:tc>
          <w:tcPr>
            <w:tcW w:w="1489" w:type="dxa"/>
            <w:shd w:val="clear" w:color="auto" w:fill="F2F2F2" w:themeFill="background1" w:themeFillShade="F2"/>
            <w:tcMar>
              <w:top w:w="79" w:type="dxa"/>
              <w:left w:w="113" w:type="dxa"/>
              <w:bottom w:w="79" w:type="dxa"/>
              <w:right w:w="113" w:type="dxa"/>
            </w:tcMar>
            <w:vAlign w:val="center"/>
          </w:tcPr>
          <w:p w14:paraId="31EAA2FC" w14:textId="77777777" w:rsidR="001F231A" w:rsidRDefault="001F231A" w:rsidP="009B2B5F">
            <w:pPr>
              <w:pStyle w:val="CDIFigure-Table-BodyTextCentre"/>
            </w:pPr>
            <w:r>
              <w:t>1,412 (34.9)</w:t>
            </w:r>
          </w:p>
        </w:tc>
      </w:tr>
      <w:tr w:rsidR="001F231A" w14:paraId="4CBDD1FC" w14:textId="77777777" w:rsidTr="00B92C70">
        <w:trPr>
          <w:divId w:val="935526654"/>
          <w:trHeight w:val="20"/>
        </w:trPr>
        <w:tc>
          <w:tcPr>
            <w:tcW w:w="5386" w:type="dxa"/>
            <w:tcMar>
              <w:top w:w="79" w:type="dxa"/>
              <w:left w:w="113" w:type="dxa"/>
              <w:bottom w:w="79" w:type="dxa"/>
              <w:right w:w="113" w:type="dxa"/>
            </w:tcMar>
            <w:vAlign w:val="center"/>
          </w:tcPr>
          <w:p w14:paraId="460DA041" w14:textId="77777777" w:rsidR="001F231A" w:rsidRDefault="001F231A" w:rsidP="009B2B5F">
            <w:pPr>
              <w:pStyle w:val="CDIFigure-Table-BodyTextLeft"/>
            </w:pPr>
            <w:r>
              <w:t>Chest discomfort</w:t>
            </w:r>
          </w:p>
        </w:tc>
        <w:tc>
          <w:tcPr>
            <w:tcW w:w="1488" w:type="dxa"/>
            <w:tcMar>
              <w:top w:w="79" w:type="dxa"/>
              <w:left w:w="113" w:type="dxa"/>
              <w:bottom w:w="79" w:type="dxa"/>
              <w:right w:w="113" w:type="dxa"/>
            </w:tcMar>
            <w:vAlign w:val="center"/>
          </w:tcPr>
          <w:p w14:paraId="13C9A7A5" w14:textId="77777777" w:rsidR="001F231A" w:rsidRDefault="001F231A" w:rsidP="009B2B5F">
            <w:pPr>
              <w:pStyle w:val="CDIFigure-Table-BodyTextCentre"/>
            </w:pPr>
            <w:r>
              <w:t>3,749 (3.4)</w:t>
            </w:r>
          </w:p>
        </w:tc>
        <w:tc>
          <w:tcPr>
            <w:tcW w:w="1488" w:type="dxa"/>
            <w:tcMar>
              <w:top w:w="79" w:type="dxa"/>
              <w:left w:w="113" w:type="dxa"/>
              <w:bottom w:w="79" w:type="dxa"/>
              <w:right w:w="113" w:type="dxa"/>
            </w:tcMar>
            <w:vAlign w:val="center"/>
          </w:tcPr>
          <w:p w14:paraId="3A312A1A" w14:textId="77777777" w:rsidR="001F231A" w:rsidRDefault="001F231A" w:rsidP="009B2B5F">
            <w:pPr>
              <w:pStyle w:val="CDIFigure-Table-BodyTextCentre"/>
            </w:pPr>
            <w:r>
              <w:t>185 (4.9)</w:t>
            </w:r>
          </w:p>
        </w:tc>
        <w:tc>
          <w:tcPr>
            <w:tcW w:w="1489" w:type="dxa"/>
            <w:tcMar>
              <w:top w:w="79" w:type="dxa"/>
              <w:left w:w="113" w:type="dxa"/>
              <w:bottom w:w="79" w:type="dxa"/>
              <w:right w:w="113" w:type="dxa"/>
            </w:tcMar>
            <w:vAlign w:val="center"/>
          </w:tcPr>
          <w:p w14:paraId="0B28F407" w14:textId="77777777" w:rsidR="001F231A" w:rsidRDefault="001F231A" w:rsidP="009B2B5F">
            <w:pPr>
              <w:pStyle w:val="CDIFigure-Table-BodyTextCentre"/>
            </w:pPr>
            <w:r>
              <w:t>96 (2.6)</w:t>
            </w:r>
          </w:p>
        </w:tc>
        <w:tc>
          <w:tcPr>
            <w:tcW w:w="1488" w:type="dxa"/>
            <w:tcMar>
              <w:top w:w="79" w:type="dxa"/>
              <w:left w:w="113" w:type="dxa"/>
              <w:bottom w:w="79" w:type="dxa"/>
              <w:right w:w="113" w:type="dxa"/>
            </w:tcMar>
            <w:vAlign w:val="center"/>
          </w:tcPr>
          <w:p w14:paraId="3D265615" w14:textId="77777777" w:rsidR="001F231A" w:rsidRDefault="001F231A" w:rsidP="009B2B5F">
            <w:pPr>
              <w:pStyle w:val="CDIFigure-Table-BodyTextCentre"/>
            </w:pPr>
            <w:r>
              <w:t>3,115 (83.1)</w:t>
            </w:r>
          </w:p>
        </w:tc>
        <w:tc>
          <w:tcPr>
            <w:tcW w:w="1488" w:type="dxa"/>
            <w:tcMar>
              <w:top w:w="79" w:type="dxa"/>
              <w:left w:w="113" w:type="dxa"/>
              <w:bottom w:w="79" w:type="dxa"/>
              <w:right w:w="113" w:type="dxa"/>
            </w:tcMar>
            <w:vAlign w:val="center"/>
          </w:tcPr>
          <w:p w14:paraId="02C13D8C" w14:textId="77777777" w:rsidR="001F231A" w:rsidRDefault="001F231A" w:rsidP="009B2B5F">
            <w:pPr>
              <w:pStyle w:val="CDIFigure-Table-BodyTextCentre"/>
            </w:pPr>
            <w:r>
              <w:t>416 (11.1)</w:t>
            </w:r>
          </w:p>
        </w:tc>
        <w:tc>
          <w:tcPr>
            <w:tcW w:w="1489" w:type="dxa"/>
            <w:tcMar>
              <w:top w:w="79" w:type="dxa"/>
              <w:left w:w="113" w:type="dxa"/>
              <w:bottom w:w="79" w:type="dxa"/>
              <w:right w:w="113" w:type="dxa"/>
            </w:tcMar>
            <w:vAlign w:val="center"/>
          </w:tcPr>
          <w:p w14:paraId="4A62D623" w14:textId="77777777" w:rsidR="001F231A" w:rsidRDefault="001F231A" w:rsidP="009B2B5F">
            <w:pPr>
              <w:pStyle w:val="CDIFigure-Table-BodyTextCentre"/>
            </w:pPr>
            <w:r>
              <w:t>776 (20.7)</w:t>
            </w:r>
          </w:p>
        </w:tc>
      </w:tr>
      <w:tr w:rsidR="00B92C70" w14:paraId="5D7E2174"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92D9627" w14:textId="77777777" w:rsidR="001F231A" w:rsidRDefault="001F231A" w:rsidP="009B2B5F">
            <w:pPr>
              <w:pStyle w:val="CDIFigure-Table-BodyTextLeft"/>
            </w:pPr>
            <w:r>
              <w:lastRenderedPageBreak/>
              <w:t>Influenza like illness</w:t>
            </w:r>
          </w:p>
        </w:tc>
        <w:tc>
          <w:tcPr>
            <w:tcW w:w="1488" w:type="dxa"/>
            <w:shd w:val="clear" w:color="auto" w:fill="F2F2F2" w:themeFill="background1" w:themeFillShade="F2"/>
            <w:tcMar>
              <w:top w:w="79" w:type="dxa"/>
              <w:left w:w="113" w:type="dxa"/>
              <w:bottom w:w="79" w:type="dxa"/>
              <w:right w:w="113" w:type="dxa"/>
            </w:tcMar>
            <w:vAlign w:val="center"/>
          </w:tcPr>
          <w:p w14:paraId="54E61555" w14:textId="77777777" w:rsidR="001F231A" w:rsidRDefault="001F231A" w:rsidP="009B2B5F">
            <w:pPr>
              <w:pStyle w:val="CDIFigure-Table-BodyTextCentre"/>
            </w:pPr>
            <w:r>
              <w:t>3,680 (3.3)</w:t>
            </w:r>
          </w:p>
        </w:tc>
        <w:tc>
          <w:tcPr>
            <w:tcW w:w="1488" w:type="dxa"/>
            <w:shd w:val="clear" w:color="auto" w:fill="F2F2F2" w:themeFill="background1" w:themeFillShade="F2"/>
            <w:tcMar>
              <w:top w:w="79" w:type="dxa"/>
              <w:left w:w="113" w:type="dxa"/>
              <w:bottom w:w="79" w:type="dxa"/>
              <w:right w:w="113" w:type="dxa"/>
            </w:tcMar>
            <w:vAlign w:val="center"/>
          </w:tcPr>
          <w:p w14:paraId="19CD3C71" w14:textId="77777777" w:rsidR="001F231A" w:rsidRDefault="001F231A" w:rsidP="009B2B5F">
            <w:pPr>
              <w:pStyle w:val="CDIFigure-Table-BodyTextCentre"/>
            </w:pPr>
            <w:r>
              <w:t>617 (16.8)</w:t>
            </w:r>
          </w:p>
        </w:tc>
        <w:tc>
          <w:tcPr>
            <w:tcW w:w="1489" w:type="dxa"/>
            <w:shd w:val="clear" w:color="auto" w:fill="F2F2F2" w:themeFill="background1" w:themeFillShade="F2"/>
            <w:tcMar>
              <w:top w:w="79" w:type="dxa"/>
              <w:left w:w="113" w:type="dxa"/>
              <w:bottom w:w="79" w:type="dxa"/>
              <w:right w:w="113" w:type="dxa"/>
            </w:tcMar>
            <w:vAlign w:val="center"/>
          </w:tcPr>
          <w:p w14:paraId="7194775E" w14:textId="77777777" w:rsidR="001F231A" w:rsidRDefault="001F231A" w:rsidP="009B2B5F">
            <w:pPr>
              <w:pStyle w:val="CDIFigure-Table-BodyTextCentre"/>
            </w:pPr>
            <w:r>
              <w:t>29 (0.8)</w:t>
            </w:r>
          </w:p>
        </w:tc>
        <w:tc>
          <w:tcPr>
            <w:tcW w:w="1488" w:type="dxa"/>
            <w:shd w:val="clear" w:color="auto" w:fill="F2F2F2" w:themeFill="background1" w:themeFillShade="F2"/>
            <w:tcMar>
              <w:top w:w="79" w:type="dxa"/>
              <w:left w:w="113" w:type="dxa"/>
              <w:bottom w:w="79" w:type="dxa"/>
              <w:right w:w="113" w:type="dxa"/>
            </w:tcMar>
            <w:vAlign w:val="center"/>
          </w:tcPr>
          <w:p w14:paraId="67B43374" w14:textId="77777777" w:rsidR="001F231A" w:rsidRDefault="001F231A" w:rsidP="009B2B5F">
            <w:pPr>
              <w:pStyle w:val="CDIFigure-Table-BodyTextCentre"/>
            </w:pPr>
            <w:r>
              <w:t>2,484 (67.5)</w:t>
            </w:r>
          </w:p>
        </w:tc>
        <w:tc>
          <w:tcPr>
            <w:tcW w:w="1488" w:type="dxa"/>
            <w:shd w:val="clear" w:color="auto" w:fill="F2F2F2" w:themeFill="background1" w:themeFillShade="F2"/>
            <w:tcMar>
              <w:top w:w="79" w:type="dxa"/>
              <w:left w:w="113" w:type="dxa"/>
              <w:bottom w:w="79" w:type="dxa"/>
              <w:right w:w="113" w:type="dxa"/>
            </w:tcMar>
            <w:vAlign w:val="center"/>
          </w:tcPr>
          <w:p w14:paraId="0726CEF9" w14:textId="77777777" w:rsidR="001F231A" w:rsidRDefault="001F231A" w:rsidP="009B2B5F">
            <w:pPr>
              <w:pStyle w:val="CDIFigure-Table-BodyTextCentre"/>
            </w:pPr>
            <w:r>
              <w:t>962 (26.1)</w:t>
            </w:r>
          </w:p>
        </w:tc>
        <w:tc>
          <w:tcPr>
            <w:tcW w:w="1489" w:type="dxa"/>
            <w:shd w:val="clear" w:color="auto" w:fill="F2F2F2" w:themeFill="background1" w:themeFillShade="F2"/>
            <w:tcMar>
              <w:top w:w="79" w:type="dxa"/>
              <w:left w:w="113" w:type="dxa"/>
              <w:bottom w:w="79" w:type="dxa"/>
              <w:right w:w="113" w:type="dxa"/>
            </w:tcMar>
            <w:vAlign w:val="center"/>
          </w:tcPr>
          <w:p w14:paraId="76DED429" w14:textId="77777777" w:rsidR="001F231A" w:rsidRDefault="001F231A" w:rsidP="009B2B5F">
            <w:pPr>
              <w:pStyle w:val="CDIFigure-Table-BodyTextCentre"/>
            </w:pPr>
            <w:r>
              <w:t>407 (11.1)</w:t>
            </w:r>
          </w:p>
        </w:tc>
      </w:tr>
      <w:tr w:rsidR="001F231A" w14:paraId="13CCD2B2" w14:textId="77777777" w:rsidTr="00B92C70">
        <w:trPr>
          <w:divId w:val="935526654"/>
          <w:trHeight w:val="20"/>
        </w:trPr>
        <w:tc>
          <w:tcPr>
            <w:tcW w:w="5386" w:type="dxa"/>
            <w:tcMar>
              <w:top w:w="79" w:type="dxa"/>
              <w:left w:w="113" w:type="dxa"/>
              <w:bottom w:w="79" w:type="dxa"/>
              <w:right w:w="113" w:type="dxa"/>
            </w:tcMar>
            <w:vAlign w:val="center"/>
          </w:tcPr>
          <w:p w14:paraId="4AD64305" w14:textId="77777777" w:rsidR="001F231A" w:rsidRDefault="001F231A" w:rsidP="009B2B5F">
            <w:pPr>
              <w:pStyle w:val="CDIFigure-Table-BodyTextLeft"/>
            </w:pPr>
            <w:r>
              <w:t>Malaise</w:t>
            </w:r>
          </w:p>
        </w:tc>
        <w:tc>
          <w:tcPr>
            <w:tcW w:w="1488" w:type="dxa"/>
            <w:tcMar>
              <w:top w:w="79" w:type="dxa"/>
              <w:left w:w="113" w:type="dxa"/>
              <w:bottom w:w="79" w:type="dxa"/>
              <w:right w:w="113" w:type="dxa"/>
            </w:tcMar>
            <w:vAlign w:val="center"/>
          </w:tcPr>
          <w:p w14:paraId="18D5F587" w14:textId="77777777" w:rsidR="001F231A" w:rsidRDefault="001F231A" w:rsidP="009B2B5F">
            <w:pPr>
              <w:pStyle w:val="CDIFigure-Table-BodyTextCentre"/>
            </w:pPr>
            <w:r>
              <w:t>3,611 (3.2)</w:t>
            </w:r>
          </w:p>
        </w:tc>
        <w:tc>
          <w:tcPr>
            <w:tcW w:w="1488" w:type="dxa"/>
            <w:tcMar>
              <w:top w:w="79" w:type="dxa"/>
              <w:left w:w="113" w:type="dxa"/>
              <w:bottom w:w="79" w:type="dxa"/>
              <w:right w:w="113" w:type="dxa"/>
            </w:tcMar>
            <w:vAlign w:val="center"/>
          </w:tcPr>
          <w:p w14:paraId="6339064C" w14:textId="77777777" w:rsidR="001F231A" w:rsidRDefault="001F231A" w:rsidP="009B2B5F">
            <w:pPr>
              <w:pStyle w:val="CDIFigure-Table-BodyTextCentre"/>
            </w:pPr>
            <w:r>
              <w:t>64 (1.8)</w:t>
            </w:r>
          </w:p>
        </w:tc>
        <w:tc>
          <w:tcPr>
            <w:tcW w:w="1489" w:type="dxa"/>
            <w:tcMar>
              <w:top w:w="79" w:type="dxa"/>
              <w:left w:w="113" w:type="dxa"/>
              <w:bottom w:w="79" w:type="dxa"/>
              <w:right w:w="113" w:type="dxa"/>
            </w:tcMar>
            <w:vAlign w:val="center"/>
          </w:tcPr>
          <w:p w14:paraId="1DB36BAD" w14:textId="77777777" w:rsidR="001F231A" w:rsidRDefault="001F231A" w:rsidP="009B2B5F">
            <w:pPr>
              <w:pStyle w:val="CDIFigure-Table-BodyTextCentre"/>
            </w:pPr>
            <w:r>
              <w:t>50 (1.4)</w:t>
            </w:r>
          </w:p>
        </w:tc>
        <w:tc>
          <w:tcPr>
            <w:tcW w:w="1488" w:type="dxa"/>
            <w:tcMar>
              <w:top w:w="79" w:type="dxa"/>
              <w:left w:w="113" w:type="dxa"/>
              <w:bottom w:w="79" w:type="dxa"/>
              <w:right w:w="113" w:type="dxa"/>
            </w:tcMar>
            <w:vAlign w:val="center"/>
          </w:tcPr>
          <w:p w14:paraId="07368C11" w14:textId="77777777" w:rsidR="001F231A" w:rsidRDefault="001F231A" w:rsidP="009B2B5F">
            <w:pPr>
              <w:pStyle w:val="CDIFigure-Table-BodyTextCentre"/>
            </w:pPr>
            <w:r>
              <w:t>2,108 (58.4)</w:t>
            </w:r>
          </w:p>
        </w:tc>
        <w:tc>
          <w:tcPr>
            <w:tcW w:w="1488" w:type="dxa"/>
            <w:tcMar>
              <w:top w:w="79" w:type="dxa"/>
              <w:left w:w="113" w:type="dxa"/>
              <w:bottom w:w="79" w:type="dxa"/>
              <w:right w:w="113" w:type="dxa"/>
            </w:tcMar>
            <w:vAlign w:val="center"/>
          </w:tcPr>
          <w:p w14:paraId="52A80ED7" w14:textId="77777777" w:rsidR="001F231A" w:rsidRDefault="001F231A" w:rsidP="009B2B5F">
            <w:pPr>
              <w:pStyle w:val="CDIFigure-Table-BodyTextCentre"/>
            </w:pPr>
            <w:r>
              <w:t>1,217 (33.7)</w:t>
            </w:r>
          </w:p>
        </w:tc>
        <w:tc>
          <w:tcPr>
            <w:tcW w:w="1489" w:type="dxa"/>
            <w:tcMar>
              <w:top w:w="79" w:type="dxa"/>
              <w:left w:w="113" w:type="dxa"/>
              <w:bottom w:w="79" w:type="dxa"/>
              <w:right w:w="113" w:type="dxa"/>
            </w:tcMar>
            <w:vAlign w:val="center"/>
          </w:tcPr>
          <w:p w14:paraId="144E1D75" w14:textId="77777777" w:rsidR="001F231A" w:rsidRDefault="001F231A" w:rsidP="009B2B5F">
            <w:pPr>
              <w:pStyle w:val="CDIFigure-Table-BodyTextCentre"/>
            </w:pPr>
            <w:r>
              <w:t>577 (16.0)</w:t>
            </w:r>
          </w:p>
        </w:tc>
      </w:tr>
      <w:tr w:rsidR="00B92C70" w14:paraId="72B1B348"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33BBAB31" w14:textId="77777777" w:rsidR="001F231A" w:rsidRDefault="001F231A" w:rsidP="009B2B5F">
            <w:pPr>
              <w:pStyle w:val="CDIFigure-Table-BodyTextLeft"/>
            </w:pPr>
            <w:r>
              <w:t>Haemodynamic oedema, effusions and fluid overload</w:t>
            </w:r>
          </w:p>
        </w:tc>
        <w:tc>
          <w:tcPr>
            <w:tcW w:w="1488" w:type="dxa"/>
            <w:shd w:val="clear" w:color="auto" w:fill="F2F2F2" w:themeFill="background1" w:themeFillShade="F2"/>
            <w:tcMar>
              <w:top w:w="79" w:type="dxa"/>
              <w:left w:w="113" w:type="dxa"/>
              <w:bottom w:w="79" w:type="dxa"/>
              <w:right w:w="113" w:type="dxa"/>
            </w:tcMar>
            <w:vAlign w:val="center"/>
          </w:tcPr>
          <w:p w14:paraId="41A336F1" w14:textId="77777777" w:rsidR="001F231A" w:rsidRDefault="001F231A" w:rsidP="009B2B5F">
            <w:pPr>
              <w:pStyle w:val="CDIFigure-Table-BodyTextCentre"/>
            </w:pPr>
            <w:r>
              <w:t>3,380 (3.0)</w:t>
            </w:r>
          </w:p>
        </w:tc>
        <w:tc>
          <w:tcPr>
            <w:tcW w:w="1488" w:type="dxa"/>
            <w:shd w:val="clear" w:color="auto" w:fill="F2F2F2" w:themeFill="background1" w:themeFillShade="F2"/>
            <w:tcMar>
              <w:top w:w="79" w:type="dxa"/>
              <w:left w:w="113" w:type="dxa"/>
              <w:bottom w:w="79" w:type="dxa"/>
              <w:right w:w="113" w:type="dxa"/>
            </w:tcMar>
            <w:vAlign w:val="center"/>
          </w:tcPr>
          <w:p w14:paraId="2D7F819C" w14:textId="77777777" w:rsidR="001F231A" w:rsidRDefault="001F231A" w:rsidP="009B2B5F">
            <w:pPr>
              <w:pStyle w:val="CDIFigure-Table-BodyTextCentre"/>
            </w:pPr>
            <w:r>
              <w:t>259 (7.7)</w:t>
            </w:r>
          </w:p>
        </w:tc>
        <w:tc>
          <w:tcPr>
            <w:tcW w:w="1489" w:type="dxa"/>
            <w:shd w:val="clear" w:color="auto" w:fill="F2F2F2" w:themeFill="background1" w:themeFillShade="F2"/>
            <w:tcMar>
              <w:top w:w="79" w:type="dxa"/>
              <w:left w:w="113" w:type="dxa"/>
              <w:bottom w:w="79" w:type="dxa"/>
              <w:right w:w="113" w:type="dxa"/>
            </w:tcMar>
            <w:vAlign w:val="center"/>
          </w:tcPr>
          <w:p w14:paraId="0F9C1125" w14:textId="77777777" w:rsidR="001F231A" w:rsidRDefault="001F231A" w:rsidP="009B2B5F">
            <w:pPr>
              <w:pStyle w:val="CDIFigure-Table-BodyTextCentre"/>
            </w:pPr>
            <w:r>
              <w:t>26 (0.8)</w:t>
            </w:r>
          </w:p>
        </w:tc>
        <w:tc>
          <w:tcPr>
            <w:tcW w:w="1488" w:type="dxa"/>
            <w:shd w:val="clear" w:color="auto" w:fill="F2F2F2" w:themeFill="background1" w:themeFillShade="F2"/>
            <w:tcMar>
              <w:top w:w="79" w:type="dxa"/>
              <w:left w:w="113" w:type="dxa"/>
              <w:bottom w:w="79" w:type="dxa"/>
              <w:right w:w="113" w:type="dxa"/>
            </w:tcMar>
            <w:vAlign w:val="center"/>
          </w:tcPr>
          <w:p w14:paraId="714A7940" w14:textId="77777777" w:rsidR="001F231A" w:rsidRDefault="001F231A" w:rsidP="009B2B5F">
            <w:pPr>
              <w:pStyle w:val="CDIFigure-Table-BodyTextCentre"/>
            </w:pPr>
            <w:r>
              <w:t>2,245 (66.4)</w:t>
            </w:r>
          </w:p>
        </w:tc>
        <w:tc>
          <w:tcPr>
            <w:tcW w:w="1488" w:type="dxa"/>
            <w:shd w:val="clear" w:color="auto" w:fill="F2F2F2" w:themeFill="background1" w:themeFillShade="F2"/>
            <w:tcMar>
              <w:top w:w="79" w:type="dxa"/>
              <w:left w:w="113" w:type="dxa"/>
              <w:bottom w:w="79" w:type="dxa"/>
              <w:right w:w="113" w:type="dxa"/>
            </w:tcMar>
            <w:vAlign w:val="center"/>
          </w:tcPr>
          <w:p w14:paraId="511A9106" w14:textId="77777777" w:rsidR="001F231A" w:rsidRDefault="001F231A" w:rsidP="009B2B5F">
            <w:pPr>
              <w:pStyle w:val="CDIFigure-Table-BodyTextCentre"/>
            </w:pPr>
            <w:r>
              <w:t>978 (28.9)</w:t>
            </w:r>
          </w:p>
        </w:tc>
        <w:tc>
          <w:tcPr>
            <w:tcW w:w="1489" w:type="dxa"/>
            <w:shd w:val="clear" w:color="auto" w:fill="F2F2F2" w:themeFill="background1" w:themeFillShade="F2"/>
            <w:tcMar>
              <w:top w:w="79" w:type="dxa"/>
              <w:left w:w="113" w:type="dxa"/>
              <w:bottom w:w="79" w:type="dxa"/>
              <w:right w:w="113" w:type="dxa"/>
            </w:tcMar>
            <w:vAlign w:val="center"/>
          </w:tcPr>
          <w:p w14:paraId="033A67ED" w14:textId="77777777" w:rsidR="001F231A" w:rsidRDefault="001F231A" w:rsidP="009B2B5F">
            <w:pPr>
              <w:pStyle w:val="CDIFigure-Table-BodyTextCentre"/>
            </w:pPr>
            <w:r>
              <w:t>695 (20.6)</w:t>
            </w:r>
          </w:p>
        </w:tc>
      </w:tr>
      <w:tr w:rsidR="001F231A" w14:paraId="15D7A75C" w14:textId="77777777" w:rsidTr="00B92C70">
        <w:trPr>
          <w:divId w:val="935526654"/>
          <w:trHeight w:val="20"/>
        </w:trPr>
        <w:tc>
          <w:tcPr>
            <w:tcW w:w="5386" w:type="dxa"/>
            <w:tcMar>
              <w:top w:w="79" w:type="dxa"/>
              <w:left w:w="113" w:type="dxa"/>
              <w:bottom w:w="79" w:type="dxa"/>
              <w:right w:w="113" w:type="dxa"/>
            </w:tcMar>
            <w:vAlign w:val="center"/>
          </w:tcPr>
          <w:p w14:paraId="2637B63D" w14:textId="77777777" w:rsidR="001F231A" w:rsidRDefault="001F231A" w:rsidP="009B2B5F">
            <w:pPr>
              <w:pStyle w:val="CDIFigure-Table-BodyTextLeft"/>
            </w:pPr>
            <w:r>
              <w:t>Syncope</w:t>
            </w:r>
          </w:p>
        </w:tc>
        <w:tc>
          <w:tcPr>
            <w:tcW w:w="1488" w:type="dxa"/>
            <w:tcMar>
              <w:top w:w="79" w:type="dxa"/>
              <w:left w:w="113" w:type="dxa"/>
              <w:bottom w:w="79" w:type="dxa"/>
              <w:right w:w="113" w:type="dxa"/>
            </w:tcMar>
            <w:vAlign w:val="center"/>
          </w:tcPr>
          <w:p w14:paraId="42570DEA" w14:textId="77777777" w:rsidR="001F231A" w:rsidRDefault="001F231A" w:rsidP="009B2B5F">
            <w:pPr>
              <w:pStyle w:val="CDIFigure-Table-BodyTextCentre"/>
            </w:pPr>
            <w:r>
              <w:t>3,199 (2.9)</w:t>
            </w:r>
          </w:p>
        </w:tc>
        <w:tc>
          <w:tcPr>
            <w:tcW w:w="1488" w:type="dxa"/>
            <w:tcMar>
              <w:top w:w="79" w:type="dxa"/>
              <w:left w:w="113" w:type="dxa"/>
              <w:bottom w:w="79" w:type="dxa"/>
              <w:right w:w="113" w:type="dxa"/>
            </w:tcMar>
            <w:vAlign w:val="center"/>
          </w:tcPr>
          <w:p w14:paraId="20BD95FD" w14:textId="77777777" w:rsidR="001F231A" w:rsidRDefault="001F231A" w:rsidP="009B2B5F">
            <w:pPr>
              <w:pStyle w:val="CDIFigure-Table-BodyTextCentre"/>
            </w:pPr>
            <w:r>
              <w:t>813 (25.4)</w:t>
            </w:r>
          </w:p>
        </w:tc>
        <w:tc>
          <w:tcPr>
            <w:tcW w:w="1489" w:type="dxa"/>
            <w:tcMar>
              <w:top w:w="79" w:type="dxa"/>
              <w:left w:w="113" w:type="dxa"/>
              <w:bottom w:w="79" w:type="dxa"/>
              <w:right w:w="113" w:type="dxa"/>
            </w:tcMar>
            <w:vAlign w:val="center"/>
          </w:tcPr>
          <w:p w14:paraId="242FC56E" w14:textId="77777777" w:rsidR="001F231A" w:rsidRDefault="001F231A" w:rsidP="009B2B5F">
            <w:pPr>
              <w:pStyle w:val="CDIFigure-Table-BodyTextCentre"/>
            </w:pPr>
            <w:r>
              <w:t>176 (5.5)</w:t>
            </w:r>
          </w:p>
        </w:tc>
        <w:tc>
          <w:tcPr>
            <w:tcW w:w="1488" w:type="dxa"/>
            <w:tcMar>
              <w:top w:w="79" w:type="dxa"/>
              <w:left w:w="113" w:type="dxa"/>
              <w:bottom w:w="79" w:type="dxa"/>
              <w:right w:w="113" w:type="dxa"/>
            </w:tcMar>
            <w:vAlign w:val="center"/>
          </w:tcPr>
          <w:p w14:paraId="57B5E17B" w14:textId="77777777" w:rsidR="001F231A" w:rsidRDefault="001F231A" w:rsidP="009B2B5F">
            <w:pPr>
              <w:pStyle w:val="CDIFigure-Table-BodyTextCentre"/>
            </w:pPr>
            <w:r>
              <w:t>2,509 (78.4)</w:t>
            </w:r>
          </w:p>
        </w:tc>
        <w:tc>
          <w:tcPr>
            <w:tcW w:w="1488" w:type="dxa"/>
            <w:tcMar>
              <w:top w:w="79" w:type="dxa"/>
              <w:left w:w="113" w:type="dxa"/>
              <w:bottom w:w="79" w:type="dxa"/>
              <w:right w:w="113" w:type="dxa"/>
            </w:tcMar>
            <w:vAlign w:val="center"/>
          </w:tcPr>
          <w:p w14:paraId="77980153" w14:textId="77777777" w:rsidR="001F231A" w:rsidRDefault="001F231A" w:rsidP="009B2B5F">
            <w:pPr>
              <w:pStyle w:val="CDIFigure-Table-BodyTextCentre"/>
            </w:pPr>
            <w:r>
              <w:t>430 (13.4)</w:t>
            </w:r>
          </w:p>
        </w:tc>
        <w:tc>
          <w:tcPr>
            <w:tcW w:w="1489" w:type="dxa"/>
            <w:tcMar>
              <w:top w:w="79" w:type="dxa"/>
              <w:left w:w="113" w:type="dxa"/>
              <w:bottom w:w="79" w:type="dxa"/>
              <w:right w:w="113" w:type="dxa"/>
            </w:tcMar>
            <w:vAlign w:val="center"/>
          </w:tcPr>
          <w:p w14:paraId="1D77BE99" w14:textId="77777777" w:rsidR="001F231A" w:rsidRDefault="001F231A" w:rsidP="009B2B5F">
            <w:pPr>
              <w:pStyle w:val="CDIFigure-Table-BodyTextCentre"/>
            </w:pPr>
            <w:r>
              <w:t>498 (15.6)</w:t>
            </w:r>
          </w:p>
        </w:tc>
      </w:tr>
      <w:tr w:rsidR="00B92C70" w14:paraId="664CF3EB"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0D3C3B9B" w14:textId="77777777" w:rsidR="001F231A" w:rsidRDefault="001F231A" w:rsidP="009B2B5F">
            <w:pPr>
              <w:pStyle w:val="CDIFigure-Table-BodyTextLeft"/>
            </w:pPr>
            <w:r>
              <w:t>Embolic and thrombotic events, venous</w:t>
            </w:r>
          </w:p>
        </w:tc>
        <w:tc>
          <w:tcPr>
            <w:tcW w:w="1488" w:type="dxa"/>
            <w:shd w:val="clear" w:color="auto" w:fill="F2F2F2" w:themeFill="background1" w:themeFillShade="F2"/>
            <w:tcMar>
              <w:top w:w="79" w:type="dxa"/>
              <w:left w:w="113" w:type="dxa"/>
              <w:bottom w:w="79" w:type="dxa"/>
              <w:right w:w="113" w:type="dxa"/>
            </w:tcMar>
            <w:vAlign w:val="center"/>
          </w:tcPr>
          <w:p w14:paraId="5AC77236" w14:textId="77777777" w:rsidR="001F231A" w:rsidRDefault="001F231A" w:rsidP="009B2B5F">
            <w:pPr>
              <w:pStyle w:val="CDIFigure-Table-BodyTextCentre"/>
            </w:pPr>
            <w:r>
              <w:t>2,850 (2.6)</w:t>
            </w:r>
          </w:p>
        </w:tc>
        <w:tc>
          <w:tcPr>
            <w:tcW w:w="1488" w:type="dxa"/>
            <w:shd w:val="clear" w:color="auto" w:fill="F2F2F2" w:themeFill="background1" w:themeFillShade="F2"/>
            <w:tcMar>
              <w:top w:w="79" w:type="dxa"/>
              <w:left w:w="113" w:type="dxa"/>
              <w:bottom w:w="79" w:type="dxa"/>
              <w:right w:w="113" w:type="dxa"/>
            </w:tcMar>
            <w:vAlign w:val="center"/>
          </w:tcPr>
          <w:p w14:paraId="307577B5" w14:textId="77777777" w:rsidR="001F231A" w:rsidRDefault="001F231A" w:rsidP="009B2B5F">
            <w:pPr>
              <w:pStyle w:val="CDIFigure-Table-BodyTextCentre"/>
            </w:pPr>
            <w:r>
              <w:t>1,296 (45.5)</w:t>
            </w:r>
          </w:p>
        </w:tc>
        <w:tc>
          <w:tcPr>
            <w:tcW w:w="1489" w:type="dxa"/>
            <w:shd w:val="clear" w:color="auto" w:fill="F2F2F2" w:themeFill="background1" w:themeFillShade="F2"/>
            <w:tcMar>
              <w:top w:w="79" w:type="dxa"/>
              <w:left w:w="113" w:type="dxa"/>
              <w:bottom w:w="79" w:type="dxa"/>
              <w:right w:w="113" w:type="dxa"/>
            </w:tcMar>
            <w:vAlign w:val="center"/>
          </w:tcPr>
          <w:p w14:paraId="257E186C" w14:textId="77777777" w:rsidR="001F231A" w:rsidRDefault="001F231A" w:rsidP="009B2B5F">
            <w:pPr>
              <w:pStyle w:val="CDIFigure-Table-BodyTextCentre"/>
            </w:pPr>
            <w:r>
              <w:t>3 (0.1)</w:t>
            </w:r>
          </w:p>
        </w:tc>
        <w:tc>
          <w:tcPr>
            <w:tcW w:w="1488" w:type="dxa"/>
            <w:shd w:val="clear" w:color="auto" w:fill="F2F2F2" w:themeFill="background1" w:themeFillShade="F2"/>
            <w:tcMar>
              <w:top w:w="79" w:type="dxa"/>
              <w:left w:w="113" w:type="dxa"/>
              <w:bottom w:w="79" w:type="dxa"/>
              <w:right w:w="113" w:type="dxa"/>
            </w:tcMar>
            <w:vAlign w:val="center"/>
          </w:tcPr>
          <w:p w14:paraId="717BAD84" w14:textId="77777777" w:rsidR="001F231A" w:rsidRDefault="001F231A" w:rsidP="009B2B5F">
            <w:pPr>
              <w:pStyle w:val="CDIFigure-Table-BodyTextCentre"/>
            </w:pPr>
            <w:r>
              <w:t>1,010 (35.4)</w:t>
            </w:r>
          </w:p>
        </w:tc>
        <w:tc>
          <w:tcPr>
            <w:tcW w:w="1488" w:type="dxa"/>
            <w:shd w:val="clear" w:color="auto" w:fill="F2F2F2" w:themeFill="background1" w:themeFillShade="F2"/>
            <w:tcMar>
              <w:top w:w="79" w:type="dxa"/>
              <w:left w:w="113" w:type="dxa"/>
              <w:bottom w:w="79" w:type="dxa"/>
              <w:right w:w="113" w:type="dxa"/>
            </w:tcMar>
            <w:vAlign w:val="center"/>
          </w:tcPr>
          <w:p w14:paraId="30BC8954" w14:textId="77777777" w:rsidR="001F231A" w:rsidRDefault="001F231A" w:rsidP="009B2B5F">
            <w:pPr>
              <w:pStyle w:val="CDIFigure-Table-BodyTextCentre"/>
            </w:pPr>
            <w:r>
              <w:t>1781 (62.5)</w:t>
            </w:r>
          </w:p>
        </w:tc>
        <w:tc>
          <w:tcPr>
            <w:tcW w:w="1489" w:type="dxa"/>
            <w:shd w:val="clear" w:color="auto" w:fill="F2F2F2" w:themeFill="background1" w:themeFillShade="F2"/>
            <w:tcMar>
              <w:top w:w="79" w:type="dxa"/>
              <w:left w:w="113" w:type="dxa"/>
              <w:bottom w:w="79" w:type="dxa"/>
              <w:right w:w="113" w:type="dxa"/>
            </w:tcMar>
            <w:vAlign w:val="center"/>
          </w:tcPr>
          <w:p w14:paraId="4BED3667" w14:textId="77777777" w:rsidR="001F231A" w:rsidRDefault="001F231A" w:rsidP="009B2B5F">
            <w:pPr>
              <w:pStyle w:val="CDIFigure-Table-BodyTextCentre"/>
            </w:pPr>
            <w:r>
              <w:t>1,129 (39.6)</w:t>
            </w:r>
          </w:p>
        </w:tc>
      </w:tr>
      <w:tr w:rsidR="001F231A" w14:paraId="20CD98C4" w14:textId="77777777" w:rsidTr="00B92C70">
        <w:trPr>
          <w:divId w:val="935526654"/>
          <w:trHeight w:val="20"/>
        </w:trPr>
        <w:tc>
          <w:tcPr>
            <w:tcW w:w="5386" w:type="dxa"/>
            <w:tcMar>
              <w:top w:w="79" w:type="dxa"/>
              <w:left w:w="113" w:type="dxa"/>
              <w:bottom w:w="79" w:type="dxa"/>
              <w:right w:w="113" w:type="dxa"/>
            </w:tcMar>
            <w:vAlign w:val="center"/>
          </w:tcPr>
          <w:p w14:paraId="31366ACB" w14:textId="77777777" w:rsidR="001F231A" w:rsidRDefault="001F231A" w:rsidP="009B2B5F">
            <w:pPr>
              <w:pStyle w:val="CDIFigure-Table-BodyTextLeft"/>
            </w:pPr>
            <w:r>
              <w:t>Presyncope</w:t>
            </w:r>
          </w:p>
        </w:tc>
        <w:tc>
          <w:tcPr>
            <w:tcW w:w="1488" w:type="dxa"/>
            <w:tcMar>
              <w:top w:w="79" w:type="dxa"/>
              <w:left w:w="113" w:type="dxa"/>
              <w:bottom w:w="79" w:type="dxa"/>
              <w:right w:w="113" w:type="dxa"/>
            </w:tcMar>
            <w:vAlign w:val="center"/>
          </w:tcPr>
          <w:p w14:paraId="0FABC138" w14:textId="77777777" w:rsidR="001F231A" w:rsidRDefault="001F231A" w:rsidP="009B2B5F">
            <w:pPr>
              <w:pStyle w:val="CDIFigure-Table-BodyTextCentre"/>
            </w:pPr>
            <w:r>
              <w:t>2,751 (2.5)</w:t>
            </w:r>
          </w:p>
        </w:tc>
        <w:tc>
          <w:tcPr>
            <w:tcW w:w="1488" w:type="dxa"/>
            <w:tcMar>
              <w:top w:w="79" w:type="dxa"/>
              <w:left w:w="113" w:type="dxa"/>
              <w:bottom w:w="79" w:type="dxa"/>
              <w:right w:w="113" w:type="dxa"/>
            </w:tcMar>
            <w:vAlign w:val="center"/>
          </w:tcPr>
          <w:p w14:paraId="4B204228" w14:textId="77777777" w:rsidR="001F231A" w:rsidRDefault="001F231A" w:rsidP="009B2B5F">
            <w:pPr>
              <w:pStyle w:val="CDIFigure-Table-BodyTextCentre"/>
            </w:pPr>
            <w:r>
              <w:t>1,096 (39.8)</w:t>
            </w:r>
          </w:p>
        </w:tc>
        <w:tc>
          <w:tcPr>
            <w:tcW w:w="1489" w:type="dxa"/>
            <w:tcMar>
              <w:top w:w="79" w:type="dxa"/>
              <w:left w:w="113" w:type="dxa"/>
              <w:bottom w:w="79" w:type="dxa"/>
              <w:right w:w="113" w:type="dxa"/>
            </w:tcMar>
            <w:vAlign w:val="center"/>
          </w:tcPr>
          <w:p w14:paraId="2F96D6F1" w14:textId="77777777" w:rsidR="001F231A" w:rsidRDefault="001F231A" w:rsidP="009B2B5F">
            <w:pPr>
              <w:pStyle w:val="CDIFigure-Table-BodyTextCentre"/>
            </w:pPr>
            <w:r>
              <w:t>108 (3.9)</w:t>
            </w:r>
          </w:p>
        </w:tc>
        <w:tc>
          <w:tcPr>
            <w:tcW w:w="1488" w:type="dxa"/>
            <w:tcMar>
              <w:top w:w="79" w:type="dxa"/>
              <w:left w:w="113" w:type="dxa"/>
              <w:bottom w:w="79" w:type="dxa"/>
              <w:right w:w="113" w:type="dxa"/>
            </w:tcMar>
            <w:vAlign w:val="center"/>
          </w:tcPr>
          <w:p w14:paraId="48C0B04B" w14:textId="77777777" w:rsidR="001F231A" w:rsidRDefault="001F231A" w:rsidP="009B2B5F">
            <w:pPr>
              <w:pStyle w:val="CDIFigure-Table-BodyTextCentre"/>
            </w:pPr>
            <w:r>
              <w:t>2,319 (84.3)</w:t>
            </w:r>
          </w:p>
        </w:tc>
        <w:tc>
          <w:tcPr>
            <w:tcW w:w="1488" w:type="dxa"/>
            <w:tcMar>
              <w:top w:w="79" w:type="dxa"/>
              <w:left w:w="113" w:type="dxa"/>
              <w:bottom w:w="79" w:type="dxa"/>
              <w:right w:w="113" w:type="dxa"/>
            </w:tcMar>
            <w:vAlign w:val="center"/>
          </w:tcPr>
          <w:p w14:paraId="233817CC" w14:textId="77777777" w:rsidR="001F231A" w:rsidRDefault="001F231A" w:rsidP="009B2B5F">
            <w:pPr>
              <w:pStyle w:val="CDIFigure-Table-BodyTextCentre"/>
            </w:pPr>
            <w:r>
              <w:t>275 (10.0)</w:t>
            </w:r>
          </w:p>
        </w:tc>
        <w:tc>
          <w:tcPr>
            <w:tcW w:w="1489" w:type="dxa"/>
            <w:tcMar>
              <w:top w:w="79" w:type="dxa"/>
              <w:left w:w="113" w:type="dxa"/>
              <w:bottom w:w="79" w:type="dxa"/>
              <w:right w:w="113" w:type="dxa"/>
            </w:tcMar>
            <w:vAlign w:val="center"/>
          </w:tcPr>
          <w:p w14:paraId="39F5ABD3" w14:textId="77777777" w:rsidR="001F231A" w:rsidRDefault="001F231A" w:rsidP="009B2B5F">
            <w:pPr>
              <w:pStyle w:val="CDIFigure-Table-BodyTextCentre"/>
            </w:pPr>
            <w:r>
              <w:t>308 (11.2)</w:t>
            </w:r>
          </w:p>
        </w:tc>
      </w:tr>
      <w:tr w:rsidR="00B92C70" w14:paraId="12285CF9"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0A6A6C40" w14:textId="77777777" w:rsidR="001F231A" w:rsidRDefault="001F231A" w:rsidP="009B2B5F">
            <w:pPr>
              <w:pStyle w:val="CDIFigure-Table-BodyTextLeft"/>
            </w:pPr>
            <w:r>
              <w:t>Hyperhidrosis</w:t>
            </w:r>
          </w:p>
        </w:tc>
        <w:tc>
          <w:tcPr>
            <w:tcW w:w="1488" w:type="dxa"/>
            <w:shd w:val="clear" w:color="auto" w:fill="F2F2F2" w:themeFill="background1" w:themeFillShade="F2"/>
            <w:tcMar>
              <w:top w:w="79" w:type="dxa"/>
              <w:left w:w="113" w:type="dxa"/>
              <w:bottom w:w="79" w:type="dxa"/>
              <w:right w:w="113" w:type="dxa"/>
            </w:tcMar>
            <w:vAlign w:val="center"/>
          </w:tcPr>
          <w:p w14:paraId="2FC78CF2" w14:textId="77777777" w:rsidR="001F231A" w:rsidRDefault="001F231A" w:rsidP="009B2B5F">
            <w:pPr>
              <w:pStyle w:val="CDIFigure-Table-BodyTextCentre"/>
            </w:pPr>
            <w:r>
              <w:t>2,493 (2.2)</w:t>
            </w:r>
          </w:p>
        </w:tc>
        <w:tc>
          <w:tcPr>
            <w:tcW w:w="1488" w:type="dxa"/>
            <w:shd w:val="clear" w:color="auto" w:fill="F2F2F2" w:themeFill="background1" w:themeFillShade="F2"/>
            <w:tcMar>
              <w:top w:w="79" w:type="dxa"/>
              <w:left w:w="113" w:type="dxa"/>
              <w:bottom w:w="79" w:type="dxa"/>
              <w:right w:w="113" w:type="dxa"/>
            </w:tcMar>
            <w:vAlign w:val="center"/>
          </w:tcPr>
          <w:p w14:paraId="1576F483" w14:textId="77777777" w:rsidR="001F231A" w:rsidRDefault="001F231A" w:rsidP="009B2B5F">
            <w:pPr>
              <w:pStyle w:val="CDIFigure-Table-BodyTextCentre"/>
            </w:pPr>
            <w:r>
              <w:t>24 (1.0)</w:t>
            </w:r>
          </w:p>
        </w:tc>
        <w:tc>
          <w:tcPr>
            <w:tcW w:w="1489" w:type="dxa"/>
            <w:shd w:val="clear" w:color="auto" w:fill="F2F2F2" w:themeFill="background1" w:themeFillShade="F2"/>
            <w:tcMar>
              <w:top w:w="79" w:type="dxa"/>
              <w:left w:w="113" w:type="dxa"/>
              <w:bottom w:w="79" w:type="dxa"/>
              <w:right w:w="113" w:type="dxa"/>
            </w:tcMar>
            <w:vAlign w:val="center"/>
          </w:tcPr>
          <w:p w14:paraId="0F8EFBD7" w14:textId="77777777" w:rsidR="001F231A" w:rsidRDefault="001F231A" w:rsidP="009B2B5F">
            <w:pPr>
              <w:pStyle w:val="CDIFigure-Table-BodyTextCentre"/>
            </w:pPr>
            <w:r>
              <w:t>56 (2.2)</w:t>
            </w:r>
          </w:p>
        </w:tc>
        <w:tc>
          <w:tcPr>
            <w:tcW w:w="1488" w:type="dxa"/>
            <w:shd w:val="clear" w:color="auto" w:fill="F2F2F2" w:themeFill="background1" w:themeFillShade="F2"/>
            <w:tcMar>
              <w:top w:w="79" w:type="dxa"/>
              <w:left w:w="113" w:type="dxa"/>
              <w:bottom w:w="79" w:type="dxa"/>
              <w:right w:w="113" w:type="dxa"/>
            </w:tcMar>
            <w:vAlign w:val="center"/>
          </w:tcPr>
          <w:p w14:paraId="7B602E0F" w14:textId="77777777" w:rsidR="001F231A" w:rsidRDefault="001F231A" w:rsidP="009B2B5F">
            <w:pPr>
              <w:pStyle w:val="CDIFigure-Table-BodyTextCentre"/>
            </w:pPr>
            <w:r>
              <w:t>1,847 (74.1)</w:t>
            </w:r>
          </w:p>
        </w:tc>
        <w:tc>
          <w:tcPr>
            <w:tcW w:w="1488" w:type="dxa"/>
            <w:shd w:val="clear" w:color="auto" w:fill="F2F2F2" w:themeFill="background1" w:themeFillShade="F2"/>
            <w:tcMar>
              <w:top w:w="79" w:type="dxa"/>
              <w:left w:w="113" w:type="dxa"/>
              <w:bottom w:w="79" w:type="dxa"/>
              <w:right w:w="113" w:type="dxa"/>
            </w:tcMar>
            <w:vAlign w:val="center"/>
          </w:tcPr>
          <w:p w14:paraId="33D3F62D" w14:textId="77777777" w:rsidR="001F231A" w:rsidRDefault="001F231A" w:rsidP="009B2B5F">
            <w:pPr>
              <w:pStyle w:val="CDIFigure-Table-BodyTextCentre"/>
            </w:pPr>
            <w:r>
              <w:t>467 (18.7)</w:t>
            </w:r>
          </w:p>
        </w:tc>
        <w:tc>
          <w:tcPr>
            <w:tcW w:w="1489" w:type="dxa"/>
            <w:shd w:val="clear" w:color="auto" w:fill="F2F2F2" w:themeFill="background1" w:themeFillShade="F2"/>
            <w:tcMar>
              <w:top w:w="79" w:type="dxa"/>
              <w:left w:w="113" w:type="dxa"/>
              <w:bottom w:w="79" w:type="dxa"/>
              <w:right w:w="113" w:type="dxa"/>
            </w:tcMar>
            <w:vAlign w:val="center"/>
          </w:tcPr>
          <w:p w14:paraId="6597F895" w14:textId="77777777" w:rsidR="001F231A" w:rsidRDefault="001F231A" w:rsidP="009B2B5F">
            <w:pPr>
              <w:pStyle w:val="CDIFigure-Table-BodyTextCentre"/>
            </w:pPr>
            <w:r>
              <w:t>370 (14.8)</w:t>
            </w:r>
          </w:p>
        </w:tc>
      </w:tr>
      <w:tr w:rsidR="001F231A" w14:paraId="67079953" w14:textId="77777777" w:rsidTr="00B92C70">
        <w:trPr>
          <w:divId w:val="935526654"/>
          <w:trHeight w:val="20"/>
        </w:trPr>
        <w:tc>
          <w:tcPr>
            <w:tcW w:w="5386" w:type="dxa"/>
            <w:tcMar>
              <w:top w:w="79" w:type="dxa"/>
              <w:left w:w="113" w:type="dxa"/>
              <w:bottom w:w="79" w:type="dxa"/>
              <w:right w:w="113" w:type="dxa"/>
            </w:tcMar>
            <w:vAlign w:val="center"/>
          </w:tcPr>
          <w:p w14:paraId="31838510" w14:textId="77777777" w:rsidR="001F231A" w:rsidRDefault="001F231A" w:rsidP="009B2B5F">
            <w:pPr>
              <w:pStyle w:val="CDIFigure-Table-BodyTextLeft"/>
            </w:pPr>
            <w:r>
              <w:t>Hypertension</w:t>
            </w:r>
          </w:p>
        </w:tc>
        <w:tc>
          <w:tcPr>
            <w:tcW w:w="1488" w:type="dxa"/>
            <w:tcMar>
              <w:top w:w="79" w:type="dxa"/>
              <w:left w:w="113" w:type="dxa"/>
              <w:bottom w:w="79" w:type="dxa"/>
              <w:right w:w="113" w:type="dxa"/>
            </w:tcMar>
            <w:vAlign w:val="center"/>
          </w:tcPr>
          <w:p w14:paraId="1D949107" w14:textId="77777777" w:rsidR="001F231A" w:rsidRDefault="001F231A" w:rsidP="009B2B5F">
            <w:pPr>
              <w:pStyle w:val="CDIFigure-Table-BodyTextCentre"/>
            </w:pPr>
            <w:r>
              <w:t>2,471 (2.2)</w:t>
            </w:r>
          </w:p>
        </w:tc>
        <w:tc>
          <w:tcPr>
            <w:tcW w:w="1488" w:type="dxa"/>
            <w:tcMar>
              <w:top w:w="79" w:type="dxa"/>
              <w:left w:w="113" w:type="dxa"/>
              <w:bottom w:w="79" w:type="dxa"/>
              <w:right w:w="113" w:type="dxa"/>
            </w:tcMar>
            <w:vAlign w:val="center"/>
          </w:tcPr>
          <w:p w14:paraId="678C87B1" w14:textId="77777777" w:rsidR="001F231A" w:rsidRDefault="001F231A" w:rsidP="009B2B5F">
            <w:pPr>
              <w:pStyle w:val="CDIFigure-Table-BodyTextCentre"/>
            </w:pPr>
            <w:r>
              <w:t>170 (6.9)</w:t>
            </w:r>
          </w:p>
        </w:tc>
        <w:tc>
          <w:tcPr>
            <w:tcW w:w="1489" w:type="dxa"/>
            <w:tcMar>
              <w:top w:w="79" w:type="dxa"/>
              <w:left w:w="113" w:type="dxa"/>
              <w:bottom w:w="79" w:type="dxa"/>
              <w:right w:w="113" w:type="dxa"/>
            </w:tcMar>
            <w:vAlign w:val="center"/>
          </w:tcPr>
          <w:p w14:paraId="153E7C74" w14:textId="77777777" w:rsidR="001F231A" w:rsidRDefault="001F231A" w:rsidP="009B2B5F">
            <w:pPr>
              <w:pStyle w:val="CDIFigure-Table-BodyTextCentre"/>
            </w:pPr>
            <w:r>
              <w:t>10 (0.4)</w:t>
            </w:r>
          </w:p>
        </w:tc>
        <w:tc>
          <w:tcPr>
            <w:tcW w:w="1488" w:type="dxa"/>
            <w:tcMar>
              <w:top w:w="79" w:type="dxa"/>
              <w:left w:w="113" w:type="dxa"/>
              <w:bottom w:w="79" w:type="dxa"/>
              <w:right w:w="113" w:type="dxa"/>
            </w:tcMar>
            <w:vAlign w:val="center"/>
          </w:tcPr>
          <w:p w14:paraId="193917E1" w14:textId="77777777" w:rsidR="001F231A" w:rsidRDefault="001F231A" w:rsidP="009B2B5F">
            <w:pPr>
              <w:pStyle w:val="CDIFigure-Table-BodyTextCentre"/>
            </w:pPr>
            <w:r>
              <w:t>1,650 (66.8)</w:t>
            </w:r>
          </w:p>
        </w:tc>
        <w:tc>
          <w:tcPr>
            <w:tcW w:w="1488" w:type="dxa"/>
            <w:tcMar>
              <w:top w:w="79" w:type="dxa"/>
              <w:left w:w="113" w:type="dxa"/>
              <w:bottom w:w="79" w:type="dxa"/>
              <w:right w:w="113" w:type="dxa"/>
            </w:tcMar>
            <w:vAlign w:val="center"/>
          </w:tcPr>
          <w:p w14:paraId="3E55CCE2" w14:textId="77777777" w:rsidR="001F231A" w:rsidRDefault="001F231A" w:rsidP="009B2B5F">
            <w:pPr>
              <w:pStyle w:val="CDIFigure-Table-BodyTextCentre"/>
            </w:pPr>
            <w:r>
              <w:t>727 (29.4)</w:t>
            </w:r>
          </w:p>
        </w:tc>
        <w:tc>
          <w:tcPr>
            <w:tcW w:w="1489" w:type="dxa"/>
            <w:tcMar>
              <w:top w:w="79" w:type="dxa"/>
              <w:left w:w="113" w:type="dxa"/>
              <w:bottom w:w="79" w:type="dxa"/>
              <w:right w:w="113" w:type="dxa"/>
            </w:tcMar>
            <w:vAlign w:val="center"/>
          </w:tcPr>
          <w:p w14:paraId="7CA1D224" w14:textId="77777777" w:rsidR="001F231A" w:rsidRDefault="001F231A" w:rsidP="009B2B5F">
            <w:pPr>
              <w:pStyle w:val="CDIFigure-Table-BodyTextCentre"/>
            </w:pPr>
            <w:r>
              <w:t>503 (20.4)</w:t>
            </w:r>
          </w:p>
        </w:tc>
      </w:tr>
      <w:tr w:rsidR="00B92C70" w14:paraId="119ED788"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991F4DF" w14:textId="77777777" w:rsidR="001F231A" w:rsidRDefault="001F231A" w:rsidP="009B2B5F">
            <w:pPr>
              <w:pStyle w:val="CDIFigure-Table-BodyTextLeft"/>
            </w:pPr>
            <w:r>
              <w:t>Cough</w:t>
            </w:r>
          </w:p>
        </w:tc>
        <w:tc>
          <w:tcPr>
            <w:tcW w:w="1488" w:type="dxa"/>
            <w:shd w:val="clear" w:color="auto" w:fill="F2F2F2" w:themeFill="background1" w:themeFillShade="F2"/>
            <w:tcMar>
              <w:top w:w="79" w:type="dxa"/>
              <w:left w:w="113" w:type="dxa"/>
              <w:bottom w:w="79" w:type="dxa"/>
              <w:right w:w="113" w:type="dxa"/>
            </w:tcMar>
            <w:vAlign w:val="center"/>
          </w:tcPr>
          <w:p w14:paraId="5F6BE22E" w14:textId="77777777" w:rsidR="001F231A" w:rsidRDefault="001F231A" w:rsidP="009B2B5F">
            <w:pPr>
              <w:pStyle w:val="CDIFigure-Table-BodyTextCentre"/>
            </w:pPr>
            <w:r>
              <w:t>2,386 (2.1)</w:t>
            </w:r>
          </w:p>
        </w:tc>
        <w:tc>
          <w:tcPr>
            <w:tcW w:w="1488" w:type="dxa"/>
            <w:shd w:val="clear" w:color="auto" w:fill="F2F2F2" w:themeFill="background1" w:themeFillShade="F2"/>
            <w:tcMar>
              <w:top w:w="79" w:type="dxa"/>
              <w:left w:w="113" w:type="dxa"/>
              <w:bottom w:w="79" w:type="dxa"/>
              <w:right w:w="113" w:type="dxa"/>
            </w:tcMar>
            <w:vAlign w:val="center"/>
          </w:tcPr>
          <w:p w14:paraId="48D0F060" w14:textId="77777777" w:rsidR="001F231A" w:rsidRDefault="001F231A" w:rsidP="009B2B5F">
            <w:pPr>
              <w:pStyle w:val="CDIFigure-Table-BodyTextCentre"/>
            </w:pPr>
            <w:r>
              <w:t>68 (2.8)</w:t>
            </w:r>
          </w:p>
        </w:tc>
        <w:tc>
          <w:tcPr>
            <w:tcW w:w="1489" w:type="dxa"/>
            <w:shd w:val="clear" w:color="auto" w:fill="F2F2F2" w:themeFill="background1" w:themeFillShade="F2"/>
            <w:tcMar>
              <w:top w:w="79" w:type="dxa"/>
              <w:left w:w="113" w:type="dxa"/>
              <w:bottom w:w="79" w:type="dxa"/>
              <w:right w:w="113" w:type="dxa"/>
            </w:tcMar>
            <w:vAlign w:val="center"/>
          </w:tcPr>
          <w:p w14:paraId="12A281C6" w14:textId="77777777" w:rsidR="001F231A" w:rsidRDefault="001F231A" w:rsidP="009B2B5F">
            <w:pPr>
              <w:pStyle w:val="CDIFigure-Table-BodyTextCentre"/>
            </w:pPr>
            <w:r>
              <w:t>18 (0.8)</w:t>
            </w:r>
          </w:p>
        </w:tc>
        <w:tc>
          <w:tcPr>
            <w:tcW w:w="1488" w:type="dxa"/>
            <w:shd w:val="clear" w:color="auto" w:fill="F2F2F2" w:themeFill="background1" w:themeFillShade="F2"/>
            <w:tcMar>
              <w:top w:w="79" w:type="dxa"/>
              <w:left w:w="113" w:type="dxa"/>
              <w:bottom w:w="79" w:type="dxa"/>
              <w:right w:w="113" w:type="dxa"/>
            </w:tcMar>
            <w:vAlign w:val="center"/>
          </w:tcPr>
          <w:p w14:paraId="7F5935CF" w14:textId="77777777" w:rsidR="001F231A" w:rsidRDefault="001F231A" w:rsidP="009B2B5F">
            <w:pPr>
              <w:pStyle w:val="CDIFigure-Table-BodyTextCentre"/>
            </w:pPr>
            <w:r>
              <w:t>1,676 (70.2)</w:t>
            </w:r>
          </w:p>
        </w:tc>
        <w:tc>
          <w:tcPr>
            <w:tcW w:w="1488" w:type="dxa"/>
            <w:shd w:val="clear" w:color="auto" w:fill="F2F2F2" w:themeFill="background1" w:themeFillShade="F2"/>
            <w:tcMar>
              <w:top w:w="79" w:type="dxa"/>
              <w:left w:w="113" w:type="dxa"/>
              <w:bottom w:w="79" w:type="dxa"/>
              <w:right w:w="113" w:type="dxa"/>
            </w:tcMar>
            <w:vAlign w:val="center"/>
          </w:tcPr>
          <w:p w14:paraId="1C723ED6" w14:textId="77777777" w:rsidR="001F231A" w:rsidRDefault="001F231A" w:rsidP="009B2B5F">
            <w:pPr>
              <w:pStyle w:val="CDIFigure-Table-BodyTextCentre"/>
            </w:pPr>
            <w:r>
              <w:t>589 (24.7)</w:t>
            </w:r>
          </w:p>
        </w:tc>
        <w:tc>
          <w:tcPr>
            <w:tcW w:w="1489" w:type="dxa"/>
            <w:shd w:val="clear" w:color="auto" w:fill="F2F2F2" w:themeFill="background1" w:themeFillShade="F2"/>
            <w:tcMar>
              <w:top w:w="79" w:type="dxa"/>
              <w:left w:w="113" w:type="dxa"/>
              <w:bottom w:w="79" w:type="dxa"/>
              <w:right w:w="113" w:type="dxa"/>
            </w:tcMar>
            <w:vAlign w:val="center"/>
          </w:tcPr>
          <w:p w14:paraId="65E15C4D" w14:textId="77777777" w:rsidR="001F231A" w:rsidRDefault="001F231A" w:rsidP="009B2B5F">
            <w:pPr>
              <w:pStyle w:val="CDIFigure-Table-BodyTextCentre"/>
            </w:pPr>
            <w:r>
              <w:t>401 (16.8)</w:t>
            </w:r>
          </w:p>
        </w:tc>
      </w:tr>
      <w:tr w:rsidR="001F231A" w14:paraId="2D3CB52D" w14:textId="77777777" w:rsidTr="00B92C70">
        <w:trPr>
          <w:divId w:val="935526654"/>
          <w:trHeight w:val="20"/>
        </w:trPr>
        <w:tc>
          <w:tcPr>
            <w:tcW w:w="5386" w:type="dxa"/>
            <w:tcMar>
              <w:top w:w="79" w:type="dxa"/>
              <w:left w:w="113" w:type="dxa"/>
              <w:bottom w:w="79" w:type="dxa"/>
              <w:right w:w="113" w:type="dxa"/>
            </w:tcMar>
            <w:vAlign w:val="center"/>
          </w:tcPr>
          <w:p w14:paraId="15BF42EB" w14:textId="77777777" w:rsidR="001F231A" w:rsidRDefault="001F231A" w:rsidP="009B2B5F">
            <w:pPr>
              <w:pStyle w:val="CDIFigure-Table-BodyTextLeft"/>
            </w:pPr>
            <w:r>
              <w:t>Tachycardia</w:t>
            </w:r>
          </w:p>
        </w:tc>
        <w:tc>
          <w:tcPr>
            <w:tcW w:w="1488" w:type="dxa"/>
            <w:tcMar>
              <w:top w:w="79" w:type="dxa"/>
              <w:left w:w="113" w:type="dxa"/>
              <w:bottom w:w="79" w:type="dxa"/>
              <w:right w:w="113" w:type="dxa"/>
            </w:tcMar>
            <w:vAlign w:val="center"/>
          </w:tcPr>
          <w:p w14:paraId="6576E1EC" w14:textId="77777777" w:rsidR="001F231A" w:rsidRDefault="001F231A" w:rsidP="009B2B5F">
            <w:pPr>
              <w:pStyle w:val="CDIFigure-Table-BodyTextCentre"/>
            </w:pPr>
            <w:r>
              <w:t>2,254 (2.0)</w:t>
            </w:r>
          </w:p>
        </w:tc>
        <w:tc>
          <w:tcPr>
            <w:tcW w:w="1488" w:type="dxa"/>
            <w:tcMar>
              <w:top w:w="79" w:type="dxa"/>
              <w:left w:w="113" w:type="dxa"/>
              <w:bottom w:w="79" w:type="dxa"/>
              <w:right w:w="113" w:type="dxa"/>
            </w:tcMar>
            <w:vAlign w:val="center"/>
          </w:tcPr>
          <w:p w14:paraId="1CC60F8D" w14:textId="77777777" w:rsidR="001F231A" w:rsidRDefault="001F231A" w:rsidP="009B2B5F">
            <w:pPr>
              <w:pStyle w:val="CDIFigure-Table-BodyTextCentre"/>
            </w:pPr>
            <w:r>
              <w:t>123 (5.5)</w:t>
            </w:r>
          </w:p>
        </w:tc>
        <w:tc>
          <w:tcPr>
            <w:tcW w:w="1489" w:type="dxa"/>
            <w:tcMar>
              <w:top w:w="79" w:type="dxa"/>
              <w:left w:w="113" w:type="dxa"/>
              <w:bottom w:w="79" w:type="dxa"/>
              <w:right w:w="113" w:type="dxa"/>
            </w:tcMar>
            <w:vAlign w:val="center"/>
          </w:tcPr>
          <w:p w14:paraId="754F4E84" w14:textId="77777777" w:rsidR="001F231A" w:rsidRDefault="001F231A" w:rsidP="009B2B5F">
            <w:pPr>
              <w:pStyle w:val="CDIFigure-Table-BodyTextCentre"/>
            </w:pPr>
            <w:r>
              <w:t>63 (2.8)</w:t>
            </w:r>
          </w:p>
        </w:tc>
        <w:tc>
          <w:tcPr>
            <w:tcW w:w="1488" w:type="dxa"/>
            <w:tcMar>
              <w:top w:w="79" w:type="dxa"/>
              <w:left w:w="113" w:type="dxa"/>
              <w:bottom w:w="79" w:type="dxa"/>
              <w:right w:w="113" w:type="dxa"/>
            </w:tcMar>
            <w:vAlign w:val="center"/>
          </w:tcPr>
          <w:p w14:paraId="7E8403ED" w14:textId="77777777" w:rsidR="001F231A" w:rsidRDefault="001F231A" w:rsidP="009B2B5F">
            <w:pPr>
              <w:pStyle w:val="CDIFigure-Table-BodyTextCentre"/>
            </w:pPr>
            <w:r>
              <w:t>1,762 (78.2)</w:t>
            </w:r>
          </w:p>
        </w:tc>
        <w:tc>
          <w:tcPr>
            <w:tcW w:w="1488" w:type="dxa"/>
            <w:tcMar>
              <w:top w:w="79" w:type="dxa"/>
              <w:left w:w="113" w:type="dxa"/>
              <w:bottom w:w="79" w:type="dxa"/>
              <w:right w:w="113" w:type="dxa"/>
            </w:tcMar>
            <w:vAlign w:val="center"/>
          </w:tcPr>
          <w:p w14:paraId="2997A38B" w14:textId="77777777" w:rsidR="001F231A" w:rsidRDefault="001F231A" w:rsidP="009B2B5F">
            <w:pPr>
              <w:pStyle w:val="CDIFigure-Table-BodyTextCentre"/>
            </w:pPr>
            <w:r>
              <w:t>319 (14.2)</w:t>
            </w:r>
          </w:p>
        </w:tc>
        <w:tc>
          <w:tcPr>
            <w:tcW w:w="1489" w:type="dxa"/>
            <w:tcMar>
              <w:top w:w="79" w:type="dxa"/>
              <w:left w:w="113" w:type="dxa"/>
              <w:bottom w:w="79" w:type="dxa"/>
              <w:right w:w="113" w:type="dxa"/>
            </w:tcMar>
            <w:vAlign w:val="center"/>
          </w:tcPr>
          <w:p w14:paraId="3969DC7F" w14:textId="77777777" w:rsidR="001F231A" w:rsidRDefault="001F231A" w:rsidP="009B2B5F">
            <w:pPr>
              <w:pStyle w:val="CDIFigure-Table-BodyTextCentre"/>
            </w:pPr>
            <w:r>
              <w:t>460 (20.4)</w:t>
            </w:r>
          </w:p>
        </w:tc>
      </w:tr>
      <w:tr w:rsidR="00B92C70" w14:paraId="10E01F93"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0CFF4C4D" w14:textId="77777777" w:rsidR="001F231A" w:rsidRDefault="001F231A" w:rsidP="009B2B5F">
            <w:pPr>
              <w:pStyle w:val="CDIFigure-Table-BodyTextLeft"/>
            </w:pPr>
            <w:r>
              <w:t>Pain</w:t>
            </w:r>
          </w:p>
        </w:tc>
        <w:tc>
          <w:tcPr>
            <w:tcW w:w="1488" w:type="dxa"/>
            <w:shd w:val="clear" w:color="auto" w:fill="F2F2F2" w:themeFill="background1" w:themeFillShade="F2"/>
            <w:tcMar>
              <w:top w:w="79" w:type="dxa"/>
              <w:left w:w="113" w:type="dxa"/>
              <w:bottom w:w="79" w:type="dxa"/>
              <w:right w:w="113" w:type="dxa"/>
            </w:tcMar>
            <w:vAlign w:val="center"/>
          </w:tcPr>
          <w:p w14:paraId="391EEE5B" w14:textId="77777777" w:rsidR="001F231A" w:rsidRDefault="001F231A" w:rsidP="009B2B5F">
            <w:pPr>
              <w:pStyle w:val="CDIFigure-Table-BodyTextCentre"/>
            </w:pPr>
            <w:r>
              <w:t>2,045 (1.8)</w:t>
            </w:r>
          </w:p>
        </w:tc>
        <w:tc>
          <w:tcPr>
            <w:tcW w:w="1488" w:type="dxa"/>
            <w:shd w:val="clear" w:color="auto" w:fill="F2F2F2" w:themeFill="background1" w:themeFillShade="F2"/>
            <w:tcMar>
              <w:top w:w="79" w:type="dxa"/>
              <w:left w:w="113" w:type="dxa"/>
              <w:bottom w:w="79" w:type="dxa"/>
              <w:right w:w="113" w:type="dxa"/>
            </w:tcMar>
            <w:vAlign w:val="center"/>
          </w:tcPr>
          <w:p w14:paraId="72AADE5D" w14:textId="77777777" w:rsidR="001F231A" w:rsidRDefault="001F231A" w:rsidP="009B2B5F">
            <w:pPr>
              <w:pStyle w:val="CDIFigure-Table-BodyTextCentre"/>
            </w:pPr>
            <w:r>
              <w:t>62 (3.0)</w:t>
            </w:r>
          </w:p>
        </w:tc>
        <w:tc>
          <w:tcPr>
            <w:tcW w:w="1489" w:type="dxa"/>
            <w:shd w:val="clear" w:color="auto" w:fill="F2F2F2" w:themeFill="background1" w:themeFillShade="F2"/>
            <w:tcMar>
              <w:top w:w="79" w:type="dxa"/>
              <w:left w:w="113" w:type="dxa"/>
              <w:bottom w:w="79" w:type="dxa"/>
              <w:right w:w="113" w:type="dxa"/>
            </w:tcMar>
            <w:vAlign w:val="center"/>
          </w:tcPr>
          <w:p w14:paraId="202196AA" w14:textId="77777777" w:rsidR="001F231A" w:rsidRDefault="001F231A" w:rsidP="009B2B5F">
            <w:pPr>
              <w:pStyle w:val="CDIFigure-Table-BodyTextCentre"/>
            </w:pPr>
            <w:r>
              <w:t>19 (0.9)</w:t>
            </w:r>
          </w:p>
        </w:tc>
        <w:tc>
          <w:tcPr>
            <w:tcW w:w="1488" w:type="dxa"/>
            <w:shd w:val="clear" w:color="auto" w:fill="F2F2F2" w:themeFill="background1" w:themeFillShade="F2"/>
            <w:tcMar>
              <w:top w:w="79" w:type="dxa"/>
              <w:left w:w="113" w:type="dxa"/>
              <w:bottom w:w="79" w:type="dxa"/>
              <w:right w:w="113" w:type="dxa"/>
            </w:tcMar>
            <w:vAlign w:val="center"/>
          </w:tcPr>
          <w:p w14:paraId="439DBB6B" w14:textId="77777777" w:rsidR="001F231A" w:rsidRDefault="001F231A" w:rsidP="009B2B5F">
            <w:pPr>
              <w:pStyle w:val="CDIFigure-Table-BodyTextCentre"/>
            </w:pPr>
            <w:r>
              <w:t>1,387 (67.8)</w:t>
            </w:r>
          </w:p>
        </w:tc>
        <w:tc>
          <w:tcPr>
            <w:tcW w:w="1488" w:type="dxa"/>
            <w:shd w:val="clear" w:color="auto" w:fill="F2F2F2" w:themeFill="background1" w:themeFillShade="F2"/>
            <w:tcMar>
              <w:top w:w="79" w:type="dxa"/>
              <w:left w:w="113" w:type="dxa"/>
              <w:bottom w:w="79" w:type="dxa"/>
              <w:right w:w="113" w:type="dxa"/>
            </w:tcMar>
            <w:vAlign w:val="center"/>
          </w:tcPr>
          <w:p w14:paraId="152BD28A" w14:textId="77777777" w:rsidR="001F231A" w:rsidRDefault="001F231A" w:rsidP="009B2B5F">
            <w:pPr>
              <w:pStyle w:val="CDIFigure-Table-BodyTextCentre"/>
            </w:pPr>
            <w:r>
              <w:t>538 (26.3)</w:t>
            </w:r>
          </w:p>
        </w:tc>
        <w:tc>
          <w:tcPr>
            <w:tcW w:w="1489" w:type="dxa"/>
            <w:shd w:val="clear" w:color="auto" w:fill="F2F2F2" w:themeFill="background1" w:themeFillShade="F2"/>
            <w:tcMar>
              <w:top w:w="79" w:type="dxa"/>
              <w:left w:w="113" w:type="dxa"/>
              <w:bottom w:w="79" w:type="dxa"/>
              <w:right w:w="113" w:type="dxa"/>
            </w:tcMar>
            <w:vAlign w:val="center"/>
          </w:tcPr>
          <w:p w14:paraId="4D38A35E" w14:textId="77777777" w:rsidR="001F231A" w:rsidRDefault="001F231A" w:rsidP="009B2B5F">
            <w:pPr>
              <w:pStyle w:val="CDIFigure-Table-BodyTextCentre"/>
            </w:pPr>
            <w:r>
              <w:t>278 (13.6)</w:t>
            </w:r>
          </w:p>
        </w:tc>
      </w:tr>
      <w:tr w:rsidR="001F231A" w14:paraId="138D37E7" w14:textId="77777777" w:rsidTr="00B92C70">
        <w:trPr>
          <w:divId w:val="935526654"/>
          <w:trHeight w:val="20"/>
        </w:trPr>
        <w:tc>
          <w:tcPr>
            <w:tcW w:w="5386" w:type="dxa"/>
            <w:tcMar>
              <w:top w:w="79" w:type="dxa"/>
              <w:left w:w="113" w:type="dxa"/>
              <w:bottom w:w="79" w:type="dxa"/>
              <w:right w:w="113" w:type="dxa"/>
            </w:tcMar>
            <w:vAlign w:val="center"/>
          </w:tcPr>
          <w:p w14:paraId="0127F664" w14:textId="77777777" w:rsidR="001F231A" w:rsidRDefault="001F231A" w:rsidP="009B2B5F">
            <w:pPr>
              <w:pStyle w:val="CDIFigure-Table-BodyTextLeft"/>
            </w:pPr>
            <w:r>
              <w:t>Pruritus</w:t>
            </w:r>
          </w:p>
        </w:tc>
        <w:tc>
          <w:tcPr>
            <w:tcW w:w="1488" w:type="dxa"/>
            <w:tcMar>
              <w:top w:w="79" w:type="dxa"/>
              <w:left w:w="113" w:type="dxa"/>
              <w:bottom w:w="79" w:type="dxa"/>
              <w:right w:w="113" w:type="dxa"/>
            </w:tcMar>
            <w:vAlign w:val="center"/>
          </w:tcPr>
          <w:p w14:paraId="7523FF57" w14:textId="77777777" w:rsidR="001F231A" w:rsidRDefault="001F231A" w:rsidP="009B2B5F">
            <w:pPr>
              <w:pStyle w:val="CDIFigure-Table-BodyTextCentre"/>
            </w:pPr>
            <w:r>
              <w:t>2,021 (1.8)</w:t>
            </w:r>
          </w:p>
        </w:tc>
        <w:tc>
          <w:tcPr>
            <w:tcW w:w="1488" w:type="dxa"/>
            <w:tcMar>
              <w:top w:w="79" w:type="dxa"/>
              <w:left w:w="113" w:type="dxa"/>
              <w:bottom w:w="79" w:type="dxa"/>
              <w:right w:w="113" w:type="dxa"/>
            </w:tcMar>
            <w:vAlign w:val="center"/>
          </w:tcPr>
          <w:p w14:paraId="0107A279" w14:textId="77777777" w:rsidR="001F231A" w:rsidRDefault="001F231A" w:rsidP="009B2B5F">
            <w:pPr>
              <w:pStyle w:val="CDIFigure-Table-BodyTextCentre"/>
            </w:pPr>
            <w:r>
              <w:t>214 (10.6)</w:t>
            </w:r>
          </w:p>
        </w:tc>
        <w:tc>
          <w:tcPr>
            <w:tcW w:w="1489" w:type="dxa"/>
            <w:tcMar>
              <w:top w:w="79" w:type="dxa"/>
              <w:left w:w="113" w:type="dxa"/>
              <w:bottom w:w="79" w:type="dxa"/>
              <w:right w:w="113" w:type="dxa"/>
            </w:tcMar>
            <w:vAlign w:val="center"/>
          </w:tcPr>
          <w:p w14:paraId="1CF0B056" w14:textId="77777777" w:rsidR="001F231A" w:rsidRDefault="001F231A" w:rsidP="009B2B5F">
            <w:pPr>
              <w:pStyle w:val="CDIFigure-Table-BodyTextCentre"/>
            </w:pPr>
            <w:r>
              <w:t>14 (0.7)</w:t>
            </w:r>
          </w:p>
        </w:tc>
        <w:tc>
          <w:tcPr>
            <w:tcW w:w="1488" w:type="dxa"/>
            <w:tcMar>
              <w:top w:w="79" w:type="dxa"/>
              <w:left w:w="113" w:type="dxa"/>
              <w:bottom w:w="79" w:type="dxa"/>
              <w:right w:w="113" w:type="dxa"/>
            </w:tcMar>
            <w:vAlign w:val="center"/>
          </w:tcPr>
          <w:p w14:paraId="58A98572" w14:textId="77777777" w:rsidR="001F231A" w:rsidRDefault="001F231A" w:rsidP="009B2B5F">
            <w:pPr>
              <w:pStyle w:val="CDIFigure-Table-BodyTextCentre"/>
            </w:pPr>
            <w:r>
              <w:t>1,439 (71.2)</w:t>
            </w:r>
          </w:p>
        </w:tc>
        <w:tc>
          <w:tcPr>
            <w:tcW w:w="1488" w:type="dxa"/>
            <w:tcMar>
              <w:top w:w="79" w:type="dxa"/>
              <w:left w:w="113" w:type="dxa"/>
              <w:bottom w:w="79" w:type="dxa"/>
              <w:right w:w="113" w:type="dxa"/>
            </w:tcMar>
            <w:vAlign w:val="center"/>
          </w:tcPr>
          <w:p w14:paraId="7A714036" w14:textId="77777777" w:rsidR="001F231A" w:rsidRDefault="001F231A" w:rsidP="009B2B5F">
            <w:pPr>
              <w:pStyle w:val="CDIFigure-Table-BodyTextCentre"/>
            </w:pPr>
            <w:r>
              <w:t>490 (24.2)</w:t>
            </w:r>
          </w:p>
        </w:tc>
        <w:tc>
          <w:tcPr>
            <w:tcW w:w="1489" w:type="dxa"/>
            <w:tcMar>
              <w:top w:w="79" w:type="dxa"/>
              <w:left w:w="113" w:type="dxa"/>
              <w:bottom w:w="79" w:type="dxa"/>
              <w:right w:w="113" w:type="dxa"/>
            </w:tcMar>
            <w:vAlign w:val="center"/>
          </w:tcPr>
          <w:p w14:paraId="65B95F63" w14:textId="77777777" w:rsidR="001F231A" w:rsidRDefault="001F231A" w:rsidP="009B2B5F">
            <w:pPr>
              <w:pStyle w:val="CDIFigure-Table-BodyTextCentre"/>
            </w:pPr>
            <w:r>
              <w:t>219 (10.8)</w:t>
            </w:r>
          </w:p>
        </w:tc>
      </w:tr>
      <w:tr w:rsidR="00B92C70" w14:paraId="744CE26E"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BA651B7" w14:textId="77777777" w:rsidR="001F231A" w:rsidRDefault="001F231A" w:rsidP="009B2B5F">
            <w:pPr>
              <w:pStyle w:val="CDIFigure-Table-BodyTextLeft"/>
            </w:pPr>
            <w:r>
              <w:t>Hypoaesthesia</w:t>
            </w:r>
          </w:p>
        </w:tc>
        <w:tc>
          <w:tcPr>
            <w:tcW w:w="1488" w:type="dxa"/>
            <w:shd w:val="clear" w:color="auto" w:fill="F2F2F2" w:themeFill="background1" w:themeFillShade="F2"/>
            <w:tcMar>
              <w:top w:w="79" w:type="dxa"/>
              <w:left w:w="113" w:type="dxa"/>
              <w:bottom w:w="79" w:type="dxa"/>
              <w:right w:w="113" w:type="dxa"/>
            </w:tcMar>
            <w:vAlign w:val="center"/>
          </w:tcPr>
          <w:p w14:paraId="2699A72F" w14:textId="77777777" w:rsidR="001F231A" w:rsidRDefault="001F231A" w:rsidP="009B2B5F">
            <w:pPr>
              <w:pStyle w:val="CDIFigure-Table-BodyTextCentre"/>
            </w:pPr>
            <w:r>
              <w:t>1,961 (1.8)</w:t>
            </w:r>
          </w:p>
        </w:tc>
        <w:tc>
          <w:tcPr>
            <w:tcW w:w="1488" w:type="dxa"/>
            <w:shd w:val="clear" w:color="auto" w:fill="F2F2F2" w:themeFill="background1" w:themeFillShade="F2"/>
            <w:tcMar>
              <w:top w:w="79" w:type="dxa"/>
              <w:left w:w="113" w:type="dxa"/>
              <w:bottom w:w="79" w:type="dxa"/>
              <w:right w:w="113" w:type="dxa"/>
            </w:tcMar>
            <w:vAlign w:val="center"/>
          </w:tcPr>
          <w:p w14:paraId="6FAF7769" w14:textId="77777777" w:rsidR="001F231A" w:rsidRDefault="001F231A" w:rsidP="009B2B5F">
            <w:pPr>
              <w:pStyle w:val="CDIFigure-Table-BodyTextCentre"/>
            </w:pPr>
            <w:r>
              <w:t>134 (6.8)</w:t>
            </w:r>
          </w:p>
        </w:tc>
        <w:tc>
          <w:tcPr>
            <w:tcW w:w="1489" w:type="dxa"/>
            <w:shd w:val="clear" w:color="auto" w:fill="F2F2F2" w:themeFill="background1" w:themeFillShade="F2"/>
            <w:tcMar>
              <w:top w:w="79" w:type="dxa"/>
              <w:left w:w="113" w:type="dxa"/>
              <w:bottom w:w="79" w:type="dxa"/>
              <w:right w:w="113" w:type="dxa"/>
            </w:tcMar>
            <w:vAlign w:val="center"/>
          </w:tcPr>
          <w:p w14:paraId="3984DFF8" w14:textId="77777777" w:rsidR="001F231A" w:rsidRDefault="001F231A" w:rsidP="009B2B5F">
            <w:pPr>
              <w:pStyle w:val="CDIFigure-Table-BodyTextCentre"/>
            </w:pPr>
            <w:r>
              <w:t>13 (0.7)</w:t>
            </w:r>
          </w:p>
        </w:tc>
        <w:tc>
          <w:tcPr>
            <w:tcW w:w="1488" w:type="dxa"/>
            <w:shd w:val="clear" w:color="auto" w:fill="F2F2F2" w:themeFill="background1" w:themeFillShade="F2"/>
            <w:tcMar>
              <w:top w:w="79" w:type="dxa"/>
              <w:left w:w="113" w:type="dxa"/>
              <w:bottom w:w="79" w:type="dxa"/>
              <w:right w:w="113" w:type="dxa"/>
            </w:tcMar>
            <w:vAlign w:val="center"/>
          </w:tcPr>
          <w:p w14:paraId="39910B6E" w14:textId="77777777" w:rsidR="001F231A" w:rsidRDefault="001F231A" w:rsidP="009B2B5F">
            <w:pPr>
              <w:pStyle w:val="CDIFigure-Table-BodyTextCentre"/>
            </w:pPr>
            <w:r>
              <w:t>1,572 (80.2)</w:t>
            </w:r>
          </w:p>
        </w:tc>
        <w:tc>
          <w:tcPr>
            <w:tcW w:w="1488" w:type="dxa"/>
            <w:shd w:val="clear" w:color="auto" w:fill="F2F2F2" w:themeFill="background1" w:themeFillShade="F2"/>
            <w:tcMar>
              <w:top w:w="79" w:type="dxa"/>
              <w:left w:w="113" w:type="dxa"/>
              <w:bottom w:w="79" w:type="dxa"/>
              <w:right w:w="113" w:type="dxa"/>
            </w:tcMar>
            <w:vAlign w:val="center"/>
          </w:tcPr>
          <w:p w14:paraId="0C7048BD" w14:textId="77777777" w:rsidR="001F231A" w:rsidRDefault="001F231A" w:rsidP="009B2B5F">
            <w:pPr>
              <w:pStyle w:val="CDIFigure-Table-BodyTextCentre"/>
            </w:pPr>
            <w:r>
              <w:t>282 (14.4)</w:t>
            </w:r>
          </w:p>
        </w:tc>
        <w:tc>
          <w:tcPr>
            <w:tcW w:w="1489" w:type="dxa"/>
            <w:shd w:val="clear" w:color="auto" w:fill="F2F2F2" w:themeFill="background1" w:themeFillShade="F2"/>
            <w:tcMar>
              <w:top w:w="79" w:type="dxa"/>
              <w:left w:w="113" w:type="dxa"/>
              <w:bottom w:w="79" w:type="dxa"/>
              <w:right w:w="113" w:type="dxa"/>
            </w:tcMar>
            <w:vAlign w:val="center"/>
          </w:tcPr>
          <w:p w14:paraId="4AA342F7" w14:textId="77777777" w:rsidR="001F231A" w:rsidRDefault="001F231A" w:rsidP="009B2B5F">
            <w:pPr>
              <w:pStyle w:val="CDIFigure-Table-BodyTextCentre"/>
            </w:pPr>
            <w:r>
              <w:t>460 (23.5)</w:t>
            </w:r>
          </w:p>
        </w:tc>
      </w:tr>
      <w:tr w:rsidR="001F231A" w14:paraId="4FB67015" w14:textId="77777777" w:rsidTr="00B92C70">
        <w:trPr>
          <w:divId w:val="935526654"/>
          <w:trHeight w:val="20"/>
        </w:trPr>
        <w:tc>
          <w:tcPr>
            <w:tcW w:w="5386" w:type="dxa"/>
            <w:tcMar>
              <w:top w:w="79" w:type="dxa"/>
              <w:left w:w="113" w:type="dxa"/>
              <w:bottom w:w="79" w:type="dxa"/>
              <w:right w:w="113" w:type="dxa"/>
            </w:tcMar>
            <w:vAlign w:val="center"/>
          </w:tcPr>
          <w:p w14:paraId="44979AF5" w14:textId="77777777" w:rsidR="001F231A" w:rsidRDefault="001F231A" w:rsidP="009B2B5F">
            <w:pPr>
              <w:pStyle w:val="CDIFigure-Table-BodyTextLeft"/>
            </w:pPr>
            <w:r>
              <w:t>Menstrual disorder</w:t>
            </w:r>
          </w:p>
        </w:tc>
        <w:tc>
          <w:tcPr>
            <w:tcW w:w="1488" w:type="dxa"/>
            <w:tcMar>
              <w:top w:w="79" w:type="dxa"/>
              <w:left w:w="113" w:type="dxa"/>
              <w:bottom w:w="79" w:type="dxa"/>
              <w:right w:w="113" w:type="dxa"/>
            </w:tcMar>
            <w:vAlign w:val="center"/>
          </w:tcPr>
          <w:p w14:paraId="072092BB" w14:textId="77777777" w:rsidR="001F231A" w:rsidRDefault="001F231A" w:rsidP="009B2B5F">
            <w:pPr>
              <w:pStyle w:val="CDIFigure-Table-BodyTextCentre"/>
            </w:pPr>
            <w:r>
              <w:t>1,945 (1.7)</w:t>
            </w:r>
          </w:p>
        </w:tc>
        <w:tc>
          <w:tcPr>
            <w:tcW w:w="1488" w:type="dxa"/>
            <w:tcMar>
              <w:top w:w="79" w:type="dxa"/>
              <w:left w:w="113" w:type="dxa"/>
              <w:bottom w:w="79" w:type="dxa"/>
              <w:right w:w="113" w:type="dxa"/>
            </w:tcMar>
            <w:vAlign w:val="center"/>
          </w:tcPr>
          <w:p w14:paraId="07A9CEBA" w14:textId="77777777" w:rsidR="001F231A" w:rsidRDefault="001F231A" w:rsidP="009B2B5F">
            <w:pPr>
              <w:pStyle w:val="CDIFigure-Table-BodyTextCentre"/>
            </w:pPr>
            <w:r>
              <w:t>115 (5.9)</w:t>
            </w:r>
          </w:p>
        </w:tc>
        <w:tc>
          <w:tcPr>
            <w:tcW w:w="1489" w:type="dxa"/>
            <w:tcMar>
              <w:top w:w="79" w:type="dxa"/>
              <w:left w:w="113" w:type="dxa"/>
              <w:bottom w:w="79" w:type="dxa"/>
              <w:right w:w="113" w:type="dxa"/>
            </w:tcMar>
            <w:vAlign w:val="center"/>
          </w:tcPr>
          <w:p w14:paraId="186C714A" w14:textId="77777777" w:rsidR="001F231A" w:rsidRDefault="001F231A" w:rsidP="009B2B5F">
            <w:pPr>
              <w:pStyle w:val="CDIFigure-Table-BodyTextCentre"/>
            </w:pPr>
            <w:r>
              <w:t>29 (1.5)</w:t>
            </w:r>
          </w:p>
        </w:tc>
        <w:tc>
          <w:tcPr>
            <w:tcW w:w="1488" w:type="dxa"/>
            <w:tcMar>
              <w:top w:w="79" w:type="dxa"/>
              <w:left w:w="113" w:type="dxa"/>
              <w:bottom w:w="79" w:type="dxa"/>
              <w:right w:w="113" w:type="dxa"/>
            </w:tcMar>
            <w:vAlign w:val="center"/>
          </w:tcPr>
          <w:p w14:paraId="1342F4CF" w14:textId="77777777" w:rsidR="001F231A" w:rsidRDefault="001F231A" w:rsidP="009B2B5F">
            <w:pPr>
              <w:pStyle w:val="CDIFigure-Table-BodyTextCentre"/>
            </w:pPr>
            <w:r>
              <w:t>1,747 (89.8)</w:t>
            </w:r>
          </w:p>
        </w:tc>
        <w:tc>
          <w:tcPr>
            <w:tcW w:w="1488" w:type="dxa"/>
            <w:tcMar>
              <w:top w:w="79" w:type="dxa"/>
              <w:left w:w="113" w:type="dxa"/>
              <w:bottom w:w="79" w:type="dxa"/>
              <w:right w:w="113" w:type="dxa"/>
            </w:tcMar>
            <w:vAlign w:val="center"/>
          </w:tcPr>
          <w:p w14:paraId="0AB66346" w14:textId="77777777" w:rsidR="001F231A" w:rsidRDefault="001F231A" w:rsidP="009B2B5F">
            <w:pPr>
              <w:pStyle w:val="CDIFigure-Table-BodyTextCentre"/>
            </w:pPr>
            <w:r>
              <w:t>25 (1.3)</w:t>
            </w:r>
          </w:p>
        </w:tc>
        <w:tc>
          <w:tcPr>
            <w:tcW w:w="1489" w:type="dxa"/>
            <w:tcMar>
              <w:top w:w="79" w:type="dxa"/>
              <w:left w:w="113" w:type="dxa"/>
              <w:bottom w:w="79" w:type="dxa"/>
              <w:right w:w="113" w:type="dxa"/>
            </w:tcMar>
            <w:vAlign w:val="center"/>
          </w:tcPr>
          <w:p w14:paraId="120B1F24" w14:textId="77777777" w:rsidR="001F231A" w:rsidRDefault="001F231A" w:rsidP="009B2B5F">
            <w:pPr>
              <w:pStyle w:val="CDIFigure-Table-BodyTextCentre"/>
            </w:pPr>
            <w:r>
              <w:t>255 (13.1)</w:t>
            </w:r>
          </w:p>
        </w:tc>
      </w:tr>
      <w:tr w:rsidR="00B92C70" w14:paraId="453719C5"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4F6C4D3" w14:textId="77777777" w:rsidR="001F231A" w:rsidRDefault="001F231A" w:rsidP="009B2B5F">
            <w:pPr>
              <w:pStyle w:val="CDIFigure-Table-BodyTextLeft"/>
            </w:pPr>
            <w:r>
              <w:t>Decreased appetite</w:t>
            </w:r>
          </w:p>
        </w:tc>
        <w:tc>
          <w:tcPr>
            <w:tcW w:w="1488" w:type="dxa"/>
            <w:shd w:val="clear" w:color="auto" w:fill="F2F2F2" w:themeFill="background1" w:themeFillShade="F2"/>
            <w:tcMar>
              <w:top w:w="79" w:type="dxa"/>
              <w:left w:w="113" w:type="dxa"/>
              <w:bottom w:w="79" w:type="dxa"/>
              <w:right w:w="113" w:type="dxa"/>
            </w:tcMar>
            <w:vAlign w:val="center"/>
          </w:tcPr>
          <w:p w14:paraId="29E99B69" w14:textId="77777777" w:rsidR="001F231A" w:rsidRDefault="001F231A" w:rsidP="009B2B5F">
            <w:pPr>
              <w:pStyle w:val="CDIFigure-Table-BodyTextCentre"/>
            </w:pPr>
            <w:r>
              <w:t>1,794 (1.6)</w:t>
            </w:r>
          </w:p>
        </w:tc>
        <w:tc>
          <w:tcPr>
            <w:tcW w:w="1488" w:type="dxa"/>
            <w:shd w:val="clear" w:color="auto" w:fill="F2F2F2" w:themeFill="background1" w:themeFillShade="F2"/>
            <w:tcMar>
              <w:top w:w="79" w:type="dxa"/>
              <w:left w:w="113" w:type="dxa"/>
              <w:bottom w:w="79" w:type="dxa"/>
              <w:right w:w="113" w:type="dxa"/>
            </w:tcMar>
            <w:vAlign w:val="center"/>
          </w:tcPr>
          <w:p w14:paraId="01FBCCF0" w14:textId="77777777" w:rsidR="001F231A" w:rsidRDefault="001F231A" w:rsidP="009B2B5F">
            <w:pPr>
              <w:pStyle w:val="CDIFigure-Table-BodyTextCentre"/>
            </w:pPr>
            <w:r>
              <w:t>5 (0.3)</w:t>
            </w:r>
          </w:p>
        </w:tc>
        <w:tc>
          <w:tcPr>
            <w:tcW w:w="1489" w:type="dxa"/>
            <w:shd w:val="clear" w:color="auto" w:fill="F2F2F2" w:themeFill="background1" w:themeFillShade="F2"/>
            <w:tcMar>
              <w:top w:w="79" w:type="dxa"/>
              <w:left w:w="113" w:type="dxa"/>
              <w:bottom w:w="79" w:type="dxa"/>
              <w:right w:w="113" w:type="dxa"/>
            </w:tcMar>
            <w:vAlign w:val="center"/>
          </w:tcPr>
          <w:p w14:paraId="33F1B2BC" w14:textId="77777777" w:rsidR="001F231A" w:rsidRDefault="001F231A" w:rsidP="009B2B5F">
            <w:pPr>
              <w:pStyle w:val="CDIFigure-Table-BodyTextCentre"/>
            </w:pPr>
            <w:r>
              <w:t>21 (1.2)</w:t>
            </w:r>
          </w:p>
        </w:tc>
        <w:tc>
          <w:tcPr>
            <w:tcW w:w="1488" w:type="dxa"/>
            <w:shd w:val="clear" w:color="auto" w:fill="F2F2F2" w:themeFill="background1" w:themeFillShade="F2"/>
            <w:tcMar>
              <w:top w:w="79" w:type="dxa"/>
              <w:left w:w="113" w:type="dxa"/>
              <w:bottom w:w="79" w:type="dxa"/>
              <w:right w:w="113" w:type="dxa"/>
            </w:tcMar>
            <w:vAlign w:val="center"/>
          </w:tcPr>
          <w:p w14:paraId="5A629BD5" w14:textId="77777777" w:rsidR="001F231A" w:rsidRDefault="001F231A" w:rsidP="009B2B5F">
            <w:pPr>
              <w:pStyle w:val="CDIFigure-Table-BodyTextCentre"/>
            </w:pPr>
            <w:r>
              <w:t>950 (53.0)</w:t>
            </w:r>
          </w:p>
        </w:tc>
        <w:tc>
          <w:tcPr>
            <w:tcW w:w="1488" w:type="dxa"/>
            <w:shd w:val="clear" w:color="auto" w:fill="F2F2F2" w:themeFill="background1" w:themeFillShade="F2"/>
            <w:tcMar>
              <w:top w:w="79" w:type="dxa"/>
              <w:left w:w="113" w:type="dxa"/>
              <w:bottom w:w="79" w:type="dxa"/>
              <w:right w:w="113" w:type="dxa"/>
            </w:tcMar>
            <w:vAlign w:val="center"/>
          </w:tcPr>
          <w:p w14:paraId="14011A71" w14:textId="77777777" w:rsidR="001F231A" w:rsidRDefault="001F231A" w:rsidP="009B2B5F">
            <w:pPr>
              <w:pStyle w:val="CDIFigure-Table-BodyTextCentre"/>
            </w:pPr>
            <w:r>
              <w:t>723 (40.3)</w:t>
            </w:r>
          </w:p>
        </w:tc>
        <w:tc>
          <w:tcPr>
            <w:tcW w:w="1489" w:type="dxa"/>
            <w:shd w:val="clear" w:color="auto" w:fill="F2F2F2" w:themeFill="background1" w:themeFillShade="F2"/>
            <w:tcMar>
              <w:top w:w="79" w:type="dxa"/>
              <w:left w:w="113" w:type="dxa"/>
              <w:bottom w:w="79" w:type="dxa"/>
              <w:right w:w="113" w:type="dxa"/>
            </w:tcMar>
            <w:vAlign w:val="center"/>
          </w:tcPr>
          <w:p w14:paraId="09600F49" w14:textId="77777777" w:rsidR="001F231A" w:rsidRDefault="001F231A" w:rsidP="009B2B5F">
            <w:pPr>
              <w:pStyle w:val="CDIFigure-Table-BodyTextCentre"/>
            </w:pPr>
            <w:r>
              <w:t>251 (14.0)</w:t>
            </w:r>
          </w:p>
        </w:tc>
      </w:tr>
      <w:tr w:rsidR="001F231A" w14:paraId="6D98F67F" w14:textId="77777777" w:rsidTr="00B92C70">
        <w:trPr>
          <w:divId w:val="935526654"/>
          <w:trHeight w:val="20"/>
        </w:trPr>
        <w:tc>
          <w:tcPr>
            <w:tcW w:w="5386" w:type="dxa"/>
            <w:tcMar>
              <w:top w:w="79" w:type="dxa"/>
              <w:left w:w="113" w:type="dxa"/>
              <w:bottom w:w="79" w:type="dxa"/>
              <w:right w:w="113" w:type="dxa"/>
            </w:tcMar>
            <w:vAlign w:val="center"/>
          </w:tcPr>
          <w:p w14:paraId="6DE46185" w14:textId="77777777" w:rsidR="001F231A" w:rsidRDefault="001F231A" w:rsidP="009B2B5F">
            <w:pPr>
              <w:pStyle w:val="CDIFigure-Table-BodyTextLeft"/>
            </w:pPr>
            <w:r>
              <w:t>Concomitant disease aggravated</w:t>
            </w:r>
          </w:p>
        </w:tc>
        <w:tc>
          <w:tcPr>
            <w:tcW w:w="1488" w:type="dxa"/>
            <w:tcMar>
              <w:top w:w="79" w:type="dxa"/>
              <w:left w:w="113" w:type="dxa"/>
              <w:bottom w:w="79" w:type="dxa"/>
              <w:right w:w="113" w:type="dxa"/>
            </w:tcMar>
            <w:vAlign w:val="center"/>
          </w:tcPr>
          <w:p w14:paraId="6D7E2C0A" w14:textId="77777777" w:rsidR="001F231A" w:rsidRDefault="001F231A" w:rsidP="009B2B5F">
            <w:pPr>
              <w:pStyle w:val="CDIFigure-Table-BodyTextCentre"/>
            </w:pPr>
            <w:r>
              <w:t>1,661 (1.5)</w:t>
            </w:r>
          </w:p>
        </w:tc>
        <w:tc>
          <w:tcPr>
            <w:tcW w:w="1488" w:type="dxa"/>
            <w:tcMar>
              <w:top w:w="79" w:type="dxa"/>
              <w:left w:w="113" w:type="dxa"/>
              <w:bottom w:w="79" w:type="dxa"/>
              <w:right w:w="113" w:type="dxa"/>
            </w:tcMar>
            <w:vAlign w:val="center"/>
          </w:tcPr>
          <w:p w14:paraId="1C6C7E3C" w14:textId="77777777" w:rsidR="001F231A" w:rsidRDefault="001F231A" w:rsidP="009B2B5F">
            <w:pPr>
              <w:pStyle w:val="CDIFigure-Table-BodyTextCentre"/>
            </w:pPr>
            <w:r>
              <w:t>459 (27.6)</w:t>
            </w:r>
          </w:p>
        </w:tc>
        <w:tc>
          <w:tcPr>
            <w:tcW w:w="1489" w:type="dxa"/>
            <w:tcMar>
              <w:top w:w="79" w:type="dxa"/>
              <w:left w:w="113" w:type="dxa"/>
              <w:bottom w:w="79" w:type="dxa"/>
              <w:right w:w="113" w:type="dxa"/>
            </w:tcMar>
            <w:vAlign w:val="center"/>
          </w:tcPr>
          <w:p w14:paraId="09338E5B" w14:textId="77777777" w:rsidR="001F231A" w:rsidRDefault="001F231A" w:rsidP="009B2B5F">
            <w:pPr>
              <w:pStyle w:val="CDIFigure-Table-BodyTextCentre"/>
            </w:pPr>
            <w:r>
              <w:t>19 (1.1)</w:t>
            </w:r>
          </w:p>
        </w:tc>
        <w:tc>
          <w:tcPr>
            <w:tcW w:w="1488" w:type="dxa"/>
            <w:tcMar>
              <w:top w:w="79" w:type="dxa"/>
              <w:left w:w="113" w:type="dxa"/>
              <w:bottom w:w="79" w:type="dxa"/>
              <w:right w:w="113" w:type="dxa"/>
            </w:tcMar>
            <w:vAlign w:val="center"/>
          </w:tcPr>
          <w:p w14:paraId="19E8E246" w14:textId="77777777" w:rsidR="001F231A" w:rsidRDefault="001F231A" w:rsidP="009B2B5F">
            <w:pPr>
              <w:pStyle w:val="CDIFigure-Table-BodyTextCentre"/>
            </w:pPr>
            <w:r>
              <w:t>1,101 (66.3)</w:t>
            </w:r>
          </w:p>
        </w:tc>
        <w:tc>
          <w:tcPr>
            <w:tcW w:w="1488" w:type="dxa"/>
            <w:tcMar>
              <w:top w:w="79" w:type="dxa"/>
              <w:left w:w="113" w:type="dxa"/>
              <w:bottom w:w="79" w:type="dxa"/>
              <w:right w:w="113" w:type="dxa"/>
            </w:tcMar>
            <w:vAlign w:val="center"/>
          </w:tcPr>
          <w:p w14:paraId="163D4729" w14:textId="77777777" w:rsidR="001F231A" w:rsidRDefault="001F231A" w:rsidP="009B2B5F">
            <w:pPr>
              <w:pStyle w:val="CDIFigure-Table-BodyTextCentre"/>
            </w:pPr>
            <w:r>
              <w:t>447 (26.9)</w:t>
            </w:r>
          </w:p>
        </w:tc>
        <w:tc>
          <w:tcPr>
            <w:tcW w:w="1489" w:type="dxa"/>
            <w:tcMar>
              <w:top w:w="79" w:type="dxa"/>
              <w:left w:w="113" w:type="dxa"/>
              <w:bottom w:w="79" w:type="dxa"/>
              <w:right w:w="113" w:type="dxa"/>
            </w:tcMar>
            <w:vAlign w:val="center"/>
          </w:tcPr>
          <w:p w14:paraId="47DFBE6B" w14:textId="77777777" w:rsidR="001F231A" w:rsidRDefault="001F231A" w:rsidP="009B2B5F">
            <w:pPr>
              <w:pStyle w:val="CDIFigure-Table-BodyTextCentre"/>
            </w:pPr>
            <w:r>
              <w:t>389 (23.4)</w:t>
            </w:r>
          </w:p>
        </w:tc>
      </w:tr>
      <w:tr w:rsidR="00B92C70" w14:paraId="49C359FF"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03547FF" w14:textId="77777777" w:rsidR="001F231A" w:rsidRDefault="001F231A" w:rsidP="009B2B5F">
            <w:pPr>
              <w:pStyle w:val="CDIFigure-Table-BodyTextLeft"/>
            </w:pPr>
            <w:r>
              <w:t>Vision blurred</w:t>
            </w:r>
          </w:p>
        </w:tc>
        <w:tc>
          <w:tcPr>
            <w:tcW w:w="1488" w:type="dxa"/>
            <w:shd w:val="clear" w:color="auto" w:fill="F2F2F2" w:themeFill="background1" w:themeFillShade="F2"/>
            <w:tcMar>
              <w:top w:w="79" w:type="dxa"/>
              <w:left w:w="113" w:type="dxa"/>
              <w:bottom w:w="79" w:type="dxa"/>
              <w:right w:w="113" w:type="dxa"/>
            </w:tcMar>
            <w:vAlign w:val="center"/>
          </w:tcPr>
          <w:p w14:paraId="3717BDCE" w14:textId="77777777" w:rsidR="001F231A" w:rsidRDefault="001F231A" w:rsidP="009B2B5F">
            <w:pPr>
              <w:pStyle w:val="CDIFigure-Table-BodyTextCentre"/>
            </w:pPr>
            <w:r>
              <w:t>1,661 (1.5)</w:t>
            </w:r>
          </w:p>
        </w:tc>
        <w:tc>
          <w:tcPr>
            <w:tcW w:w="1488" w:type="dxa"/>
            <w:shd w:val="clear" w:color="auto" w:fill="F2F2F2" w:themeFill="background1" w:themeFillShade="F2"/>
            <w:tcMar>
              <w:top w:w="79" w:type="dxa"/>
              <w:left w:w="113" w:type="dxa"/>
              <w:bottom w:w="79" w:type="dxa"/>
              <w:right w:w="113" w:type="dxa"/>
            </w:tcMar>
            <w:vAlign w:val="center"/>
          </w:tcPr>
          <w:p w14:paraId="24D95C35" w14:textId="77777777" w:rsidR="001F231A" w:rsidRDefault="001F231A" w:rsidP="009B2B5F">
            <w:pPr>
              <w:pStyle w:val="CDIFigure-Table-BodyTextCentre"/>
            </w:pPr>
            <w:r>
              <w:t>89 (5.4)</w:t>
            </w:r>
          </w:p>
        </w:tc>
        <w:tc>
          <w:tcPr>
            <w:tcW w:w="1489" w:type="dxa"/>
            <w:shd w:val="clear" w:color="auto" w:fill="F2F2F2" w:themeFill="background1" w:themeFillShade="F2"/>
            <w:tcMar>
              <w:top w:w="79" w:type="dxa"/>
              <w:left w:w="113" w:type="dxa"/>
              <w:bottom w:w="79" w:type="dxa"/>
              <w:right w:w="113" w:type="dxa"/>
            </w:tcMar>
            <w:vAlign w:val="center"/>
          </w:tcPr>
          <w:p w14:paraId="41B324F6" w14:textId="77777777" w:rsidR="001F231A" w:rsidRDefault="001F231A" w:rsidP="009B2B5F">
            <w:pPr>
              <w:pStyle w:val="CDIFigure-Table-BodyTextCentre"/>
            </w:pPr>
            <w:r>
              <w:t>36 (2.2)</w:t>
            </w:r>
          </w:p>
        </w:tc>
        <w:tc>
          <w:tcPr>
            <w:tcW w:w="1488" w:type="dxa"/>
            <w:shd w:val="clear" w:color="auto" w:fill="F2F2F2" w:themeFill="background1" w:themeFillShade="F2"/>
            <w:tcMar>
              <w:top w:w="79" w:type="dxa"/>
              <w:left w:w="113" w:type="dxa"/>
              <w:bottom w:w="79" w:type="dxa"/>
              <w:right w:w="113" w:type="dxa"/>
            </w:tcMar>
            <w:vAlign w:val="center"/>
          </w:tcPr>
          <w:p w14:paraId="109DC4B1" w14:textId="77777777" w:rsidR="001F231A" w:rsidRDefault="001F231A" w:rsidP="009B2B5F">
            <w:pPr>
              <w:pStyle w:val="CDIFigure-Table-BodyTextCentre"/>
            </w:pPr>
            <w:r>
              <w:t>1,120 (67.4)</w:t>
            </w:r>
          </w:p>
        </w:tc>
        <w:tc>
          <w:tcPr>
            <w:tcW w:w="1488" w:type="dxa"/>
            <w:shd w:val="clear" w:color="auto" w:fill="F2F2F2" w:themeFill="background1" w:themeFillShade="F2"/>
            <w:tcMar>
              <w:top w:w="79" w:type="dxa"/>
              <w:left w:w="113" w:type="dxa"/>
              <w:bottom w:w="79" w:type="dxa"/>
              <w:right w:w="113" w:type="dxa"/>
            </w:tcMar>
            <w:vAlign w:val="center"/>
          </w:tcPr>
          <w:p w14:paraId="0F8F6D2E" w14:textId="77777777" w:rsidR="001F231A" w:rsidRDefault="001F231A" w:rsidP="009B2B5F">
            <w:pPr>
              <w:pStyle w:val="CDIFigure-Table-BodyTextCentre"/>
            </w:pPr>
            <w:r>
              <w:t>416 (25.0)</w:t>
            </w:r>
          </w:p>
        </w:tc>
        <w:tc>
          <w:tcPr>
            <w:tcW w:w="1489" w:type="dxa"/>
            <w:shd w:val="clear" w:color="auto" w:fill="F2F2F2" w:themeFill="background1" w:themeFillShade="F2"/>
            <w:tcMar>
              <w:top w:w="79" w:type="dxa"/>
              <w:left w:w="113" w:type="dxa"/>
              <w:bottom w:w="79" w:type="dxa"/>
              <w:right w:w="113" w:type="dxa"/>
            </w:tcMar>
            <w:vAlign w:val="center"/>
          </w:tcPr>
          <w:p w14:paraId="0C5C3E01" w14:textId="77777777" w:rsidR="001F231A" w:rsidRDefault="001F231A" w:rsidP="009B2B5F">
            <w:pPr>
              <w:pStyle w:val="CDIFigure-Table-BodyTextCentre"/>
            </w:pPr>
            <w:r>
              <w:t>307 (18.5)</w:t>
            </w:r>
          </w:p>
        </w:tc>
      </w:tr>
      <w:tr w:rsidR="001F231A" w14:paraId="0ACB2881" w14:textId="77777777" w:rsidTr="00B92C70">
        <w:trPr>
          <w:divId w:val="935526654"/>
          <w:trHeight w:val="20"/>
        </w:trPr>
        <w:tc>
          <w:tcPr>
            <w:tcW w:w="5386" w:type="dxa"/>
            <w:tcMar>
              <w:top w:w="79" w:type="dxa"/>
              <w:left w:w="113" w:type="dxa"/>
              <w:bottom w:w="79" w:type="dxa"/>
              <w:right w:w="113" w:type="dxa"/>
            </w:tcMar>
            <w:vAlign w:val="center"/>
          </w:tcPr>
          <w:p w14:paraId="666056DD" w14:textId="77777777" w:rsidR="001F231A" w:rsidRDefault="001F231A" w:rsidP="009B2B5F">
            <w:pPr>
              <w:pStyle w:val="CDIFigure-Table-BodyTextLeft"/>
            </w:pPr>
            <w:r>
              <w:t>Taste and smell disorders</w:t>
            </w:r>
          </w:p>
        </w:tc>
        <w:tc>
          <w:tcPr>
            <w:tcW w:w="1488" w:type="dxa"/>
            <w:tcMar>
              <w:top w:w="79" w:type="dxa"/>
              <w:left w:w="113" w:type="dxa"/>
              <w:bottom w:w="79" w:type="dxa"/>
              <w:right w:w="113" w:type="dxa"/>
            </w:tcMar>
            <w:vAlign w:val="center"/>
          </w:tcPr>
          <w:p w14:paraId="18F14437" w14:textId="77777777" w:rsidR="001F231A" w:rsidRDefault="001F231A" w:rsidP="009B2B5F">
            <w:pPr>
              <w:pStyle w:val="CDIFigure-Table-BodyTextCentre"/>
            </w:pPr>
            <w:r>
              <w:t>1,600 (1.4)</w:t>
            </w:r>
          </w:p>
        </w:tc>
        <w:tc>
          <w:tcPr>
            <w:tcW w:w="1488" w:type="dxa"/>
            <w:tcMar>
              <w:top w:w="79" w:type="dxa"/>
              <w:left w:w="113" w:type="dxa"/>
              <w:bottom w:w="79" w:type="dxa"/>
              <w:right w:w="113" w:type="dxa"/>
            </w:tcMar>
            <w:vAlign w:val="center"/>
          </w:tcPr>
          <w:p w14:paraId="7AD2A2FB" w14:textId="77777777" w:rsidR="001F231A" w:rsidRDefault="001F231A" w:rsidP="009B2B5F">
            <w:pPr>
              <w:pStyle w:val="CDIFigure-Table-BodyTextCentre"/>
            </w:pPr>
            <w:r>
              <w:t>192 (12.0)</w:t>
            </w:r>
          </w:p>
        </w:tc>
        <w:tc>
          <w:tcPr>
            <w:tcW w:w="1489" w:type="dxa"/>
            <w:tcMar>
              <w:top w:w="79" w:type="dxa"/>
              <w:left w:w="113" w:type="dxa"/>
              <w:bottom w:w="79" w:type="dxa"/>
              <w:right w:w="113" w:type="dxa"/>
            </w:tcMar>
            <w:vAlign w:val="center"/>
          </w:tcPr>
          <w:p w14:paraId="7DC36F71" w14:textId="77777777" w:rsidR="001F231A" w:rsidRDefault="001F231A" w:rsidP="009B2B5F">
            <w:pPr>
              <w:pStyle w:val="CDIFigure-Table-BodyTextCentre"/>
            </w:pPr>
            <w:r>
              <w:t>4 (0.2)</w:t>
            </w:r>
          </w:p>
        </w:tc>
        <w:tc>
          <w:tcPr>
            <w:tcW w:w="1488" w:type="dxa"/>
            <w:tcMar>
              <w:top w:w="79" w:type="dxa"/>
              <w:left w:w="113" w:type="dxa"/>
              <w:bottom w:w="79" w:type="dxa"/>
              <w:right w:w="113" w:type="dxa"/>
            </w:tcMar>
            <w:vAlign w:val="center"/>
          </w:tcPr>
          <w:p w14:paraId="4D97306B" w14:textId="77777777" w:rsidR="001F231A" w:rsidRDefault="001F231A" w:rsidP="009B2B5F">
            <w:pPr>
              <w:pStyle w:val="CDIFigure-Table-BodyTextCentre"/>
            </w:pPr>
            <w:r>
              <w:t>1,165 (72.8)</w:t>
            </w:r>
          </w:p>
        </w:tc>
        <w:tc>
          <w:tcPr>
            <w:tcW w:w="1488" w:type="dxa"/>
            <w:tcMar>
              <w:top w:w="79" w:type="dxa"/>
              <w:left w:w="113" w:type="dxa"/>
              <w:bottom w:w="79" w:type="dxa"/>
              <w:right w:w="113" w:type="dxa"/>
            </w:tcMar>
            <w:vAlign w:val="center"/>
          </w:tcPr>
          <w:p w14:paraId="3C296824" w14:textId="77777777" w:rsidR="001F231A" w:rsidRDefault="001F231A" w:rsidP="009B2B5F">
            <w:pPr>
              <w:pStyle w:val="CDIFigure-Table-BodyTextCentre"/>
            </w:pPr>
            <w:r>
              <w:t>341 (21.3)</w:t>
            </w:r>
          </w:p>
        </w:tc>
        <w:tc>
          <w:tcPr>
            <w:tcW w:w="1489" w:type="dxa"/>
            <w:tcMar>
              <w:top w:w="79" w:type="dxa"/>
              <w:left w:w="113" w:type="dxa"/>
              <w:bottom w:w="79" w:type="dxa"/>
              <w:right w:w="113" w:type="dxa"/>
            </w:tcMar>
            <w:vAlign w:val="center"/>
          </w:tcPr>
          <w:p w14:paraId="1B8CFCCE" w14:textId="77777777" w:rsidR="001F231A" w:rsidRDefault="001F231A" w:rsidP="009B2B5F">
            <w:pPr>
              <w:pStyle w:val="CDIFigure-Table-BodyTextCentre"/>
            </w:pPr>
            <w:r>
              <w:t>218 (13.6)</w:t>
            </w:r>
          </w:p>
        </w:tc>
      </w:tr>
      <w:tr w:rsidR="00B92C70" w14:paraId="4486693E"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EDDA326" w14:textId="77777777" w:rsidR="001F231A" w:rsidRDefault="001F231A" w:rsidP="009B2B5F">
            <w:pPr>
              <w:pStyle w:val="CDIFigure-Table-BodyTextLeft"/>
            </w:pPr>
            <w:r>
              <w:t>Hearing impairment</w:t>
            </w:r>
          </w:p>
        </w:tc>
        <w:tc>
          <w:tcPr>
            <w:tcW w:w="1488" w:type="dxa"/>
            <w:shd w:val="clear" w:color="auto" w:fill="F2F2F2" w:themeFill="background1" w:themeFillShade="F2"/>
            <w:tcMar>
              <w:top w:w="79" w:type="dxa"/>
              <w:left w:w="113" w:type="dxa"/>
              <w:bottom w:w="79" w:type="dxa"/>
              <w:right w:w="113" w:type="dxa"/>
            </w:tcMar>
            <w:vAlign w:val="center"/>
          </w:tcPr>
          <w:p w14:paraId="07C8AAD2" w14:textId="77777777" w:rsidR="001F231A" w:rsidRDefault="001F231A" w:rsidP="009B2B5F">
            <w:pPr>
              <w:pStyle w:val="CDIFigure-Table-BodyTextCentre"/>
            </w:pPr>
            <w:r>
              <w:t>1,592 (1.4)</w:t>
            </w:r>
          </w:p>
        </w:tc>
        <w:tc>
          <w:tcPr>
            <w:tcW w:w="1488" w:type="dxa"/>
            <w:shd w:val="clear" w:color="auto" w:fill="F2F2F2" w:themeFill="background1" w:themeFillShade="F2"/>
            <w:tcMar>
              <w:top w:w="79" w:type="dxa"/>
              <w:left w:w="113" w:type="dxa"/>
              <w:bottom w:w="79" w:type="dxa"/>
              <w:right w:w="113" w:type="dxa"/>
            </w:tcMar>
            <w:vAlign w:val="center"/>
          </w:tcPr>
          <w:p w14:paraId="384DEEBD" w14:textId="77777777" w:rsidR="001F231A" w:rsidRDefault="001F231A" w:rsidP="009B2B5F">
            <w:pPr>
              <w:pStyle w:val="CDIFigure-Table-BodyTextCentre"/>
            </w:pPr>
            <w:r>
              <w:t>477 (30.0)</w:t>
            </w:r>
          </w:p>
        </w:tc>
        <w:tc>
          <w:tcPr>
            <w:tcW w:w="1489" w:type="dxa"/>
            <w:shd w:val="clear" w:color="auto" w:fill="F2F2F2" w:themeFill="background1" w:themeFillShade="F2"/>
            <w:tcMar>
              <w:top w:w="79" w:type="dxa"/>
              <w:left w:w="113" w:type="dxa"/>
              <w:bottom w:w="79" w:type="dxa"/>
              <w:right w:w="113" w:type="dxa"/>
            </w:tcMar>
            <w:vAlign w:val="center"/>
          </w:tcPr>
          <w:p w14:paraId="20CCA832" w14:textId="77777777" w:rsidR="001F231A" w:rsidRDefault="001F231A" w:rsidP="009B2B5F">
            <w:pPr>
              <w:pStyle w:val="CDIFigure-Table-BodyTextCentre"/>
            </w:pPr>
            <w:r>
              <w:t>24 (1.5)</w:t>
            </w:r>
          </w:p>
        </w:tc>
        <w:tc>
          <w:tcPr>
            <w:tcW w:w="1488" w:type="dxa"/>
            <w:shd w:val="clear" w:color="auto" w:fill="F2F2F2" w:themeFill="background1" w:themeFillShade="F2"/>
            <w:tcMar>
              <w:top w:w="79" w:type="dxa"/>
              <w:left w:w="113" w:type="dxa"/>
              <w:bottom w:w="79" w:type="dxa"/>
              <w:right w:w="113" w:type="dxa"/>
            </w:tcMar>
            <w:vAlign w:val="center"/>
          </w:tcPr>
          <w:p w14:paraId="665D5057" w14:textId="77777777" w:rsidR="001F231A" w:rsidRDefault="001F231A" w:rsidP="009B2B5F">
            <w:pPr>
              <w:pStyle w:val="CDIFigure-Table-BodyTextCentre"/>
            </w:pPr>
            <w:r>
              <w:t>1,115 (70.0)</w:t>
            </w:r>
          </w:p>
        </w:tc>
        <w:tc>
          <w:tcPr>
            <w:tcW w:w="1488" w:type="dxa"/>
            <w:shd w:val="clear" w:color="auto" w:fill="F2F2F2" w:themeFill="background1" w:themeFillShade="F2"/>
            <w:tcMar>
              <w:top w:w="79" w:type="dxa"/>
              <w:left w:w="113" w:type="dxa"/>
              <w:bottom w:w="79" w:type="dxa"/>
              <w:right w:w="113" w:type="dxa"/>
            </w:tcMar>
            <w:vAlign w:val="center"/>
          </w:tcPr>
          <w:p w14:paraId="24E01311" w14:textId="77777777" w:rsidR="001F231A" w:rsidRDefault="001F231A" w:rsidP="009B2B5F">
            <w:pPr>
              <w:pStyle w:val="CDIFigure-Table-BodyTextCentre"/>
            </w:pPr>
            <w:r>
              <w:t>346 (21.7)</w:t>
            </w:r>
          </w:p>
        </w:tc>
        <w:tc>
          <w:tcPr>
            <w:tcW w:w="1489" w:type="dxa"/>
            <w:shd w:val="clear" w:color="auto" w:fill="F2F2F2" w:themeFill="background1" w:themeFillShade="F2"/>
            <w:tcMar>
              <w:top w:w="79" w:type="dxa"/>
              <w:left w:w="113" w:type="dxa"/>
              <w:bottom w:w="79" w:type="dxa"/>
              <w:right w:w="113" w:type="dxa"/>
            </w:tcMar>
            <w:vAlign w:val="center"/>
          </w:tcPr>
          <w:p w14:paraId="43483783" w14:textId="77777777" w:rsidR="001F231A" w:rsidRDefault="001F231A" w:rsidP="009B2B5F">
            <w:pPr>
              <w:pStyle w:val="CDIFigure-Table-BodyTextCentre"/>
            </w:pPr>
            <w:r>
              <w:t>311 (19.5)</w:t>
            </w:r>
          </w:p>
        </w:tc>
      </w:tr>
      <w:tr w:rsidR="001F231A" w14:paraId="6F94BFFB" w14:textId="77777777" w:rsidTr="00B92C70">
        <w:trPr>
          <w:divId w:val="935526654"/>
          <w:trHeight w:val="20"/>
        </w:trPr>
        <w:tc>
          <w:tcPr>
            <w:tcW w:w="5386" w:type="dxa"/>
            <w:tcMar>
              <w:top w:w="79" w:type="dxa"/>
              <w:left w:w="113" w:type="dxa"/>
              <w:bottom w:w="79" w:type="dxa"/>
              <w:right w:w="113" w:type="dxa"/>
            </w:tcMar>
            <w:vAlign w:val="center"/>
          </w:tcPr>
          <w:p w14:paraId="73804264" w14:textId="77777777" w:rsidR="001F231A" w:rsidRDefault="001F231A" w:rsidP="009B2B5F">
            <w:pPr>
              <w:pStyle w:val="CDIFigure-Table-BodyTextLeft"/>
            </w:pPr>
            <w:r>
              <w:t>Migraine</w:t>
            </w:r>
          </w:p>
        </w:tc>
        <w:tc>
          <w:tcPr>
            <w:tcW w:w="1488" w:type="dxa"/>
            <w:tcMar>
              <w:top w:w="79" w:type="dxa"/>
              <w:left w:w="113" w:type="dxa"/>
              <w:bottom w:w="79" w:type="dxa"/>
              <w:right w:w="113" w:type="dxa"/>
            </w:tcMar>
            <w:vAlign w:val="center"/>
          </w:tcPr>
          <w:p w14:paraId="1A7FF27D" w14:textId="77777777" w:rsidR="001F231A" w:rsidRDefault="001F231A" w:rsidP="009B2B5F">
            <w:pPr>
              <w:pStyle w:val="CDIFigure-Table-BodyTextCentre"/>
            </w:pPr>
            <w:r>
              <w:t>1,578 (1.4)</w:t>
            </w:r>
          </w:p>
        </w:tc>
        <w:tc>
          <w:tcPr>
            <w:tcW w:w="1488" w:type="dxa"/>
            <w:tcMar>
              <w:top w:w="79" w:type="dxa"/>
              <w:left w:w="113" w:type="dxa"/>
              <w:bottom w:w="79" w:type="dxa"/>
              <w:right w:w="113" w:type="dxa"/>
            </w:tcMar>
            <w:vAlign w:val="center"/>
          </w:tcPr>
          <w:p w14:paraId="39865823" w14:textId="77777777" w:rsidR="001F231A" w:rsidRDefault="001F231A" w:rsidP="009B2B5F">
            <w:pPr>
              <w:pStyle w:val="CDIFigure-Table-BodyTextCentre"/>
            </w:pPr>
            <w:r>
              <w:t>246 (15.6)</w:t>
            </w:r>
          </w:p>
        </w:tc>
        <w:tc>
          <w:tcPr>
            <w:tcW w:w="1489" w:type="dxa"/>
            <w:tcMar>
              <w:top w:w="79" w:type="dxa"/>
              <w:left w:w="113" w:type="dxa"/>
              <w:bottom w:w="79" w:type="dxa"/>
              <w:right w:w="113" w:type="dxa"/>
            </w:tcMar>
            <w:vAlign w:val="center"/>
          </w:tcPr>
          <w:p w14:paraId="71F00F6D" w14:textId="77777777" w:rsidR="001F231A" w:rsidRDefault="001F231A" w:rsidP="009B2B5F">
            <w:pPr>
              <w:pStyle w:val="CDIFigure-Table-BodyTextCentre"/>
            </w:pPr>
            <w:r>
              <w:t>6 (0.4)</w:t>
            </w:r>
          </w:p>
        </w:tc>
        <w:tc>
          <w:tcPr>
            <w:tcW w:w="1488" w:type="dxa"/>
            <w:tcMar>
              <w:top w:w="79" w:type="dxa"/>
              <w:left w:w="113" w:type="dxa"/>
              <w:bottom w:w="79" w:type="dxa"/>
              <w:right w:w="113" w:type="dxa"/>
            </w:tcMar>
            <w:vAlign w:val="center"/>
          </w:tcPr>
          <w:p w14:paraId="218CCB33" w14:textId="77777777" w:rsidR="001F231A" w:rsidRDefault="001F231A" w:rsidP="009B2B5F">
            <w:pPr>
              <w:pStyle w:val="CDIFigure-Table-BodyTextCentre"/>
            </w:pPr>
            <w:r>
              <w:t>1,310 (83.0)</w:t>
            </w:r>
          </w:p>
        </w:tc>
        <w:tc>
          <w:tcPr>
            <w:tcW w:w="1488" w:type="dxa"/>
            <w:tcMar>
              <w:top w:w="79" w:type="dxa"/>
              <w:left w:w="113" w:type="dxa"/>
              <w:bottom w:w="79" w:type="dxa"/>
              <w:right w:w="113" w:type="dxa"/>
            </w:tcMar>
            <w:vAlign w:val="center"/>
          </w:tcPr>
          <w:p w14:paraId="315C2E15" w14:textId="77777777" w:rsidR="001F231A" w:rsidRDefault="001F231A" w:rsidP="009B2B5F">
            <w:pPr>
              <w:pStyle w:val="CDIFigure-Table-BodyTextCentre"/>
            </w:pPr>
            <w:r>
              <w:t>182 (11.5)</w:t>
            </w:r>
          </w:p>
        </w:tc>
        <w:tc>
          <w:tcPr>
            <w:tcW w:w="1489" w:type="dxa"/>
            <w:tcMar>
              <w:top w:w="79" w:type="dxa"/>
              <w:left w:w="113" w:type="dxa"/>
              <w:bottom w:w="79" w:type="dxa"/>
              <w:right w:w="113" w:type="dxa"/>
            </w:tcMar>
            <w:vAlign w:val="center"/>
          </w:tcPr>
          <w:p w14:paraId="3860AB34" w14:textId="77777777" w:rsidR="001F231A" w:rsidRDefault="001F231A" w:rsidP="009B2B5F">
            <w:pPr>
              <w:pStyle w:val="CDIFigure-Table-BodyTextCentre"/>
            </w:pPr>
            <w:r>
              <w:t>307 (19.5)</w:t>
            </w:r>
          </w:p>
        </w:tc>
      </w:tr>
      <w:tr w:rsidR="00B92C70" w14:paraId="1BDF71E1"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3895F513" w14:textId="77777777" w:rsidR="001F231A" w:rsidRDefault="001F231A" w:rsidP="009B2B5F">
            <w:pPr>
              <w:pStyle w:val="CDIFigure-Table-BodyTextLeft"/>
            </w:pPr>
            <w:r>
              <w:t>Fibrin D dimer increased</w:t>
            </w:r>
          </w:p>
        </w:tc>
        <w:tc>
          <w:tcPr>
            <w:tcW w:w="1488" w:type="dxa"/>
            <w:shd w:val="clear" w:color="auto" w:fill="F2F2F2" w:themeFill="background1" w:themeFillShade="F2"/>
            <w:tcMar>
              <w:top w:w="79" w:type="dxa"/>
              <w:left w:w="113" w:type="dxa"/>
              <w:bottom w:w="79" w:type="dxa"/>
              <w:right w:w="113" w:type="dxa"/>
            </w:tcMar>
            <w:vAlign w:val="center"/>
          </w:tcPr>
          <w:p w14:paraId="6BE79B2A" w14:textId="77777777" w:rsidR="001F231A" w:rsidRDefault="001F231A" w:rsidP="009B2B5F">
            <w:pPr>
              <w:pStyle w:val="CDIFigure-Table-BodyTextCentre"/>
            </w:pPr>
            <w:r>
              <w:t>1,570 (1.4)</w:t>
            </w:r>
          </w:p>
        </w:tc>
        <w:tc>
          <w:tcPr>
            <w:tcW w:w="1488" w:type="dxa"/>
            <w:shd w:val="clear" w:color="auto" w:fill="F2F2F2" w:themeFill="background1" w:themeFillShade="F2"/>
            <w:tcMar>
              <w:top w:w="79" w:type="dxa"/>
              <w:left w:w="113" w:type="dxa"/>
              <w:bottom w:w="79" w:type="dxa"/>
              <w:right w:w="113" w:type="dxa"/>
            </w:tcMar>
            <w:vAlign w:val="center"/>
          </w:tcPr>
          <w:p w14:paraId="2F387C1E" w14:textId="77777777" w:rsidR="001F231A" w:rsidRDefault="001F231A" w:rsidP="009B2B5F">
            <w:pPr>
              <w:pStyle w:val="CDIFigure-Table-BodyTextCentre"/>
            </w:pPr>
            <w:r>
              <w:t>26 (1.7)</w:t>
            </w:r>
          </w:p>
        </w:tc>
        <w:tc>
          <w:tcPr>
            <w:tcW w:w="1489" w:type="dxa"/>
            <w:shd w:val="clear" w:color="auto" w:fill="F2F2F2" w:themeFill="background1" w:themeFillShade="F2"/>
            <w:tcMar>
              <w:top w:w="79" w:type="dxa"/>
              <w:left w:w="113" w:type="dxa"/>
              <w:bottom w:w="79" w:type="dxa"/>
              <w:right w:w="113" w:type="dxa"/>
            </w:tcMar>
            <w:vAlign w:val="center"/>
          </w:tcPr>
          <w:p w14:paraId="24FE4711" w14:textId="77777777" w:rsidR="001F231A" w:rsidRDefault="001F231A" w:rsidP="009B2B5F">
            <w:pPr>
              <w:pStyle w:val="CDIFigure-Table-BodyTextCentre"/>
            </w:pPr>
            <w:r>
              <w:t>4 (0.3)</w:t>
            </w:r>
          </w:p>
        </w:tc>
        <w:tc>
          <w:tcPr>
            <w:tcW w:w="1488" w:type="dxa"/>
            <w:shd w:val="clear" w:color="auto" w:fill="F2F2F2" w:themeFill="background1" w:themeFillShade="F2"/>
            <w:tcMar>
              <w:top w:w="79" w:type="dxa"/>
              <w:left w:w="113" w:type="dxa"/>
              <w:bottom w:w="79" w:type="dxa"/>
              <w:right w:w="113" w:type="dxa"/>
            </w:tcMar>
            <w:vAlign w:val="center"/>
          </w:tcPr>
          <w:p w14:paraId="49F92B8B" w14:textId="77777777" w:rsidR="001F231A" w:rsidRDefault="001F231A" w:rsidP="009B2B5F">
            <w:pPr>
              <w:pStyle w:val="CDIFigure-Table-BodyTextCentre"/>
            </w:pPr>
            <w:r>
              <w:t>701 (44.6)</w:t>
            </w:r>
          </w:p>
        </w:tc>
        <w:tc>
          <w:tcPr>
            <w:tcW w:w="1488" w:type="dxa"/>
            <w:shd w:val="clear" w:color="auto" w:fill="F2F2F2" w:themeFill="background1" w:themeFillShade="F2"/>
            <w:tcMar>
              <w:top w:w="79" w:type="dxa"/>
              <w:left w:w="113" w:type="dxa"/>
              <w:bottom w:w="79" w:type="dxa"/>
              <w:right w:w="113" w:type="dxa"/>
            </w:tcMar>
            <w:vAlign w:val="center"/>
          </w:tcPr>
          <w:p w14:paraId="77086190" w14:textId="77777777" w:rsidR="001F231A" w:rsidRDefault="001F231A" w:rsidP="009B2B5F">
            <w:pPr>
              <w:pStyle w:val="CDIFigure-Table-BodyTextCentre"/>
            </w:pPr>
            <w:r>
              <w:t>844 (53.8)</w:t>
            </w:r>
          </w:p>
        </w:tc>
        <w:tc>
          <w:tcPr>
            <w:tcW w:w="1489" w:type="dxa"/>
            <w:shd w:val="clear" w:color="auto" w:fill="F2F2F2" w:themeFill="background1" w:themeFillShade="F2"/>
            <w:tcMar>
              <w:top w:w="79" w:type="dxa"/>
              <w:left w:w="113" w:type="dxa"/>
              <w:bottom w:w="79" w:type="dxa"/>
              <w:right w:w="113" w:type="dxa"/>
            </w:tcMar>
            <w:vAlign w:val="center"/>
          </w:tcPr>
          <w:p w14:paraId="1793CB00" w14:textId="77777777" w:rsidR="001F231A" w:rsidRDefault="001F231A" w:rsidP="009B2B5F">
            <w:pPr>
              <w:pStyle w:val="CDIFigure-Table-BodyTextCentre"/>
            </w:pPr>
            <w:r>
              <w:t>710 (45.2)</w:t>
            </w:r>
          </w:p>
        </w:tc>
      </w:tr>
      <w:tr w:rsidR="001F231A" w14:paraId="50F7D4F8" w14:textId="77777777" w:rsidTr="00B92C70">
        <w:trPr>
          <w:divId w:val="935526654"/>
          <w:trHeight w:val="20"/>
        </w:trPr>
        <w:tc>
          <w:tcPr>
            <w:tcW w:w="5386" w:type="dxa"/>
            <w:tcMar>
              <w:top w:w="79" w:type="dxa"/>
              <w:left w:w="113" w:type="dxa"/>
              <w:bottom w:w="79" w:type="dxa"/>
              <w:right w:w="113" w:type="dxa"/>
            </w:tcMar>
            <w:vAlign w:val="center"/>
          </w:tcPr>
          <w:p w14:paraId="66208506" w14:textId="77777777" w:rsidR="001F231A" w:rsidRDefault="001F231A" w:rsidP="009B2B5F">
            <w:pPr>
              <w:pStyle w:val="CDIFigure-Table-BodyTextLeft"/>
            </w:pPr>
            <w:r>
              <w:t>Tremor</w:t>
            </w:r>
          </w:p>
        </w:tc>
        <w:tc>
          <w:tcPr>
            <w:tcW w:w="1488" w:type="dxa"/>
            <w:tcMar>
              <w:top w:w="79" w:type="dxa"/>
              <w:left w:w="113" w:type="dxa"/>
              <w:bottom w:w="79" w:type="dxa"/>
              <w:right w:w="113" w:type="dxa"/>
            </w:tcMar>
            <w:vAlign w:val="center"/>
          </w:tcPr>
          <w:p w14:paraId="089C318B" w14:textId="77777777" w:rsidR="001F231A" w:rsidRDefault="001F231A" w:rsidP="009B2B5F">
            <w:pPr>
              <w:pStyle w:val="CDIFigure-Table-BodyTextCentre"/>
            </w:pPr>
            <w:r>
              <w:t>1,514 (1.4)</w:t>
            </w:r>
          </w:p>
        </w:tc>
        <w:tc>
          <w:tcPr>
            <w:tcW w:w="1488" w:type="dxa"/>
            <w:tcMar>
              <w:top w:w="79" w:type="dxa"/>
              <w:left w:w="113" w:type="dxa"/>
              <w:bottom w:w="79" w:type="dxa"/>
              <w:right w:w="113" w:type="dxa"/>
            </w:tcMar>
            <w:vAlign w:val="center"/>
          </w:tcPr>
          <w:p w14:paraId="6B25465C" w14:textId="77777777" w:rsidR="001F231A" w:rsidRDefault="001F231A" w:rsidP="009B2B5F">
            <w:pPr>
              <w:pStyle w:val="CDIFigure-Table-BodyTextCentre"/>
            </w:pPr>
            <w:r>
              <w:t>30 (2.0)</w:t>
            </w:r>
          </w:p>
        </w:tc>
        <w:tc>
          <w:tcPr>
            <w:tcW w:w="1489" w:type="dxa"/>
            <w:tcMar>
              <w:top w:w="79" w:type="dxa"/>
              <w:left w:w="113" w:type="dxa"/>
              <w:bottom w:w="79" w:type="dxa"/>
              <w:right w:w="113" w:type="dxa"/>
            </w:tcMar>
            <w:vAlign w:val="center"/>
          </w:tcPr>
          <w:p w14:paraId="10091F5A" w14:textId="77777777" w:rsidR="001F231A" w:rsidRDefault="001F231A" w:rsidP="009B2B5F">
            <w:pPr>
              <w:pStyle w:val="CDIFigure-Table-BodyTextCentre"/>
            </w:pPr>
            <w:r>
              <w:t>20 (1.3)</w:t>
            </w:r>
          </w:p>
        </w:tc>
        <w:tc>
          <w:tcPr>
            <w:tcW w:w="1488" w:type="dxa"/>
            <w:tcMar>
              <w:top w:w="79" w:type="dxa"/>
              <w:left w:w="113" w:type="dxa"/>
              <w:bottom w:w="79" w:type="dxa"/>
              <w:right w:w="113" w:type="dxa"/>
            </w:tcMar>
            <w:vAlign w:val="center"/>
          </w:tcPr>
          <w:p w14:paraId="490470C6" w14:textId="77777777" w:rsidR="001F231A" w:rsidRDefault="001F231A" w:rsidP="009B2B5F">
            <w:pPr>
              <w:pStyle w:val="CDIFigure-Table-BodyTextCentre"/>
            </w:pPr>
            <w:r>
              <w:t>1,001 (66.1)</w:t>
            </w:r>
          </w:p>
        </w:tc>
        <w:tc>
          <w:tcPr>
            <w:tcW w:w="1488" w:type="dxa"/>
            <w:tcMar>
              <w:top w:w="79" w:type="dxa"/>
              <w:left w:w="113" w:type="dxa"/>
              <w:bottom w:w="79" w:type="dxa"/>
              <w:right w:w="113" w:type="dxa"/>
            </w:tcMar>
            <w:vAlign w:val="center"/>
          </w:tcPr>
          <w:p w14:paraId="4A6734CB" w14:textId="77777777" w:rsidR="001F231A" w:rsidRDefault="001F231A" w:rsidP="009B2B5F">
            <w:pPr>
              <w:pStyle w:val="CDIFigure-Table-BodyTextCentre"/>
            </w:pPr>
            <w:r>
              <w:t>423 (27.9)</w:t>
            </w:r>
          </w:p>
        </w:tc>
        <w:tc>
          <w:tcPr>
            <w:tcW w:w="1489" w:type="dxa"/>
            <w:tcMar>
              <w:top w:w="79" w:type="dxa"/>
              <w:left w:w="113" w:type="dxa"/>
              <w:bottom w:w="79" w:type="dxa"/>
              <w:right w:w="113" w:type="dxa"/>
            </w:tcMar>
            <w:vAlign w:val="center"/>
          </w:tcPr>
          <w:p w14:paraId="746139EB" w14:textId="77777777" w:rsidR="001F231A" w:rsidRDefault="001F231A" w:rsidP="009B2B5F">
            <w:pPr>
              <w:pStyle w:val="CDIFigure-Table-BodyTextCentre"/>
            </w:pPr>
            <w:r>
              <w:t>287 (19.0)</w:t>
            </w:r>
          </w:p>
        </w:tc>
      </w:tr>
      <w:tr w:rsidR="00B92C70" w14:paraId="09A81C53"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4EB21DD0" w14:textId="77777777" w:rsidR="001F231A" w:rsidRDefault="001F231A" w:rsidP="009B2B5F">
            <w:pPr>
              <w:pStyle w:val="CDIFigure-Table-BodyTextLeft"/>
            </w:pPr>
            <w:r>
              <w:t>Back pain</w:t>
            </w:r>
          </w:p>
        </w:tc>
        <w:tc>
          <w:tcPr>
            <w:tcW w:w="1488" w:type="dxa"/>
            <w:shd w:val="clear" w:color="auto" w:fill="F2F2F2" w:themeFill="background1" w:themeFillShade="F2"/>
            <w:tcMar>
              <w:top w:w="79" w:type="dxa"/>
              <w:left w:w="113" w:type="dxa"/>
              <w:bottom w:w="79" w:type="dxa"/>
              <w:right w:w="113" w:type="dxa"/>
            </w:tcMar>
            <w:vAlign w:val="center"/>
          </w:tcPr>
          <w:p w14:paraId="222E87BC" w14:textId="77777777" w:rsidR="001F231A" w:rsidRDefault="001F231A" w:rsidP="009B2B5F">
            <w:pPr>
              <w:pStyle w:val="CDIFigure-Table-BodyTextCentre"/>
            </w:pPr>
            <w:r>
              <w:t>1,483 (1.3)</w:t>
            </w:r>
          </w:p>
        </w:tc>
        <w:tc>
          <w:tcPr>
            <w:tcW w:w="1488" w:type="dxa"/>
            <w:shd w:val="clear" w:color="auto" w:fill="F2F2F2" w:themeFill="background1" w:themeFillShade="F2"/>
            <w:tcMar>
              <w:top w:w="79" w:type="dxa"/>
              <w:left w:w="113" w:type="dxa"/>
              <w:bottom w:w="79" w:type="dxa"/>
              <w:right w:w="113" w:type="dxa"/>
            </w:tcMar>
            <w:vAlign w:val="center"/>
          </w:tcPr>
          <w:p w14:paraId="6E1A0299" w14:textId="77777777" w:rsidR="001F231A" w:rsidRDefault="001F231A" w:rsidP="009B2B5F">
            <w:pPr>
              <w:pStyle w:val="CDIFigure-Table-BodyTextCentre"/>
            </w:pPr>
            <w:r>
              <w:t>70 (4.7)</w:t>
            </w:r>
          </w:p>
        </w:tc>
        <w:tc>
          <w:tcPr>
            <w:tcW w:w="1489" w:type="dxa"/>
            <w:shd w:val="clear" w:color="auto" w:fill="F2F2F2" w:themeFill="background1" w:themeFillShade="F2"/>
            <w:tcMar>
              <w:top w:w="79" w:type="dxa"/>
              <w:left w:w="113" w:type="dxa"/>
              <w:bottom w:w="79" w:type="dxa"/>
              <w:right w:w="113" w:type="dxa"/>
            </w:tcMar>
            <w:vAlign w:val="center"/>
          </w:tcPr>
          <w:p w14:paraId="76E29679" w14:textId="77777777" w:rsidR="001F231A" w:rsidRDefault="001F231A" w:rsidP="009B2B5F">
            <w:pPr>
              <w:pStyle w:val="CDIFigure-Table-BodyTextCentre"/>
            </w:pPr>
            <w:r>
              <w:t>10 (0.7)</w:t>
            </w:r>
          </w:p>
        </w:tc>
        <w:tc>
          <w:tcPr>
            <w:tcW w:w="1488" w:type="dxa"/>
            <w:shd w:val="clear" w:color="auto" w:fill="F2F2F2" w:themeFill="background1" w:themeFillShade="F2"/>
            <w:tcMar>
              <w:top w:w="79" w:type="dxa"/>
              <w:left w:w="113" w:type="dxa"/>
              <w:bottom w:w="79" w:type="dxa"/>
              <w:right w:w="113" w:type="dxa"/>
            </w:tcMar>
            <w:vAlign w:val="center"/>
          </w:tcPr>
          <w:p w14:paraId="6DB39990" w14:textId="77777777" w:rsidR="001F231A" w:rsidRDefault="001F231A" w:rsidP="009B2B5F">
            <w:pPr>
              <w:pStyle w:val="CDIFigure-Table-BodyTextCentre"/>
            </w:pPr>
            <w:r>
              <w:t>952 (64.2)</w:t>
            </w:r>
          </w:p>
        </w:tc>
        <w:tc>
          <w:tcPr>
            <w:tcW w:w="1488" w:type="dxa"/>
            <w:shd w:val="clear" w:color="auto" w:fill="F2F2F2" w:themeFill="background1" w:themeFillShade="F2"/>
            <w:tcMar>
              <w:top w:w="79" w:type="dxa"/>
              <w:left w:w="113" w:type="dxa"/>
              <w:bottom w:w="79" w:type="dxa"/>
              <w:right w:w="113" w:type="dxa"/>
            </w:tcMar>
            <w:vAlign w:val="center"/>
          </w:tcPr>
          <w:p w14:paraId="1E172206" w14:textId="77777777" w:rsidR="001F231A" w:rsidRDefault="001F231A" w:rsidP="009B2B5F">
            <w:pPr>
              <w:pStyle w:val="CDIFigure-Table-BodyTextCentre"/>
            </w:pPr>
            <w:r>
              <w:t>434 (29.3)</w:t>
            </w:r>
          </w:p>
        </w:tc>
        <w:tc>
          <w:tcPr>
            <w:tcW w:w="1489" w:type="dxa"/>
            <w:shd w:val="clear" w:color="auto" w:fill="F2F2F2" w:themeFill="background1" w:themeFillShade="F2"/>
            <w:tcMar>
              <w:top w:w="79" w:type="dxa"/>
              <w:left w:w="113" w:type="dxa"/>
              <w:bottom w:w="79" w:type="dxa"/>
              <w:right w:w="113" w:type="dxa"/>
            </w:tcMar>
            <w:vAlign w:val="center"/>
          </w:tcPr>
          <w:p w14:paraId="78810BA1" w14:textId="77777777" w:rsidR="001F231A" w:rsidRDefault="001F231A" w:rsidP="009B2B5F">
            <w:pPr>
              <w:pStyle w:val="CDIFigure-Table-BodyTextCentre"/>
            </w:pPr>
            <w:r>
              <w:t>246 (16.6)</w:t>
            </w:r>
          </w:p>
        </w:tc>
      </w:tr>
      <w:tr w:rsidR="001F231A" w14:paraId="1CD7FFB0" w14:textId="77777777" w:rsidTr="00B92C70">
        <w:trPr>
          <w:divId w:val="935526654"/>
          <w:trHeight w:val="20"/>
        </w:trPr>
        <w:tc>
          <w:tcPr>
            <w:tcW w:w="5386" w:type="dxa"/>
            <w:tcMar>
              <w:top w:w="79" w:type="dxa"/>
              <w:left w:w="113" w:type="dxa"/>
              <w:bottom w:w="79" w:type="dxa"/>
              <w:right w:w="113" w:type="dxa"/>
            </w:tcMar>
            <w:vAlign w:val="center"/>
          </w:tcPr>
          <w:p w14:paraId="115340F2" w14:textId="77777777" w:rsidR="001F231A" w:rsidRDefault="001F231A" w:rsidP="009B2B5F">
            <w:pPr>
              <w:pStyle w:val="CDIFigure-Table-BodyTextLeft"/>
            </w:pPr>
            <w:r>
              <w:lastRenderedPageBreak/>
              <w:t>Insomnia</w:t>
            </w:r>
          </w:p>
        </w:tc>
        <w:tc>
          <w:tcPr>
            <w:tcW w:w="1488" w:type="dxa"/>
            <w:tcMar>
              <w:top w:w="79" w:type="dxa"/>
              <w:left w:w="113" w:type="dxa"/>
              <w:bottom w:w="79" w:type="dxa"/>
              <w:right w:w="113" w:type="dxa"/>
            </w:tcMar>
            <w:vAlign w:val="center"/>
          </w:tcPr>
          <w:p w14:paraId="41EF3E82" w14:textId="77777777" w:rsidR="001F231A" w:rsidRDefault="001F231A" w:rsidP="009B2B5F">
            <w:pPr>
              <w:pStyle w:val="CDIFigure-Table-BodyTextCentre"/>
            </w:pPr>
            <w:r>
              <w:t>1,483 (1.3)</w:t>
            </w:r>
          </w:p>
        </w:tc>
        <w:tc>
          <w:tcPr>
            <w:tcW w:w="1488" w:type="dxa"/>
            <w:tcMar>
              <w:top w:w="79" w:type="dxa"/>
              <w:left w:w="113" w:type="dxa"/>
              <w:bottom w:w="79" w:type="dxa"/>
              <w:right w:w="113" w:type="dxa"/>
            </w:tcMar>
            <w:vAlign w:val="center"/>
          </w:tcPr>
          <w:p w14:paraId="123DDCB8" w14:textId="77777777" w:rsidR="001F231A" w:rsidRDefault="001F231A" w:rsidP="009B2B5F">
            <w:pPr>
              <w:pStyle w:val="CDIFigure-Table-BodyTextCentre"/>
            </w:pPr>
            <w:r>
              <w:t>59 (4.0)</w:t>
            </w:r>
          </w:p>
        </w:tc>
        <w:tc>
          <w:tcPr>
            <w:tcW w:w="1489" w:type="dxa"/>
            <w:tcMar>
              <w:top w:w="79" w:type="dxa"/>
              <w:left w:w="113" w:type="dxa"/>
              <w:bottom w:w="79" w:type="dxa"/>
              <w:right w:w="113" w:type="dxa"/>
            </w:tcMar>
            <w:vAlign w:val="center"/>
          </w:tcPr>
          <w:p w14:paraId="6A492A00" w14:textId="77777777" w:rsidR="001F231A" w:rsidRDefault="001F231A" w:rsidP="009B2B5F">
            <w:pPr>
              <w:pStyle w:val="CDIFigure-Table-BodyTextCentre"/>
            </w:pPr>
            <w:r>
              <w:t>7 (0.5)</w:t>
            </w:r>
          </w:p>
        </w:tc>
        <w:tc>
          <w:tcPr>
            <w:tcW w:w="1488" w:type="dxa"/>
            <w:tcMar>
              <w:top w:w="79" w:type="dxa"/>
              <w:left w:w="113" w:type="dxa"/>
              <w:bottom w:w="79" w:type="dxa"/>
              <w:right w:w="113" w:type="dxa"/>
            </w:tcMar>
            <w:vAlign w:val="center"/>
          </w:tcPr>
          <w:p w14:paraId="13DD33D2" w14:textId="77777777" w:rsidR="001F231A" w:rsidRDefault="001F231A" w:rsidP="009B2B5F">
            <w:pPr>
              <w:pStyle w:val="CDIFigure-Table-BodyTextCentre"/>
            </w:pPr>
            <w:r>
              <w:t>1,057 (71.3)</w:t>
            </w:r>
          </w:p>
        </w:tc>
        <w:tc>
          <w:tcPr>
            <w:tcW w:w="1488" w:type="dxa"/>
            <w:tcMar>
              <w:top w:w="79" w:type="dxa"/>
              <w:left w:w="113" w:type="dxa"/>
              <w:bottom w:w="79" w:type="dxa"/>
              <w:right w:w="113" w:type="dxa"/>
            </w:tcMar>
            <w:vAlign w:val="center"/>
          </w:tcPr>
          <w:p w14:paraId="2819AF65" w14:textId="77777777" w:rsidR="001F231A" w:rsidRDefault="001F231A" w:rsidP="009B2B5F">
            <w:pPr>
              <w:pStyle w:val="CDIFigure-Table-BodyTextCentre"/>
            </w:pPr>
            <w:r>
              <w:t>334 (22.5)</w:t>
            </w:r>
          </w:p>
        </w:tc>
        <w:tc>
          <w:tcPr>
            <w:tcW w:w="1489" w:type="dxa"/>
            <w:tcMar>
              <w:top w:w="79" w:type="dxa"/>
              <w:left w:w="113" w:type="dxa"/>
              <w:bottom w:w="79" w:type="dxa"/>
              <w:right w:w="113" w:type="dxa"/>
            </w:tcMar>
            <w:vAlign w:val="center"/>
          </w:tcPr>
          <w:p w14:paraId="7C6A80B1" w14:textId="77777777" w:rsidR="001F231A" w:rsidRDefault="001F231A" w:rsidP="009B2B5F">
            <w:pPr>
              <w:pStyle w:val="CDIFigure-Table-BodyTextCentre"/>
            </w:pPr>
            <w:r>
              <w:t>185 (12.5)</w:t>
            </w:r>
          </w:p>
        </w:tc>
      </w:tr>
      <w:tr w:rsidR="00B92C70" w14:paraId="10370407"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2578C04E" w14:textId="77777777" w:rsidR="001F231A" w:rsidRDefault="001F231A" w:rsidP="009B2B5F">
            <w:pPr>
              <w:pStyle w:val="CDIFigure-Table-BodyTextLeft"/>
            </w:pPr>
            <w:r>
              <w:t>Angioedema</w:t>
            </w:r>
          </w:p>
        </w:tc>
        <w:tc>
          <w:tcPr>
            <w:tcW w:w="1488" w:type="dxa"/>
            <w:shd w:val="clear" w:color="auto" w:fill="F2F2F2" w:themeFill="background1" w:themeFillShade="F2"/>
            <w:tcMar>
              <w:top w:w="79" w:type="dxa"/>
              <w:left w:w="113" w:type="dxa"/>
              <w:bottom w:w="79" w:type="dxa"/>
              <w:right w:w="113" w:type="dxa"/>
            </w:tcMar>
            <w:vAlign w:val="center"/>
          </w:tcPr>
          <w:p w14:paraId="2476411C" w14:textId="77777777" w:rsidR="001F231A" w:rsidRDefault="001F231A" w:rsidP="009B2B5F">
            <w:pPr>
              <w:pStyle w:val="CDIFigure-Table-BodyTextCentre"/>
            </w:pPr>
            <w:r>
              <w:t>1,390 (1.2)</w:t>
            </w:r>
          </w:p>
        </w:tc>
        <w:tc>
          <w:tcPr>
            <w:tcW w:w="1488" w:type="dxa"/>
            <w:shd w:val="clear" w:color="auto" w:fill="F2F2F2" w:themeFill="background1" w:themeFillShade="F2"/>
            <w:tcMar>
              <w:top w:w="79" w:type="dxa"/>
              <w:left w:w="113" w:type="dxa"/>
              <w:bottom w:w="79" w:type="dxa"/>
              <w:right w:w="113" w:type="dxa"/>
            </w:tcMar>
            <w:vAlign w:val="center"/>
          </w:tcPr>
          <w:p w14:paraId="67ACA1AA" w14:textId="77777777" w:rsidR="001F231A" w:rsidRDefault="001F231A" w:rsidP="009B2B5F">
            <w:pPr>
              <w:pStyle w:val="CDIFigure-Table-BodyTextCentre"/>
            </w:pPr>
            <w:r>
              <w:t>110 (7.9)</w:t>
            </w:r>
          </w:p>
        </w:tc>
        <w:tc>
          <w:tcPr>
            <w:tcW w:w="1489" w:type="dxa"/>
            <w:shd w:val="clear" w:color="auto" w:fill="F2F2F2" w:themeFill="background1" w:themeFillShade="F2"/>
            <w:tcMar>
              <w:top w:w="79" w:type="dxa"/>
              <w:left w:w="113" w:type="dxa"/>
              <w:bottom w:w="79" w:type="dxa"/>
              <w:right w:w="113" w:type="dxa"/>
            </w:tcMar>
            <w:vAlign w:val="center"/>
          </w:tcPr>
          <w:p w14:paraId="64C2F66F" w14:textId="77777777" w:rsidR="001F231A" w:rsidRDefault="001F231A" w:rsidP="009B2B5F">
            <w:pPr>
              <w:pStyle w:val="CDIFigure-Table-BodyTextCentre"/>
            </w:pPr>
            <w:r>
              <w:t>23 (1.7)</w:t>
            </w:r>
          </w:p>
        </w:tc>
        <w:tc>
          <w:tcPr>
            <w:tcW w:w="1488" w:type="dxa"/>
            <w:shd w:val="clear" w:color="auto" w:fill="F2F2F2" w:themeFill="background1" w:themeFillShade="F2"/>
            <w:tcMar>
              <w:top w:w="79" w:type="dxa"/>
              <w:left w:w="113" w:type="dxa"/>
              <w:bottom w:w="79" w:type="dxa"/>
              <w:right w:w="113" w:type="dxa"/>
            </w:tcMar>
            <w:vAlign w:val="center"/>
          </w:tcPr>
          <w:p w14:paraId="2674EDF2" w14:textId="77777777" w:rsidR="001F231A" w:rsidRDefault="001F231A" w:rsidP="009B2B5F">
            <w:pPr>
              <w:pStyle w:val="CDIFigure-Table-BodyTextCentre"/>
            </w:pPr>
            <w:r>
              <w:t>1,074 (77.3)</w:t>
            </w:r>
          </w:p>
        </w:tc>
        <w:tc>
          <w:tcPr>
            <w:tcW w:w="1488" w:type="dxa"/>
            <w:shd w:val="clear" w:color="auto" w:fill="F2F2F2" w:themeFill="background1" w:themeFillShade="F2"/>
            <w:tcMar>
              <w:top w:w="79" w:type="dxa"/>
              <w:left w:w="113" w:type="dxa"/>
              <w:bottom w:w="79" w:type="dxa"/>
              <w:right w:w="113" w:type="dxa"/>
            </w:tcMar>
            <w:vAlign w:val="center"/>
          </w:tcPr>
          <w:p w14:paraId="6ED92CC9" w14:textId="77777777" w:rsidR="001F231A" w:rsidRDefault="001F231A" w:rsidP="009B2B5F">
            <w:pPr>
              <w:pStyle w:val="CDIFigure-Table-BodyTextCentre"/>
            </w:pPr>
            <w:r>
              <w:t>241 (17.3)</w:t>
            </w:r>
          </w:p>
        </w:tc>
        <w:tc>
          <w:tcPr>
            <w:tcW w:w="1489" w:type="dxa"/>
            <w:shd w:val="clear" w:color="auto" w:fill="F2F2F2" w:themeFill="background1" w:themeFillShade="F2"/>
            <w:tcMar>
              <w:top w:w="79" w:type="dxa"/>
              <w:left w:w="113" w:type="dxa"/>
              <w:bottom w:w="79" w:type="dxa"/>
              <w:right w:w="113" w:type="dxa"/>
            </w:tcMar>
            <w:vAlign w:val="center"/>
          </w:tcPr>
          <w:p w14:paraId="1C980CFD" w14:textId="77777777" w:rsidR="001F231A" w:rsidRDefault="001F231A" w:rsidP="009B2B5F">
            <w:pPr>
              <w:pStyle w:val="CDIFigure-Table-BodyTextCentre"/>
            </w:pPr>
            <w:r>
              <w:t>197 (14.2)</w:t>
            </w:r>
          </w:p>
        </w:tc>
      </w:tr>
      <w:tr w:rsidR="001F231A" w14:paraId="36FB9AFB" w14:textId="77777777" w:rsidTr="00B92C70">
        <w:trPr>
          <w:divId w:val="935526654"/>
          <w:trHeight w:val="20"/>
        </w:trPr>
        <w:tc>
          <w:tcPr>
            <w:tcW w:w="5386" w:type="dxa"/>
            <w:tcMar>
              <w:top w:w="79" w:type="dxa"/>
              <w:left w:w="113" w:type="dxa"/>
              <w:bottom w:w="79" w:type="dxa"/>
              <w:right w:w="113" w:type="dxa"/>
            </w:tcMar>
            <w:vAlign w:val="center"/>
          </w:tcPr>
          <w:p w14:paraId="29A24A46" w14:textId="77777777" w:rsidR="001F231A" w:rsidRDefault="001F231A" w:rsidP="009B2B5F">
            <w:pPr>
              <w:pStyle w:val="CDIFigure-Table-BodyTextLeft"/>
            </w:pPr>
            <w:r>
              <w:t>Asthenia</w:t>
            </w:r>
          </w:p>
        </w:tc>
        <w:tc>
          <w:tcPr>
            <w:tcW w:w="1488" w:type="dxa"/>
            <w:tcMar>
              <w:top w:w="79" w:type="dxa"/>
              <w:left w:w="113" w:type="dxa"/>
              <w:bottom w:w="79" w:type="dxa"/>
              <w:right w:w="113" w:type="dxa"/>
            </w:tcMar>
            <w:vAlign w:val="center"/>
          </w:tcPr>
          <w:p w14:paraId="52082F14" w14:textId="77777777" w:rsidR="001F231A" w:rsidRDefault="001F231A" w:rsidP="009B2B5F">
            <w:pPr>
              <w:pStyle w:val="CDIFigure-Table-BodyTextCentre"/>
            </w:pPr>
            <w:r>
              <w:t>1,376 (1.2)</w:t>
            </w:r>
          </w:p>
        </w:tc>
        <w:tc>
          <w:tcPr>
            <w:tcW w:w="1488" w:type="dxa"/>
            <w:tcMar>
              <w:top w:w="79" w:type="dxa"/>
              <w:left w:w="113" w:type="dxa"/>
              <w:bottom w:w="79" w:type="dxa"/>
              <w:right w:w="113" w:type="dxa"/>
            </w:tcMar>
            <w:vAlign w:val="center"/>
          </w:tcPr>
          <w:p w14:paraId="1F02EF54" w14:textId="77777777" w:rsidR="001F231A" w:rsidRDefault="001F231A" w:rsidP="009B2B5F">
            <w:pPr>
              <w:pStyle w:val="CDIFigure-Table-BodyTextCentre"/>
            </w:pPr>
            <w:r>
              <w:t>11 (0.8)</w:t>
            </w:r>
          </w:p>
        </w:tc>
        <w:tc>
          <w:tcPr>
            <w:tcW w:w="1489" w:type="dxa"/>
            <w:tcMar>
              <w:top w:w="79" w:type="dxa"/>
              <w:left w:w="113" w:type="dxa"/>
              <w:bottom w:w="79" w:type="dxa"/>
              <w:right w:w="113" w:type="dxa"/>
            </w:tcMar>
            <w:vAlign w:val="center"/>
          </w:tcPr>
          <w:p w14:paraId="4EA433EB" w14:textId="77777777" w:rsidR="001F231A" w:rsidRDefault="001F231A" w:rsidP="009B2B5F">
            <w:pPr>
              <w:pStyle w:val="CDIFigure-Table-BodyTextCentre"/>
            </w:pPr>
            <w:r>
              <w:t>10 (0.7)</w:t>
            </w:r>
          </w:p>
        </w:tc>
        <w:tc>
          <w:tcPr>
            <w:tcW w:w="1488" w:type="dxa"/>
            <w:tcMar>
              <w:top w:w="79" w:type="dxa"/>
              <w:left w:w="113" w:type="dxa"/>
              <w:bottom w:w="79" w:type="dxa"/>
              <w:right w:w="113" w:type="dxa"/>
            </w:tcMar>
            <w:vAlign w:val="center"/>
          </w:tcPr>
          <w:p w14:paraId="0C68A660" w14:textId="77777777" w:rsidR="001F231A" w:rsidRDefault="001F231A" w:rsidP="009B2B5F">
            <w:pPr>
              <w:pStyle w:val="CDIFigure-Table-BodyTextCentre"/>
            </w:pPr>
            <w:r>
              <w:t>820 (59.6)</w:t>
            </w:r>
          </w:p>
        </w:tc>
        <w:tc>
          <w:tcPr>
            <w:tcW w:w="1488" w:type="dxa"/>
            <w:tcMar>
              <w:top w:w="79" w:type="dxa"/>
              <w:left w:w="113" w:type="dxa"/>
              <w:bottom w:w="79" w:type="dxa"/>
              <w:right w:w="113" w:type="dxa"/>
            </w:tcMar>
            <w:vAlign w:val="center"/>
          </w:tcPr>
          <w:p w14:paraId="25C368D9" w14:textId="77777777" w:rsidR="001F231A" w:rsidRDefault="001F231A" w:rsidP="009B2B5F">
            <w:pPr>
              <w:pStyle w:val="CDIFigure-Table-BodyTextCentre"/>
            </w:pPr>
            <w:r>
              <w:t>460 (33.4)</w:t>
            </w:r>
          </w:p>
        </w:tc>
        <w:tc>
          <w:tcPr>
            <w:tcW w:w="1489" w:type="dxa"/>
            <w:tcMar>
              <w:top w:w="79" w:type="dxa"/>
              <w:left w:w="113" w:type="dxa"/>
              <w:bottom w:w="79" w:type="dxa"/>
              <w:right w:w="113" w:type="dxa"/>
            </w:tcMar>
            <w:vAlign w:val="center"/>
          </w:tcPr>
          <w:p w14:paraId="549A1A9B" w14:textId="77777777" w:rsidR="001F231A" w:rsidRDefault="001F231A" w:rsidP="009B2B5F">
            <w:pPr>
              <w:pStyle w:val="CDIFigure-Table-BodyTextCentre"/>
            </w:pPr>
            <w:r>
              <w:t>298 (21.7)</w:t>
            </w:r>
          </w:p>
        </w:tc>
      </w:tr>
      <w:tr w:rsidR="00B92C70" w14:paraId="35E80107"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6D754D86" w14:textId="77777777" w:rsidR="001F231A" w:rsidRDefault="001F231A" w:rsidP="009B2B5F">
            <w:pPr>
              <w:pStyle w:val="CDIFigure-Table-BodyTextLeft"/>
            </w:pPr>
            <w:r>
              <w:t>Vestibular disorders</w:t>
            </w:r>
          </w:p>
        </w:tc>
        <w:tc>
          <w:tcPr>
            <w:tcW w:w="1488" w:type="dxa"/>
            <w:shd w:val="clear" w:color="auto" w:fill="F2F2F2" w:themeFill="background1" w:themeFillShade="F2"/>
            <w:tcMar>
              <w:top w:w="79" w:type="dxa"/>
              <w:left w:w="113" w:type="dxa"/>
              <w:bottom w:w="79" w:type="dxa"/>
              <w:right w:w="113" w:type="dxa"/>
            </w:tcMar>
            <w:vAlign w:val="center"/>
          </w:tcPr>
          <w:p w14:paraId="482BEC50" w14:textId="77777777" w:rsidR="001F231A" w:rsidRDefault="001F231A" w:rsidP="009B2B5F">
            <w:pPr>
              <w:pStyle w:val="CDIFigure-Table-BodyTextCentre"/>
            </w:pPr>
            <w:r>
              <w:t>1,348 (1.2)</w:t>
            </w:r>
          </w:p>
        </w:tc>
        <w:tc>
          <w:tcPr>
            <w:tcW w:w="1488" w:type="dxa"/>
            <w:shd w:val="clear" w:color="auto" w:fill="F2F2F2" w:themeFill="background1" w:themeFillShade="F2"/>
            <w:tcMar>
              <w:top w:w="79" w:type="dxa"/>
              <w:left w:w="113" w:type="dxa"/>
              <w:bottom w:w="79" w:type="dxa"/>
              <w:right w:w="113" w:type="dxa"/>
            </w:tcMar>
            <w:vAlign w:val="center"/>
          </w:tcPr>
          <w:p w14:paraId="5815A2C9" w14:textId="77777777" w:rsidR="001F231A" w:rsidRDefault="001F231A" w:rsidP="009B2B5F">
            <w:pPr>
              <w:pStyle w:val="CDIFigure-Table-BodyTextCentre"/>
            </w:pPr>
            <w:r>
              <w:t>237 (17.6)</w:t>
            </w:r>
          </w:p>
        </w:tc>
        <w:tc>
          <w:tcPr>
            <w:tcW w:w="1489" w:type="dxa"/>
            <w:shd w:val="clear" w:color="auto" w:fill="F2F2F2" w:themeFill="background1" w:themeFillShade="F2"/>
            <w:tcMar>
              <w:top w:w="79" w:type="dxa"/>
              <w:left w:w="113" w:type="dxa"/>
              <w:bottom w:w="79" w:type="dxa"/>
              <w:right w:w="113" w:type="dxa"/>
            </w:tcMar>
            <w:vAlign w:val="center"/>
          </w:tcPr>
          <w:p w14:paraId="5112DE2C" w14:textId="77777777" w:rsidR="001F231A" w:rsidRDefault="001F231A" w:rsidP="009B2B5F">
            <w:pPr>
              <w:pStyle w:val="CDIFigure-Table-BodyTextCentre"/>
            </w:pPr>
            <w:r>
              <w:t>9 (0.7)</w:t>
            </w:r>
          </w:p>
        </w:tc>
        <w:tc>
          <w:tcPr>
            <w:tcW w:w="1488" w:type="dxa"/>
            <w:shd w:val="clear" w:color="auto" w:fill="F2F2F2" w:themeFill="background1" w:themeFillShade="F2"/>
            <w:tcMar>
              <w:top w:w="79" w:type="dxa"/>
              <w:left w:w="113" w:type="dxa"/>
              <w:bottom w:w="79" w:type="dxa"/>
              <w:right w:w="113" w:type="dxa"/>
            </w:tcMar>
            <w:vAlign w:val="center"/>
          </w:tcPr>
          <w:p w14:paraId="5BE22010" w14:textId="77777777" w:rsidR="001F231A" w:rsidRDefault="001F231A" w:rsidP="009B2B5F">
            <w:pPr>
              <w:pStyle w:val="CDIFigure-Table-BodyTextCentre"/>
            </w:pPr>
            <w:r>
              <w:t>889 (65.9)</w:t>
            </w:r>
          </w:p>
        </w:tc>
        <w:tc>
          <w:tcPr>
            <w:tcW w:w="1488" w:type="dxa"/>
            <w:shd w:val="clear" w:color="auto" w:fill="F2F2F2" w:themeFill="background1" w:themeFillShade="F2"/>
            <w:tcMar>
              <w:top w:w="79" w:type="dxa"/>
              <w:left w:w="113" w:type="dxa"/>
              <w:bottom w:w="79" w:type="dxa"/>
              <w:right w:w="113" w:type="dxa"/>
            </w:tcMar>
            <w:vAlign w:val="center"/>
          </w:tcPr>
          <w:p w14:paraId="0CF4FD1A" w14:textId="77777777" w:rsidR="001F231A" w:rsidRDefault="001F231A" w:rsidP="009B2B5F">
            <w:pPr>
              <w:pStyle w:val="CDIFigure-Table-BodyTextCentre"/>
            </w:pPr>
            <w:r>
              <w:t>380 (28.2)</w:t>
            </w:r>
          </w:p>
        </w:tc>
        <w:tc>
          <w:tcPr>
            <w:tcW w:w="1489" w:type="dxa"/>
            <w:shd w:val="clear" w:color="auto" w:fill="F2F2F2" w:themeFill="background1" w:themeFillShade="F2"/>
            <w:tcMar>
              <w:top w:w="79" w:type="dxa"/>
              <w:left w:w="113" w:type="dxa"/>
              <w:bottom w:w="79" w:type="dxa"/>
              <w:right w:w="113" w:type="dxa"/>
            </w:tcMar>
            <w:vAlign w:val="center"/>
          </w:tcPr>
          <w:p w14:paraId="2D9E8884" w14:textId="77777777" w:rsidR="001F231A" w:rsidRDefault="001F231A" w:rsidP="009B2B5F">
            <w:pPr>
              <w:pStyle w:val="CDIFigure-Table-BodyTextCentre"/>
            </w:pPr>
            <w:r>
              <w:t>252 (18.7)</w:t>
            </w:r>
          </w:p>
        </w:tc>
      </w:tr>
      <w:tr w:rsidR="001F231A" w14:paraId="775A2EBE" w14:textId="77777777" w:rsidTr="00B92C70">
        <w:trPr>
          <w:divId w:val="935526654"/>
          <w:trHeight w:val="20"/>
        </w:trPr>
        <w:tc>
          <w:tcPr>
            <w:tcW w:w="5386" w:type="dxa"/>
            <w:tcMar>
              <w:top w:w="79" w:type="dxa"/>
              <w:left w:w="113" w:type="dxa"/>
              <w:bottom w:w="79" w:type="dxa"/>
              <w:right w:w="113" w:type="dxa"/>
            </w:tcMar>
            <w:vAlign w:val="center"/>
          </w:tcPr>
          <w:p w14:paraId="207C318D" w14:textId="77777777" w:rsidR="001F231A" w:rsidRDefault="001F231A" w:rsidP="009B2B5F">
            <w:pPr>
              <w:pStyle w:val="CDIFigure-Table-BodyTextLeft"/>
            </w:pPr>
            <w:r>
              <w:t>Medication errors</w:t>
            </w:r>
          </w:p>
        </w:tc>
        <w:tc>
          <w:tcPr>
            <w:tcW w:w="1488" w:type="dxa"/>
            <w:tcMar>
              <w:top w:w="79" w:type="dxa"/>
              <w:left w:w="113" w:type="dxa"/>
              <w:bottom w:w="79" w:type="dxa"/>
              <w:right w:w="113" w:type="dxa"/>
            </w:tcMar>
            <w:vAlign w:val="center"/>
          </w:tcPr>
          <w:p w14:paraId="5785B70D" w14:textId="77777777" w:rsidR="001F231A" w:rsidRDefault="001F231A" w:rsidP="009B2B5F">
            <w:pPr>
              <w:pStyle w:val="CDIFigure-Table-BodyTextCentre"/>
            </w:pPr>
            <w:r>
              <w:t>1,319 (1.2)</w:t>
            </w:r>
          </w:p>
        </w:tc>
        <w:tc>
          <w:tcPr>
            <w:tcW w:w="1488" w:type="dxa"/>
            <w:tcMar>
              <w:top w:w="79" w:type="dxa"/>
              <w:left w:w="113" w:type="dxa"/>
              <w:bottom w:w="79" w:type="dxa"/>
              <w:right w:w="113" w:type="dxa"/>
            </w:tcMar>
            <w:vAlign w:val="center"/>
          </w:tcPr>
          <w:p w14:paraId="3FCC5CD7" w14:textId="77777777" w:rsidR="001F231A" w:rsidRDefault="001F231A" w:rsidP="009B2B5F">
            <w:pPr>
              <w:pStyle w:val="CDIFigure-Table-BodyTextCentre"/>
            </w:pPr>
            <w:r>
              <w:t>685 (51.9)</w:t>
            </w:r>
          </w:p>
        </w:tc>
        <w:tc>
          <w:tcPr>
            <w:tcW w:w="1489" w:type="dxa"/>
            <w:tcMar>
              <w:top w:w="79" w:type="dxa"/>
              <w:left w:w="113" w:type="dxa"/>
              <w:bottom w:w="79" w:type="dxa"/>
              <w:right w:w="113" w:type="dxa"/>
            </w:tcMar>
            <w:vAlign w:val="center"/>
          </w:tcPr>
          <w:p w14:paraId="1E128C42" w14:textId="77777777" w:rsidR="001F231A" w:rsidRDefault="001F231A" w:rsidP="009B2B5F">
            <w:pPr>
              <w:pStyle w:val="CDIFigure-Table-BodyTextCentre"/>
            </w:pPr>
            <w:r>
              <w:t>83 (6.3)</w:t>
            </w:r>
          </w:p>
        </w:tc>
        <w:tc>
          <w:tcPr>
            <w:tcW w:w="1488" w:type="dxa"/>
            <w:tcMar>
              <w:top w:w="79" w:type="dxa"/>
              <w:left w:w="113" w:type="dxa"/>
              <w:bottom w:w="79" w:type="dxa"/>
              <w:right w:w="113" w:type="dxa"/>
            </w:tcMar>
            <w:vAlign w:val="center"/>
          </w:tcPr>
          <w:p w14:paraId="489B85E2" w14:textId="77777777" w:rsidR="001F231A" w:rsidRDefault="001F231A" w:rsidP="009B2B5F">
            <w:pPr>
              <w:pStyle w:val="CDIFigure-Table-BodyTextCentre"/>
            </w:pPr>
            <w:r>
              <w:t>766 (58.1)</w:t>
            </w:r>
          </w:p>
        </w:tc>
        <w:tc>
          <w:tcPr>
            <w:tcW w:w="1488" w:type="dxa"/>
            <w:tcMar>
              <w:top w:w="79" w:type="dxa"/>
              <w:left w:w="113" w:type="dxa"/>
              <w:bottom w:w="79" w:type="dxa"/>
              <w:right w:w="113" w:type="dxa"/>
            </w:tcMar>
            <w:vAlign w:val="center"/>
          </w:tcPr>
          <w:p w14:paraId="116C1B00" w14:textId="77777777" w:rsidR="001F231A" w:rsidRDefault="001F231A" w:rsidP="009B2B5F">
            <w:pPr>
              <w:pStyle w:val="CDIFigure-Table-BodyTextCentre"/>
            </w:pPr>
            <w:r>
              <w:t>267 (20.2)</w:t>
            </w:r>
          </w:p>
        </w:tc>
        <w:tc>
          <w:tcPr>
            <w:tcW w:w="1489" w:type="dxa"/>
            <w:tcMar>
              <w:top w:w="79" w:type="dxa"/>
              <w:left w:w="113" w:type="dxa"/>
              <w:bottom w:w="79" w:type="dxa"/>
              <w:right w:w="113" w:type="dxa"/>
            </w:tcMar>
            <w:vAlign w:val="center"/>
          </w:tcPr>
          <w:p w14:paraId="7B54980D" w14:textId="77777777" w:rsidR="001F231A" w:rsidRDefault="001F231A" w:rsidP="009B2B5F">
            <w:pPr>
              <w:pStyle w:val="CDIFigure-Table-BodyTextCentre"/>
            </w:pPr>
            <w:r>
              <w:t>132 (10.0)</w:t>
            </w:r>
          </w:p>
        </w:tc>
      </w:tr>
      <w:tr w:rsidR="00B92C70" w14:paraId="1D129D2B" w14:textId="77777777" w:rsidTr="00B92C70">
        <w:trPr>
          <w:divId w:val="935526654"/>
          <w:trHeight w:val="20"/>
        </w:trPr>
        <w:tc>
          <w:tcPr>
            <w:tcW w:w="5386" w:type="dxa"/>
            <w:shd w:val="clear" w:color="auto" w:fill="F2F2F2" w:themeFill="background1" w:themeFillShade="F2"/>
            <w:tcMar>
              <w:top w:w="79" w:type="dxa"/>
              <w:left w:w="113" w:type="dxa"/>
              <w:bottom w:w="79" w:type="dxa"/>
              <w:right w:w="113" w:type="dxa"/>
            </w:tcMar>
            <w:vAlign w:val="center"/>
          </w:tcPr>
          <w:p w14:paraId="59C03153" w14:textId="77777777" w:rsidR="001F231A" w:rsidRDefault="001F231A" w:rsidP="009B2B5F">
            <w:pPr>
              <w:pStyle w:val="CDIFigure-Table-BodyTextLeft"/>
            </w:pPr>
            <w:r>
              <w:t>Anaphylactic/anaphylactoid shock conditions</w:t>
            </w:r>
          </w:p>
        </w:tc>
        <w:tc>
          <w:tcPr>
            <w:tcW w:w="1488" w:type="dxa"/>
            <w:shd w:val="clear" w:color="auto" w:fill="F2F2F2" w:themeFill="background1" w:themeFillShade="F2"/>
            <w:tcMar>
              <w:top w:w="79" w:type="dxa"/>
              <w:left w:w="113" w:type="dxa"/>
              <w:bottom w:w="79" w:type="dxa"/>
              <w:right w:w="113" w:type="dxa"/>
            </w:tcMar>
            <w:vAlign w:val="center"/>
          </w:tcPr>
          <w:p w14:paraId="3D311232" w14:textId="77777777" w:rsidR="001F231A" w:rsidRDefault="001F231A" w:rsidP="009B2B5F">
            <w:pPr>
              <w:pStyle w:val="CDIFigure-Table-BodyTextCentre"/>
            </w:pPr>
            <w:r>
              <w:t>1,196 (1.1)</w:t>
            </w:r>
          </w:p>
        </w:tc>
        <w:tc>
          <w:tcPr>
            <w:tcW w:w="1488" w:type="dxa"/>
            <w:shd w:val="clear" w:color="auto" w:fill="F2F2F2" w:themeFill="background1" w:themeFillShade="F2"/>
            <w:tcMar>
              <w:top w:w="79" w:type="dxa"/>
              <w:left w:w="113" w:type="dxa"/>
              <w:bottom w:w="79" w:type="dxa"/>
              <w:right w:w="113" w:type="dxa"/>
            </w:tcMar>
            <w:vAlign w:val="center"/>
          </w:tcPr>
          <w:p w14:paraId="1E93E839" w14:textId="77777777" w:rsidR="001F231A" w:rsidRDefault="001F231A" w:rsidP="009B2B5F">
            <w:pPr>
              <w:pStyle w:val="CDIFigure-Table-BodyTextCentre"/>
            </w:pPr>
            <w:r>
              <w:t>571 (47.7)</w:t>
            </w:r>
          </w:p>
        </w:tc>
        <w:tc>
          <w:tcPr>
            <w:tcW w:w="1489" w:type="dxa"/>
            <w:shd w:val="clear" w:color="auto" w:fill="F2F2F2" w:themeFill="background1" w:themeFillShade="F2"/>
            <w:tcMar>
              <w:top w:w="79" w:type="dxa"/>
              <w:left w:w="113" w:type="dxa"/>
              <w:bottom w:w="79" w:type="dxa"/>
              <w:right w:w="113" w:type="dxa"/>
            </w:tcMar>
            <w:vAlign w:val="center"/>
          </w:tcPr>
          <w:p w14:paraId="2B40A74D" w14:textId="77777777" w:rsidR="001F231A" w:rsidRDefault="001F231A" w:rsidP="009B2B5F">
            <w:pPr>
              <w:pStyle w:val="CDIFigure-Table-BodyTextCentre"/>
            </w:pPr>
            <w:r>
              <w:t>13 (1.1)</w:t>
            </w:r>
          </w:p>
        </w:tc>
        <w:tc>
          <w:tcPr>
            <w:tcW w:w="1488" w:type="dxa"/>
            <w:shd w:val="clear" w:color="auto" w:fill="F2F2F2" w:themeFill="background1" w:themeFillShade="F2"/>
            <w:tcMar>
              <w:top w:w="79" w:type="dxa"/>
              <w:left w:w="113" w:type="dxa"/>
              <w:bottom w:w="79" w:type="dxa"/>
              <w:right w:w="113" w:type="dxa"/>
            </w:tcMar>
            <w:vAlign w:val="center"/>
          </w:tcPr>
          <w:p w14:paraId="6A5F1195" w14:textId="77777777" w:rsidR="001F231A" w:rsidRDefault="001F231A" w:rsidP="009B2B5F">
            <w:pPr>
              <w:pStyle w:val="CDIFigure-Table-BodyTextCentre"/>
            </w:pPr>
            <w:r>
              <w:t>996 (83.3)</w:t>
            </w:r>
          </w:p>
        </w:tc>
        <w:tc>
          <w:tcPr>
            <w:tcW w:w="1488" w:type="dxa"/>
            <w:shd w:val="clear" w:color="auto" w:fill="F2F2F2" w:themeFill="background1" w:themeFillShade="F2"/>
            <w:tcMar>
              <w:top w:w="79" w:type="dxa"/>
              <w:left w:w="113" w:type="dxa"/>
              <w:bottom w:w="79" w:type="dxa"/>
              <w:right w:w="113" w:type="dxa"/>
            </w:tcMar>
            <w:vAlign w:val="center"/>
          </w:tcPr>
          <w:p w14:paraId="5C326E73" w14:textId="77777777" w:rsidR="001F231A" w:rsidRDefault="001F231A" w:rsidP="009B2B5F">
            <w:pPr>
              <w:pStyle w:val="CDIFigure-Table-BodyTextCentre"/>
            </w:pPr>
            <w:r>
              <w:t>155 (13.0)</w:t>
            </w:r>
          </w:p>
        </w:tc>
        <w:tc>
          <w:tcPr>
            <w:tcW w:w="1489" w:type="dxa"/>
            <w:shd w:val="clear" w:color="auto" w:fill="F2F2F2" w:themeFill="background1" w:themeFillShade="F2"/>
            <w:tcMar>
              <w:top w:w="79" w:type="dxa"/>
              <w:left w:w="113" w:type="dxa"/>
              <w:bottom w:w="79" w:type="dxa"/>
              <w:right w:w="113" w:type="dxa"/>
            </w:tcMar>
            <w:vAlign w:val="center"/>
          </w:tcPr>
          <w:p w14:paraId="15C40C25" w14:textId="77777777" w:rsidR="001F231A" w:rsidRDefault="001F231A" w:rsidP="009B2B5F">
            <w:pPr>
              <w:pStyle w:val="CDIFigure-Table-BodyTextCentre"/>
            </w:pPr>
            <w:r>
              <w:t>337 (28.2)</w:t>
            </w:r>
          </w:p>
        </w:tc>
      </w:tr>
      <w:tr w:rsidR="00B92C70" w14:paraId="409E5636" w14:textId="77777777" w:rsidTr="00B92C70">
        <w:trPr>
          <w:divId w:val="935526654"/>
          <w:trHeight w:val="20"/>
        </w:trPr>
        <w:tc>
          <w:tcPr>
            <w:tcW w:w="5386"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6E243729" w14:textId="77777777" w:rsidR="001F231A" w:rsidRDefault="001F231A" w:rsidP="009B2B5F">
            <w:pPr>
              <w:pStyle w:val="CDIFigure-Table-BodyTextLeft"/>
            </w:pPr>
            <w:r>
              <w:t>Herpes zoster</w:t>
            </w:r>
          </w:p>
        </w:tc>
        <w:tc>
          <w:tcPr>
            <w:tcW w:w="1488"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7E65171A" w14:textId="77777777" w:rsidR="001F231A" w:rsidRDefault="001F231A" w:rsidP="009B2B5F">
            <w:pPr>
              <w:pStyle w:val="CDIFigure-Table-BodyTextCentre"/>
            </w:pPr>
            <w:r>
              <w:t>1,174 (1.1)</w:t>
            </w:r>
          </w:p>
        </w:tc>
        <w:tc>
          <w:tcPr>
            <w:tcW w:w="1488"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0734405A" w14:textId="77777777" w:rsidR="001F231A" w:rsidRDefault="001F231A" w:rsidP="009B2B5F">
            <w:pPr>
              <w:pStyle w:val="CDIFigure-Table-BodyTextCentre"/>
            </w:pPr>
            <w:r>
              <w:t>696 (59.3)</w:t>
            </w:r>
          </w:p>
        </w:tc>
        <w:tc>
          <w:tcPr>
            <w:tcW w:w="1489"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7A957291" w14:textId="77777777" w:rsidR="001F231A" w:rsidRDefault="001F231A" w:rsidP="009B2B5F">
            <w:pPr>
              <w:pStyle w:val="CDIFigure-Table-BodyTextCentre"/>
            </w:pPr>
            <w:r>
              <w:t>5 (0.4)</w:t>
            </w:r>
          </w:p>
        </w:tc>
        <w:tc>
          <w:tcPr>
            <w:tcW w:w="1488"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52591584" w14:textId="77777777" w:rsidR="001F231A" w:rsidRDefault="001F231A" w:rsidP="009B2B5F">
            <w:pPr>
              <w:pStyle w:val="CDIFigure-Table-BodyTextCentre"/>
            </w:pPr>
            <w:r>
              <w:t>694 (59.1)</w:t>
            </w:r>
          </w:p>
        </w:tc>
        <w:tc>
          <w:tcPr>
            <w:tcW w:w="1488"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3E9B5812" w14:textId="77777777" w:rsidR="001F231A" w:rsidRDefault="001F231A" w:rsidP="009B2B5F">
            <w:pPr>
              <w:pStyle w:val="CDIFigure-Table-BodyTextCentre"/>
            </w:pPr>
            <w:r>
              <w:t>407 (34.7)</w:t>
            </w:r>
          </w:p>
        </w:tc>
        <w:tc>
          <w:tcPr>
            <w:tcW w:w="1489" w:type="dxa"/>
            <w:tcBorders>
              <w:bottom w:val="single" w:sz="4" w:space="0" w:color="033636" w:themeColor="text2"/>
            </w:tcBorders>
            <w:shd w:val="clear" w:color="auto" w:fill="FFFFFF" w:themeFill="background1"/>
            <w:tcMar>
              <w:top w:w="79" w:type="dxa"/>
              <w:left w:w="113" w:type="dxa"/>
              <w:bottom w:w="79" w:type="dxa"/>
              <w:right w:w="113" w:type="dxa"/>
            </w:tcMar>
            <w:vAlign w:val="center"/>
          </w:tcPr>
          <w:p w14:paraId="688E92B0" w14:textId="77777777" w:rsidR="001F231A" w:rsidRDefault="001F231A" w:rsidP="009B2B5F">
            <w:pPr>
              <w:pStyle w:val="CDIFigure-Table-BodyTextCentre"/>
            </w:pPr>
            <w:r>
              <w:t>196 (16.7)</w:t>
            </w:r>
          </w:p>
        </w:tc>
      </w:tr>
    </w:tbl>
    <w:p w14:paraId="32744941" w14:textId="77777777" w:rsidR="002F1A7C" w:rsidRDefault="002F1A7C" w:rsidP="002F1A7C">
      <w:pPr>
        <w:pStyle w:val="CDIFigure-Table-FirstFootnote"/>
        <w:divId w:val="935526654"/>
      </w:pPr>
      <w:r>
        <w:t>a</w:t>
      </w:r>
      <w:r>
        <w:tab/>
        <w:t>MedDRA: Medical Dictionary for Regulatory Activities.</w:t>
      </w:r>
    </w:p>
    <w:p w14:paraId="322B06B9" w14:textId="77777777" w:rsidR="002F1A7C" w:rsidRDefault="002F1A7C" w:rsidP="002F1A7C">
      <w:pPr>
        <w:pStyle w:val="CDIFigure-Table-Footnote"/>
        <w:divId w:val="935526654"/>
      </w:pPr>
      <w:r>
        <w:t>b</w:t>
      </w:r>
      <w:r>
        <w:tab/>
        <w:t>PT or SMQ: preferred terms or standardised MedDRA queries.</w:t>
      </w:r>
    </w:p>
    <w:p w14:paraId="37ADC551" w14:textId="77777777" w:rsidR="002F1A7C" w:rsidRDefault="002F1A7C" w:rsidP="002F1A7C">
      <w:pPr>
        <w:pStyle w:val="CDIFigure-Table-Footnote"/>
        <w:divId w:val="935526654"/>
      </w:pPr>
      <w:r>
        <w:t>c</w:t>
      </w:r>
      <w:r>
        <w:tab/>
        <w:t>Number of AEFI reports in which the PT or SMQ was reported. More than one PT/SMQ may be recorded on the same report.</w:t>
      </w:r>
    </w:p>
    <w:p w14:paraId="207793A9" w14:textId="77777777" w:rsidR="002F1A7C" w:rsidRDefault="002F1A7C" w:rsidP="002F1A7C">
      <w:pPr>
        <w:pStyle w:val="CDIFigure-Table-Footnote"/>
        <w:divId w:val="935526654"/>
      </w:pPr>
      <w:r>
        <w:t>d</w:t>
      </w:r>
      <w:r>
        <w:tab/>
        <w:t>AEFI reports where only one PT or SMQ was reported.</w:t>
      </w:r>
    </w:p>
    <w:p w14:paraId="26688F11" w14:textId="77777777" w:rsidR="002F1A7C" w:rsidRDefault="002F1A7C" w:rsidP="002F1A7C">
      <w:pPr>
        <w:pStyle w:val="CDIFigure-Table-Footnote"/>
        <w:divId w:val="935526654"/>
      </w:pPr>
      <w:r>
        <w:t>e</w:t>
      </w:r>
      <w:r>
        <w:tab/>
        <w:t>Percentages are calculated for the number of AEFI reports where the PT or SMQ was reported.</w:t>
      </w:r>
    </w:p>
    <w:p w14:paraId="14453C65" w14:textId="77777777" w:rsidR="002F1A7C" w:rsidRDefault="002F1A7C" w:rsidP="002F1A7C">
      <w:pPr>
        <w:pStyle w:val="CDIFigure-Table-Footnote"/>
        <w:divId w:val="935526654"/>
      </w:pPr>
      <w:r>
        <w:t>f</w:t>
      </w:r>
      <w:r>
        <w:tab/>
        <w:t>Includes only AEFI reports where an age or date of birth has been reported.</w:t>
      </w:r>
    </w:p>
    <w:p w14:paraId="0F61A640" w14:textId="03C9D801" w:rsidR="00B92C70" w:rsidRDefault="002F1A7C" w:rsidP="00B92C70">
      <w:pPr>
        <w:pStyle w:val="CDIFigure-Table-Footnote"/>
      </w:pPr>
      <w:r>
        <w:t>g</w:t>
      </w:r>
      <w:r>
        <w:tab/>
        <w:t>An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 The seriousness classification is applied by Australian sponsors (vaccine companies) to vaccine AEFI reports to ensure they meet legislated requirements. For other AEFI reports submitted to the Therapeutic Goods Administration (TGA), the seriousness classification either reflects the view of the reporter or may have been applied following review by the TGA.</w:t>
      </w:r>
      <w:r w:rsidR="00B92C70">
        <w:br w:type="page"/>
      </w:r>
    </w:p>
    <w:p w14:paraId="5A39D922" w14:textId="4BCBE0D7" w:rsidR="002F1A7C" w:rsidRDefault="00B92C70" w:rsidP="0082328C">
      <w:pPr>
        <w:pStyle w:val="CDIFigure-Table-Title"/>
        <w:divId w:val="935526654"/>
      </w:pPr>
      <w:r w:rsidRPr="00B92C70">
        <w:lastRenderedPageBreak/>
        <w:t>Figure 3: The twenty most frequently reported adverse events classified by MedDRA Preferred Terms or Standardised MedDRA queries in reports of adverse events following immunisation (AEFI) with COVID-19 vaccines in the Adverse Event Management System database in 2021,</w:t>
      </w:r>
      <w:r w:rsidRPr="00B92C70">
        <w:rPr>
          <w:vertAlign w:val="superscript"/>
        </w:rPr>
        <w:t>a</w:t>
      </w:r>
      <w:r w:rsidRPr="00B92C70">
        <w:t xml:space="preserve"> by age group</w:t>
      </w:r>
    </w:p>
    <w:p w14:paraId="0E8447F9" w14:textId="40863334" w:rsidR="00B92C70" w:rsidRDefault="0082328C" w:rsidP="0082328C">
      <w:pPr>
        <w:pStyle w:val="CDIFigure-Table-ImagePlaceholder"/>
        <w:divId w:val="935526654"/>
      </w:pPr>
      <w:r>
        <w:rPr>
          <w:noProof/>
        </w:rPr>
        <w:drawing>
          <wp:inline distT="0" distB="0" distL="0" distR="0" wp14:anchorId="7767243C" wp14:editId="5C70FEA1">
            <wp:extent cx="6066845" cy="4586721"/>
            <wp:effectExtent l="0" t="0" r="0" b="4445"/>
            <wp:docPr id="4" name="Picture 4" descr="Figure 3 is a &quot;bump chart” with three columns corresponding to three age groups: 12-15 years, 16-59 years and ≥60 years. The 20 most frequently reported adverse events after COVID-19 vaccines for each age group in 2021 are organised in descending order in each column. The relationship between the relative rankings of each adverse event is shown by lines linking each column. It shows that the relative frequencies of the top 5 adverse events for the 16-59 and ≥60 age groups were sim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is a &quot;bump chart” with three columns corresponding to three age groups: 12-15 years, 16-59 years and ≥60 years. The 20 most frequently reported adverse events after COVID-19 vaccines for each age group in 2021 are organised in descending order in each column. The relationship between the relative rankings of each adverse event is shown by lines linking each column. It shows that the relative frequencies of the top 5 adverse events for the 16-59 and ≥60 age groups were similar."/>
                    <pic:cNvPicPr/>
                  </pic:nvPicPr>
                  <pic:blipFill>
                    <a:blip r:embed="rId19">
                      <a:extLst>
                        <a:ext uri="{28A0092B-C50C-407E-A947-70E740481C1C}">
                          <a14:useLocalDpi xmlns:a14="http://schemas.microsoft.com/office/drawing/2010/main" val="0"/>
                        </a:ext>
                      </a:extLst>
                    </a:blip>
                    <a:stretch>
                      <a:fillRect/>
                    </a:stretch>
                  </pic:blipFill>
                  <pic:spPr>
                    <a:xfrm>
                      <a:off x="0" y="0"/>
                      <a:ext cx="6170226" cy="4664880"/>
                    </a:xfrm>
                    <a:prstGeom prst="rect">
                      <a:avLst/>
                    </a:prstGeom>
                  </pic:spPr>
                </pic:pic>
              </a:graphicData>
            </a:graphic>
          </wp:inline>
        </w:drawing>
      </w:r>
    </w:p>
    <w:p w14:paraId="16F4D555" w14:textId="77777777" w:rsidR="00B92C70" w:rsidRDefault="00B92C70" w:rsidP="00B92C70">
      <w:pPr>
        <w:pStyle w:val="CDIFigure-Table-FirstFootnote"/>
        <w:divId w:val="935526654"/>
      </w:pPr>
      <w:r>
        <w:t>a</w:t>
      </w:r>
      <w:r>
        <w:tab/>
        <w:t>Top twenty PT/SMQ for each age group ranked by frequency (most common at top). Colours indicate PT/SMQ grouping (orange: cardiorespiratory, green: systemic, emerald: local, yellow: other). Transparent and italicised PT/SMQ are in the top 20 for the listed age group, but are ranked &lt; 20 for other age groups.</w:t>
      </w:r>
    </w:p>
    <w:p w14:paraId="0DD9004B" w14:textId="31068E17" w:rsidR="0082328C" w:rsidRDefault="00B92C70" w:rsidP="00B92C70">
      <w:pPr>
        <w:pStyle w:val="CDIFigure-Table-Footnote"/>
        <w:divId w:val="935526654"/>
      </w:pPr>
      <w:r>
        <w:t>b</w:t>
      </w:r>
      <w:r>
        <w:tab/>
        <w:t>Myocardial infarction is an SMQ that captures PT relating to increased troponin; 100% of AEFI reports for adolescents aged 12-15 years with this SMQ had PT relating to increased troponin, and none of them had any other PT relating to myocardial infarction (e.g. (acute) myocardial infarction, angina unstable, coronary artery occlusion, acute coronary syndrome, coronary artery thrombosis, coronary artery embolism, acute cardiac event, blood creatine phosphokinase MB increased).</w:t>
      </w:r>
    </w:p>
    <w:p w14:paraId="2D1DAD44" w14:textId="10A1A84E" w:rsidR="0082328C" w:rsidRDefault="0082328C" w:rsidP="0082328C">
      <w:pPr>
        <w:pStyle w:val="CDIFigure-Table-Title"/>
        <w:divId w:val="935526654"/>
      </w:pPr>
      <w:r w:rsidRPr="0082328C">
        <w:lastRenderedPageBreak/>
        <w:t>Figure 4: The twenty most frequently reported adverse events classified by MedDRA Preferred Terms or Standardised MedDRA queries in reports of adverse events following immunisation (AEFI) with COVID-19 vaccines in the Adverse Event Management System database in 2021,</w:t>
      </w:r>
      <w:r w:rsidRPr="0082328C">
        <w:rPr>
          <w:vertAlign w:val="superscript"/>
        </w:rPr>
        <w:t>a</w:t>
      </w:r>
      <w:r w:rsidRPr="0082328C">
        <w:t xml:space="preserve"> by brand</w:t>
      </w:r>
    </w:p>
    <w:p w14:paraId="23F6DDE8" w14:textId="6A49C365" w:rsidR="0082328C" w:rsidRDefault="0089323F" w:rsidP="0089323F">
      <w:pPr>
        <w:pStyle w:val="CDIFigure-Table-ImagePlaceholder"/>
        <w:divId w:val="935526654"/>
      </w:pPr>
      <w:r>
        <w:rPr>
          <w:noProof/>
        </w:rPr>
        <w:drawing>
          <wp:inline distT="0" distB="0" distL="0" distR="0" wp14:anchorId="2AD9E3A4" wp14:editId="0D3B4DEC">
            <wp:extent cx="5000400" cy="6724800"/>
            <wp:effectExtent l="0" t="5080" r="5080" b="5080"/>
            <wp:docPr id="5" name="Picture 5" descr="Figure 4 is a &quot;bump chart” with three columns corresponding to each of the three COVID-19 vaccines in use in Australia in 2021. The 20 most frequently reported adverse events for each vaccine in 2021 are organised in descending order in each column. The relationship between the relative rankings of each adverse event is shown by lines linking each column. It shows that adverse event reports for each of the three vaccines have varied in their relative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4 is a &quot;bump chart” with three columns corresponding to each of the three COVID-19 vaccines in use in Australia in 2021. The 20 most frequently reported adverse events for each vaccine in 2021 are organised in descending order in each column. The relationship between the relative rankings of each adverse event is shown by lines linking each column. It shows that adverse event reports for each of the three vaccines have varied in their relative frequency."/>
                    <pic:cNvPicPr/>
                  </pic:nvPicPr>
                  <pic:blipFill>
                    <a:blip r:embed="rId20" cstate="screen">
                      <a:extLst>
                        <a:ext uri="{28A0092B-C50C-407E-A947-70E740481C1C}">
                          <a14:useLocalDpi xmlns:a14="http://schemas.microsoft.com/office/drawing/2010/main"/>
                        </a:ext>
                      </a:extLst>
                    </a:blip>
                    <a:stretch>
                      <a:fillRect/>
                    </a:stretch>
                  </pic:blipFill>
                  <pic:spPr>
                    <a:xfrm rot="5400000">
                      <a:off x="0" y="0"/>
                      <a:ext cx="5000400" cy="6724800"/>
                    </a:xfrm>
                    <a:prstGeom prst="rect">
                      <a:avLst/>
                    </a:prstGeom>
                  </pic:spPr>
                </pic:pic>
              </a:graphicData>
            </a:graphic>
          </wp:inline>
        </w:drawing>
      </w:r>
    </w:p>
    <w:p w14:paraId="1FC878E9" w14:textId="1E3F58F2" w:rsidR="002F1A7C" w:rsidRDefault="0089323F" w:rsidP="0089323F">
      <w:pPr>
        <w:pStyle w:val="CDIFigure-Table-FirstFootnote"/>
        <w:divId w:val="935526654"/>
      </w:pPr>
      <w:r w:rsidRPr="0089323F">
        <w:t>a</w:t>
      </w:r>
      <w:r w:rsidRPr="0089323F">
        <w:tab/>
        <w:t>Top twenty PT/SMQ for each brand ranked by frequency (most common at top). Colours indicate PT/SMQ grouping (orange: cardiorespiratory, green: systemic, emerald: local, yellow: other). Transparent and italicised PT/SMQ are in the top 20 for the listed brand, but are ranked &lt; 20 for other brands.</w:t>
      </w:r>
    </w:p>
    <w:p w14:paraId="4B1BFD19" w14:textId="77777777" w:rsidR="002F1A7C" w:rsidRDefault="002F1A7C" w:rsidP="004464EC">
      <w:pPr>
        <w:divId w:val="935526654"/>
        <w:rPr>
          <w:lang w:val="en-GB"/>
        </w:rPr>
        <w:sectPr w:rsidR="002F1A7C" w:rsidSect="002F1A7C">
          <w:footerReference w:type="default" r:id="rId21"/>
          <w:pgSz w:w="16840" w:h="11907" w:orient="landscape" w:code="9"/>
          <w:pgMar w:top="1134" w:right="1304" w:bottom="1134" w:left="1304" w:header="709" w:footer="527" w:gutter="0"/>
          <w:cols w:space="708"/>
          <w:docGrid w:linePitch="360"/>
        </w:sectPr>
      </w:pPr>
    </w:p>
    <w:p w14:paraId="1AE7AB57" w14:textId="594E10D7" w:rsidR="00F909FB" w:rsidRDefault="0089323F" w:rsidP="0089323F">
      <w:pPr>
        <w:pStyle w:val="CDIFigure-Table-Title"/>
        <w:divId w:val="935526654"/>
      </w:pPr>
      <w:r w:rsidRPr="0089323F">
        <w:lastRenderedPageBreak/>
        <w:t>Table 4: The 50 most frequently reported adverse events classified by MedDRA</w:t>
      </w:r>
      <w:r w:rsidRPr="0089323F">
        <w:rPr>
          <w:vertAlign w:val="superscript"/>
        </w:rPr>
        <w:t>a</w:t>
      </w:r>
      <w:r w:rsidRPr="0089323F">
        <w:t xml:space="preserve"> Preferred Terms or Standardised MedDRA queries in reports of adverse events following immunisation (AEFI) with COVID-19 vaccines in the Adverse Event Management System database in 2021</w:t>
      </w:r>
    </w:p>
    <w:tbl>
      <w:tblPr>
        <w:tblW w:w="0" w:type="auto"/>
        <w:tblInd w:w="-8" w:type="dxa"/>
        <w:tblLayout w:type="fixed"/>
        <w:tblCellMar>
          <w:left w:w="0" w:type="dxa"/>
          <w:right w:w="0" w:type="dxa"/>
        </w:tblCellMar>
        <w:tblLook w:val="0000" w:firstRow="0" w:lastRow="0" w:firstColumn="0" w:lastColumn="0" w:noHBand="0" w:noVBand="0"/>
        <w:tblCaption w:val="Table 4: The 50 most frequently reported adverse events classified by MedDRAa Preferred Terms or Standardised MedDRA queries in reports of adverse events following immunisation (AEFI) with COVID-19 vaccines in the Adverse Event Management System database in 2021"/>
        <w:tblDescription w:val="Table 4 shows, in descending order, the 50 MedDRA-coded adverse events that were reported the most frequently following COVID-19 vaccines administered in 2021. For each adverse event, the table gives the number and proportion of corresponding adverse event reports for each of the three COVID-19 vaccines in use in Australia in 2021."/>
      </w:tblPr>
      <w:tblGrid>
        <w:gridCol w:w="4082"/>
        <w:gridCol w:w="1356"/>
        <w:gridCol w:w="1356"/>
        <w:gridCol w:w="1356"/>
        <w:gridCol w:w="1356"/>
      </w:tblGrid>
      <w:tr w:rsidR="0089323F" w14:paraId="48934DF5" w14:textId="77777777" w:rsidTr="0089323F">
        <w:trPr>
          <w:divId w:val="935526654"/>
          <w:trHeight w:val="20"/>
          <w:tblHeader/>
        </w:trPr>
        <w:tc>
          <w:tcPr>
            <w:tcW w:w="4082" w:type="dxa"/>
            <w:shd w:val="clear" w:color="auto" w:fill="033636" w:themeFill="text2"/>
            <w:tcMar>
              <w:top w:w="113" w:type="dxa"/>
              <w:left w:w="113" w:type="dxa"/>
              <w:bottom w:w="113" w:type="dxa"/>
              <w:right w:w="113" w:type="dxa"/>
            </w:tcMar>
            <w:vAlign w:val="bottom"/>
          </w:tcPr>
          <w:p w14:paraId="31ACF039" w14:textId="77777777" w:rsidR="0089323F" w:rsidRDefault="0089323F" w:rsidP="0089323F">
            <w:pPr>
              <w:pStyle w:val="CDIFigure-Table-H1Left"/>
            </w:pPr>
            <w:r>
              <w:t>PT or SMQ</w:t>
            </w:r>
            <w:r>
              <w:rPr>
                <w:rStyle w:val="Superscript"/>
              </w:rPr>
              <w:t>b</w:t>
            </w:r>
          </w:p>
        </w:tc>
        <w:tc>
          <w:tcPr>
            <w:tcW w:w="1356" w:type="dxa"/>
            <w:shd w:val="clear" w:color="auto" w:fill="033636" w:themeFill="text2"/>
            <w:tcMar>
              <w:top w:w="113" w:type="dxa"/>
              <w:left w:w="113" w:type="dxa"/>
              <w:bottom w:w="113" w:type="dxa"/>
              <w:right w:w="113" w:type="dxa"/>
            </w:tcMar>
            <w:vAlign w:val="bottom"/>
          </w:tcPr>
          <w:p w14:paraId="5288888F" w14:textId="77777777" w:rsidR="0089323F" w:rsidRDefault="0089323F" w:rsidP="0089323F">
            <w:pPr>
              <w:pStyle w:val="CDIFigure-Table-H1"/>
            </w:pPr>
            <w:r>
              <w:t>AEFI reports</w:t>
            </w:r>
            <w:r>
              <w:br/>
              <w:t>n (%)</w:t>
            </w:r>
            <w:r>
              <w:rPr>
                <w:rStyle w:val="Superscript"/>
              </w:rPr>
              <w:t>c</w:t>
            </w:r>
          </w:p>
        </w:tc>
        <w:tc>
          <w:tcPr>
            <w:tcW w:w="1356" w:type="dxa"/>
            <w:shd w:val="clear" w:color="auto" w:fill="033636" w:themeFill="text2"/>
            <w:tcMar>
              <w:top w:w="113" w:type="dxa"/>
              <w:left w:w="113" w:type="dxa"/>
              <w:bottom w:w="113" w:type="dxa"/>
              <w:right w:w="113" w:type="dxa"/>
            </w:tcMar>
            <w:vAlign w:val="bottom"/>
          </w:tcPr>
          <w:p w14:paraId="5AEBA539" w14:textId="77777777" w:rsidR="0089323F" w:rsidRDefault="0089323F" w:rsidP="0089323F">
            <w:pPr>
              <w:pStyle w:val="CDIFigure-Table-H1"/>
            </w:pPr>
            <w:r>
              <w:t>Comirnaty</w:t>
            </w:r>
            <w:r>
              <w:br/>
              <w:t>n (%)</w:t>
            </w:r>
            <w:r>
              <w:rPr>
                <w:rStyle w:val="Superscript"/>
              </w:rPr>
              <w:t>d,e</w:t>
            </w:r>
          </w:p>
        </w:tc>
        <w:tc>
          <w:tcPr>
            <w:tcW w:w="1356" w:type="dxa"/>
            <w:shd w:val="clear" w:color="auto" w:fill="033636" w:themeFill="text2"/>
            <w:tcMar>
              <w:top w:w="113" w:type="dxa"/>
              <w:left w:w="113" w:type="dxa"/>
              <w:bottom w:w="113" w:type="dxa"/>
              <w:right w:w="113" w:type="dxa"/>
            </w:tcMar>
            <w:vAlign w:val="bottom"/>
          </w:tcPr>
          <w:p w14:paraId="1D2E5C4B" w14:textId="77777777" w:rsidR="0089323F" w:rsidRDefault="0089323F" w:rsidP="0089323F">
            <w:pPr>
              <w:pStyle w:val="CDIFigure-Table-H1"/>
            </w:pPr>
            <w:r>
              <w:t>Vaxzevria</w:t>
            </w:r>
            <w:r>
              <w:br/>
              <w:t>n (%)</w:t>
            </w:r>
            <w:r>
              <w:rPr>
                <w:rStyle w:val="Superscript"/>
              </w:rPr>
              <w:t>d,e</w:t>
            </w:r>
          </w:p>
        </w:tc>
        <w:tc>
          <w:tcPr>
            <w:tcW w:w="1356" w:type="dxa"/>
            <w:shd w:val="clear" w:color="auto" w:fill="033636" w:themeFill="text2"/>
            <w:tcMar>
              <w:top w:w="113" w:type="dxa"/>
              <w:left w:w="113" w:type="dxa"/>
              <w:bottom w:w="113" w:type="dxa"/>
              <w:right w:w="113" w:type="dxa"/>
            </w:tcMar>
            <w:vAlign w:val="bottom"/>
          </w:tcPr>
          <w:p w14:paraId="169761E5" w14:textId="77777777" w:rsidR="0089323F" w:rsidRDefault="0089323F" w:rsidP="0089323F">
            <w:pPr>
              <w:pStyle w:val="CDIFigure-Table-H1"/>
            </w:pPr>
            <w:r>
              <w:t>Spikevax</w:t>
            </w:r>
            <w:r>
              <w:br/>
              <w:t>n (%)</w:t>
            </w:r>
            <w:r>
              <w:rPr>
                <w:rStyle w:val="Superscript"/>
              </w:rPr>
              <w:t>d,e</w:t>
            </w:r>
          </w:p>
        </w:tc>
      </w:tr>
      <w:tr w:rsidR="0089323F" w14:paraId="22B17B6D"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56227995" w14:textId="77777777" w:rsidR="0089323F" w:rsidRDefault="0089323F" w:rsidP="0089323F">
            <w:pPr>
              <w:pStyle w:val="CDIFigure-Table-BodyTextLeft"/>
            </w:pPr>
            <w:r>
              <w:t>Headache</w:t>
            </w:r>
          </w:p>
        </w:tc>
        <w:tc>
          <w:tcPr>
            <w:tcW w:w="1356" w:type="dxa"/>
            <w:shd w:val="clear" w:color="auto" w:fill="F2F2F2" w:themeFill="background1" w:themeFillShade="F2"/>
            <w:tcMar>
              <w:top w:w="113" w:type="dxa"/>
              <w:left w:w="113" w:type="dxa"/>
              <w:bottom w:w="113" w:type="dxa"/>
              <w:right w:w="113" w:type="dxa"/>
            </w:tcMar>
            <w:vAlign w:val="center"/>
          </w:tcPr>
          <w:p w14:paraId="039F3135" w14:textId="77777777" w:rsidR="0089323F" w:rsidRDefault="0089323F" w:rsidP="0089323F">
            <w:pPr>
              <w:pStyle w:val="CDIFigure-Table-BodyTextCentre"/>
            </w:pPr>
            <w:r>
              <w:t>28,739 (25.8)</w:t>
            </w:r>
          </w:p>
        </w:tc>
        <w:tc>
          <w:tcPr>
            <w:tcW w:w="1356" w:type="dxa"/>
            <w:shd w:val="clear" w:color="auto" w:fill="F2F2F2" w:themeFill="background1" w:themeFillShade="F2"/>
            <w:tcMar>
              <w:top w:w="113" w:type="dxa"/>
              <w:left w:w="113" w:type="dxa"/>
              <w:bottom w:w="113" w:type="dxa"/>
              <w:right w:w="113" w:type="dxa"/>
            </w:tcMar>
            <w:vAlign w:val="center"/>
          </w:tcPr>
          <w:p w14:paraId="0D2F7D32" w14:textId="77777777" w:rsidR="0089323F" w:rsidRDefault="0089323F" w:rsidP="0089323F">
            <w:pPr>
              <w:pStyle w:val="CDIFigure-Table-BodyTextCentre"/>
            </w:pPr>
            <w:r>
              <w:t>12,739 (44.3)</w:t>
            </w:r>
          </w:p>
        </w:tc>
        <w:tc>
          <w:tcPr>
            <w:tcW w:w="1356" w:type="dxa"/>
            <w:shd w:val="clear" w:color="auto" w:fill="F2F2F2" w:themeFill="background1" w:themeFillShade="F2"/>
            <w:tcMar>
              <w:top w:w="113" w:type="dxa"/>
              <w:left w:w="113" w:type="dxa"/>
              <w:bottom w:w="113" w:type="dxa"/>
              <w:right w:w="113" w:type="dxa"/>
            </w:tcMar>
            <w:vAlign w:val="center"/>
          </w:tcPr>
          <w:p w14:paraId="71E2B0D1" w14:textId="77777777" w:rsidR="0089323F" w:rsidRDefault="0089323F" w:rsidP="0089323F">
            <w:pPr>
              <w:pStyle w:val="CDIFigure-Table-BodyTextCentre"/>
            </w:pPr>
            <w:r>
              <w:t>15,174 (52.8)</w:t>
            </w:r>
          </w:p>
        </w:tc>
        <w:tc>
          <w:tcPr>
            <w:tcW w:w="1356" w:type="dxa"/>
            <w:shd w:val="clear" w:color="auto" w:fill="F2F2F2" w:themeFill="background1" w:themeFillShade="F2"/>
            <w:tcMar>
              <w:top w:w="113" w:type="dxa"/>
              <w:left w:w="113" w:type="dxa"/>
              <w:bottom w:w="113" w:type="dxa"/>
              <w:right w:w="113" w:type="dxa"/>
            </w:tcMar>
            <w:vAlign w:val="center"/>
          </w:tcPr>
          <w:p w14:paraId="20A630F9" w14:textId="77777777" w:rsidR="0089323F" w:rsidRDefault="0089323F" w:rsidP="0089323F">
            <w:pPr>
              <w:pStyle w:val="CDIFigure-Table-BodyTextCentre"/>
            </w:pPr>
            <w:r>
              <w:t>728 (2.5)</w:t>
            </w:r>
          </w:p>
        </w:tc>
      </w:tr>
      <w:tr w:rsidR="0089323F" w14:paraId="009F9A09" w14:textId="77777777" w:rsidTr="0089323F">
        <w:trPr>
          <w:divId w:val="935526654"/>
          <w:trHeight w:val="20"/>
        </w:trPr>
        <w:tc>
          <w:tcPr>
            <w:tcW w:w="4082" w:type="dxa"/>
            <w:tcMar>
              <w:top w:w="113" w:type="dxa"/>
              <w:left w:w="113" w:type="dxa"/>
              <w:bottom w:w="113" w:type="dxa"/>
              <w:right w:w="113" w:type="dxa"/>
            </w:tcMar>
            <w:vAlign w:val="center"/>
          </w:tcPr>
          <w:p w14:paraId="0DD8DC91" w14:textId="77777777" w:rsidR="0089323F" w:rsidRDefault="0089323F" w:rsidP="0089323F">
            <w:pPr>
              <w:pStyle w:val="CDIFigure-Table-BodyTextLeft"/>
            </w:pPr>
            <w:r>
              <w:t>Gastrointestinal nonspecific symptoms and therapeutic procedures</w:t>
            </w:r>
          </w:p>
        </w:tc>
        <w:tc>
          <w:tcPr>
            <w:tcW w:w="1356" w:type="dxa"/>
            <w:tcMar>
              <w:top w:w="113" w:type="dxa"/>
              <w:left w:w="113" w:type="dxa"/>
              <w:bottom w:w="113" w:type="dxa"/>
              <w:right w:w="113" w:type="dxa"/>
            </w:tcMar>
            <w:vAlign w:val="center"/>
          </w:tcPr>
          <w:p w14:paraId="53926397" w14:textId="77777777" w:rsidR="0089323F" w:rsidRDefault="0089323F" w:rsidP="0089323F">
            <w:pPr>
              <w:pStyle w:val="CDIFigure-Table-BodyTextCentre"/>
            </w:pPr>
            <w:r>
              <w:t>22,186 (19.9)</w:t>
            </w:r>
          </w:p>
        </w:tc>
        <w:tc>
          <w:tcPr>
            <w:tcW w:w="1356" w:type="dxa"/>
            <w:tcMar>
              <w:top w:w="113" w:type="dxa"/>
              <w:left w:w="113" w:type="dxa"/>
              <w:bottom w:w="113" w:type="dxa"/>
              <w:right w:w="113" w:type="dxa"/>
            </w:tcMar>
            <w:vAlign w:val="center"/>
          </w:tcPr>
          <w:p w14:paraId="32038B8C" w14:textId="77777777" w:rsidR="0089323F" w:rsidRDefault="0089323F" w:rsidP="0089323F">
            <w:pPr>
              <w:pStyle w:val="CDIFigure-Table-BodyTextCentre"/>
            </w:pPr>
            <w:r>
              <w:t>11,322 (51.0)</w:t>
            </w:r>
          </w:p>
        </w:tc>
        <w:tc>
          <w:tcPr>
            <w:tcW w:w="1356" w:type="dxa"/>
            <w:tcMar>
              <w:top w:w="113" w:type="dxa"/>
              <w:left w:w="113" w:type="dxa"/>
              <w:bottom w:w="113" w:type="dxa"/>
              <w:right w:w="113" w:type="dxa"/>
            </w:tcMar>
            <w:vAlign w:val="center"/>
          </w:tcPr>
          <w:p w14:paraId="4D0D3EB8" w14:textId="77777777" w:rsidR="0089323F" w:rsidRDefault="0089323F" w:rsidP="0089323F">
            <w:pPr>
              <w:pStyle w:val="CDIFigure-Table-BodyTextCentre"/>
            </w:pPr>
            <w:r>
              <w:t>10,029 (45.2)</w:t>
            </w:r>
          </w:p>
        </w:tc>
        <w:tc>
          <w:tcPr>
            <w:tcW w:w="1356" w:type="dxa"/>
            <w:tcMar>
              <w:top w:w="113" w:type="dxa"/>
              <w:left w:w="113" w:type="dxa"/>
              <w:bottom w:w="113" w:type="dxa"/>
              <w:right w:w="113" w:type="dxa"/>
            </w:tcMar>
            <w:vAlign w:val="center"/>
          </w:tcPr>
          <w:p w14:paraId="102BEFEA" w14:textId="77777777" w:rsidR="0089323F" w:rsidRDefault="0089323F" w:rsidP="0089323F">
            <w:pPr>
              <w:pStyle w:val="CDIFigure-Table-BodyTextCentre"/>
            </w:pPr>
            <w:r>
              <w:t>773 (3.5)</w:t>
            </w:r>
          </w:p>
        </w:tc>
      </w:tr>
      <w:tr w:rsidR="0089323F" w14:paraId="372E6BCF"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05E4FD53" w14:textId="77777777" w:rsidR="0089323F" w:rsidRDefault="0089323F" w:rsidP="0089323F">
            <w:pPr>
              <w:pStyle w:val="CDIFigure-Table-BodyTextLeft"/>
            </w:pPr>
            <w:r>
              <w:t>Myalgia</w:t>
            </w:r>
          </w:p>
        </w:tc>
        <w:tc>
          <w:tcPr>
            <w:tcW w:w="1356" w:type="dxa"/>
            <w:shd w:val="clear" w:color="auto" w:fill="F2F2F2" w:themeFill="background1" w:themeFillShade="F2"/>
            <w:tcMar>
              <w:top w:w="113" w:type="dxa"/>
              <w:left w:w="113" w:type="dxa"/>
              <w:bottom w:w="113" w:type="dxa"/>
              <w:right w:w="113" w:type="dxa"/>
            </w:tcMar>
            <w:vAlign w:val="center"/>
          </w:tcPr>
          <w:p w14:paraId="3CD71984" w14:textId="77777777" w:rsidR="0089323F" w:rsidRDefault="0089323F" w:rsidP="0089323F">
            <w:pPr>
              <w:pStyle w:val="CDIFigure-Table-BodyTextCentre"/>
            </w:pPr>
            <w:r>
              <w:t>17,851 (16)</w:t>
            </w:r>
          </w:p>
        </w:tc>
        <w:tc>
          <w:tcPr>
            <w:tcW w:w="1356" w:type="dxa"/>
            <w:shd w:val="clear" w:color="auto" w:fill="F2F2F2" w:themeFill="background1" w:themeFillShade="F2"/>
            <w:tcMar>
              <w:top w:w="113" w:type="dxa"/>
              <w:left w:w="113" w:type="dxa"/>
              <w:bottom w:w="113" w:type="dxa"/>
              <w:right w:w="113" w:type="dxa"/>
            </w:tcMar>
            <w:vAlign w:val="center"/>
          </w:tcPr>
          <w:p w14:paraId="22FAC36A" w14:textId="77777777" w:rsidR="0089323F" w:rsidRDefault="0089323F" w:rsidP="0089323F">
            <w:pPr>
              <w:pStyle w:val="CDIFigure-Table-BodyTextCentre"/>
            </w:pPr>
            <w:r>
              <w:t>8,120 (45.5)</w:t>
            </w:r>
          </w:p>
        </w:tc>
        <w:tc>
          <w:tcPr>
            <w:tcW w:w="1356" w:type="dxa"/>
            <w:shd w:val="clear" w:color="auto" w:fill="F2F2F2" w:themeFill="background1" w:themeFillShade="F2"/>
            <w:tcMar>
              <w:top w:w="113" w:type="dxa"/>
              <w:left w:w="113" w:type="dxa"/>
              <w:bottom w:w="113" w:type="dxa"/>
              <w:right w:w="113" w:type="dxa"/>
            </w:tcMar>
            <w:vAlign w:val="center"/>
          </w:tcPr>
          <w:p w14:paraId="092787A9" w14:textId="77777777" w:rsidR="0089323F" w:rsidRDefault="0089323F" w:rsidP="0089323F">
            <w:pPr>
              <w:pStyle w:val="CDIFigure-Table-BodyTextCentre"/>
            </w:pPr>
            <w:r>
              <w:t>9,255 (51.8)</w:t>
            </w:r>
          </w:p>
        </w:tc>
        <w:tc>
          <w:tcPr>
            <w:tcW w:w="1356" w:type="dxa"/>
            <w:shd w:val="clear" w:color="auto" w:fill="F2F2F2" w:themeFill="background1" w:themeFillShade="F2"/>
            <w:tcMar>
              <w:top w:w="113" w:type="dxa"/>
              <w:left w:w="113" w:type="dxa"/>
              <w:bottom w:w="113" w:type="dxa"/>
              <w:right w:w="113" w:type="dxa"/>
            </w:tcMar>
            <w:vAlign w:val="center"/>
          </w:tcPr>
          <w:p w14:paraId="4C8C232E" w14:textId="77777777" w:rsidR="0089323F" w:rsidRDefault="0089323F" w:rsidP="0089323F">
            <w:pPr>
              <w:pStyle w:val="CDIFigure-Table-BodyTextCentre"/>
            </w:pPr>
            <w:r>
              <w:t>429 (2.4)</w:t>
            </w:r>
          </w:p>
        </w:tc>
      </w:tr>
      <w:tr w:rsidR="0089323F" w14:paraId="192352B8" w14:textId="77777777" w:rsidTr="0089323F">
        <w:trPr>
          <w:divId w:val="935526654"/>
          <w:trHeight w:val="20"/>
        </w:trPr>
        <w:tc>
          <w:tcPr>
            <w:tcW w:w="4082" w:type="dxa"/>
            <w:tcMar>
              <w:top w:w="113" w:type="dxa"/>
              <w:left w:w="113" w:type="dxa"/>
              <w:bottom w:w="113" w:type="dxa"/>
              <w:right w:w="113" w:type="dxa"/>
            </w:tcMar>
            <w:vAlign w:val="center"/>
          </w:tcPr>
          <w:p w14:paraId="0AEAC4B6" w14:textId="77777777" w:rsidR="0089323F" w:rsidRDefault="0089323F" w:rsidP="0089323F">
            <w:pPr>
              <w:pStyle w:val="CDIFigure-Table-BodyTextLeft"/>
            </w:pPr>
            <w:r>
              <w:t>Pyrexia</w:t>
            </w:r>
          </w:p>
        </w:tc>
        <w:tc>
          <w:tcPr>
            <w:tcW w:w="1356" w:type="dxa"/>
            <w:tcMar>
              <w:top w:w="113" w:type="dxa"/>
              <w:left w:w="113" w:type="dxa"/>
              <w:bottom w:w="113" w:type="dxa"/>
              <w:right w:w="113" w:type="dxa"/>
            </w:tcMar>
            <w:vAlign w:val="center"/>
          </w:tcPr>
          <w:p w14:paraId="6B892BCB" w14:textId="77777777" w:rsidR="0089323F" w:rsidRDefault="0089323F" w:rsidP="0089323F">
            <w:pPr>
              <w:pStyle w:val="CDIFigure-Table-BodyTextCentre"/>
            </w:pPr>
            <w:r>
              <w:t>15,674 (14.1)</w:t>
            </w:r>
          </w:p>
        </w:tc>
        <w:tc>
          <w:tcPr>
            <w:tcW w:w="1356" w:type="dxa"/>
            <w:tcMar>
              <w:top w:w="113" w:type="dxa"/>
              <w:left w:w="113" w:type="dxa"/>
              <w:bottom w:w="113" w:type="dxa"/>
              <w:right w:w="113" w:type="dxa"/>
            </w:tcMar>
            <w:vAlign w:val="center"/>
          </w:tcPr>
          <w:p w14:paraId="0861F500" w14:textId="77777777" w:rsidR="0089323F" w:rsidRDefault="0089323F" w:rsidP="0089323F">
            <w:pPr>
              <w:pStyle w:val="CDIFigure-Table-BodyTextCentre"/>
            </w:pPr>
            <w:r>
              <w:t>6,139 (39.2)</w:t>
            </w:r>
          </w:p>
        </w:tc>
        <w:tc>
          <w:tcPr>
            <w:tcW w:w="1356" w:type="dxa"/>
            <w:tcMar>
              <w:top w:w="113" w:type="dxa"/>
              <w:left w:w="113" w:type="dxa"/>
              <w:bottom w:w="113" w:type="dxa"/>
              <w:right w:w="113" w:type="dxa"/>
            </w:tcMar>
            <w:vAlign w:val="center"/>
          </w:tcPr>
          <w:p w14:paraId="3100A3FE" w14:textId="77777777" w:rsidR="0089323F" w:rsidRDefault="0089323F" w:rsidP="0089323F">
            <w:pPr>
              <w:pStyle w:val="CDIFigure-Table-BodyTextCentre"/>
            </w:pPr>
            <w:r>
              <w:t>8,964 (57.2)</w:t>
            </w:r>
          </w:p>
        </w:tc>
        <w:tc>
          <w:tcPr>
            <w:tcW w:w="1356" w:type="dxa"/>
            <w:tcMar>
              <w:top w:w="113" w:type="dxa"/>
              <w:left w:w="113" w:type="dxa"/>
              <w:bottom w:w="113" w:type="dxa"/>
              <w:right w:w="113" w:type="dxa"/>
            </w:tcMar>
            <w:vAlign w:val="center"/>
          </w:tcPr>
          <w:p w14:paraId="00A01A73" w14:textId="77777777" w:rsidR="0089323F" w:rsidRDefault="0089323F" w:rsidP="0089323F">
            <w:pPr>
              <w:pStyle w:val="CDIFigure-Table-BodyTextCentre"/>
            </w:pPr>
            <w:r>
              <w:t>518 (3.3)</w:t>
            </w:r>
          </w:p>
        </w:tc>
      </w:tr>
      <w:tr w:rsidR="0089323F" w14:paraId="1901BEF8"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7B29255F" w14:textId="77777777" w:rsidR="0089323F" w:rsidRDefault="0089323F" w:rsidP="0089323F">
            <w:pPr>
              <w:pStyle w:val="CDIFigure-Table-BodyTextLeft"/>
            </w:pPr>
            <w:r>
              <w:t>Fatigue</w:t>
            </w:r>
          </w:p>
        </w:tc>
        <w:tc>
          <w:tcPr>
            <w:tcW w:w="1356" w:type="dxa"/>
            <w:shd w:val="clear" w:color="auto" w:fill="F2F2F2" w:themeFill="background1" w:themeFillShade="F2"/>
            <w:tcMar>
              <w:top w:w="113" w:type="dxa"/>
              <w:left w:w="113" w:type="dxa"/>
              <w:bottom w:w="113" w:type="dxa"/>
              <w:right w:w="113" w:type="dxa"/>
            </w:tcMar>
            <w:vAlign w:val="center"/>
          </w:tcPr>
          <w:p w14:paraId="748BB29E" w14:textId="77777777" w:rsidR="0089323F" w:rsidRDefault="0089323F" w:rsidP="0089323F">
            <w:pPr>
              <w:pStyle w:val="CDIFigure-Table-BodyTextCentre"/>
            </w:pPr>
            <w:r>
              <w:t>13,503 (12.1)</w:t>
            </w:r>
          </w:p>
        </w:tc>
        <w:tc>
          <w:tcPr>
            <w:tcW w:w="1356" w:type="dxa"/>
            <w:shd w:val="clear" w:color="auto" w:fill="F2F2F2" w:themeFill="background1" w:themeFillShade="F2"/>
            <w:tcMar>
              <w:top w:w="113" w:type="dxa"/>
              <w:left w:w="113" w:type="dxa"/>
              <w:bottom w:w="113" w:type="dxa"/>
              <w:right w:w="113" w:type="dxa"/>
            </w:tcMar>
            <w:vAlign w:val="center"/>
          </w:tcPr>
          <w:p w14:paraId="2E505ECC" w14:textId="77777777" w:rsidR="0089323F" w:rsidRDefault="0089323F" w:rsidP="0089323F">
            <w:pPr>
              <w:pStyle w:val="CDIFigure-Table-BodyTextCentre"/>
            </w:pPr>
            <w:r>
              <w:t>6,545 (48.5)</w:t>
            </w:r>
          </w:p>
        </w:tc>
        <w:tc>
          <w:tcPr>
            <w:tcW w:w="1356" w:type="dxa"/>
            <w:shd w:val="clear" w:color="auto" w:fill="F2F2F2" w:themeFill="background1" w:themeFillShade="F2"/>
            <w:tcMar>
              <w:top w:w="113" w:type="dxa"/>
              <w:left w:w="113" w:type="dxa"/>
              <w:bottom w:w="113" w:type="dxa"/>
              <w:right w:w="113" w:type="dxa"/>
            </w:tcMar>
            <w:vAlign w:val="center"/>
          </w:tcPr>
          <w:p w14:paraId="5C517447" w14:textId="77777777" w:rsidR="0089323F" w:rsidRDefault="0089323F" w:rsidP="0089323F">
            <w:pPr>
              <w:pStyle w:val="CDIFigure-Table-BodyTextCentre"/>
            </w:pPr>
            <w:r>
              <w:t>6,365 (47.1)</w:t>
            </w:r>
          </w:p>
        </w:tc>
        <w:tc>
          <w:tcPr>
            <w:tcW w:w="1356" w:type="dxa"/>
            <w:shd w:val="clear" w:color="auto" w:fill="F2F2F2" w:themeFill="background1" w:themeFillShade="F2"/>
            <w:tcMar>
              <w:top w:w="113" w:type="dxa"/>
              <w:left w:w="113" w:type="dxa"/>
              <w:bottom w:w="113" w:type="dxa"/>
              <w:right w:w="113" w:type="dxa"/>
            </w:tcMar>
            <w:vAlign w:val="center"/>
          </w:tcPr>
          <w:p w14:paraId="3BE69C2A" w14:textId="77777777" w:rsidR="0089323F" w:rsidRDefault="0089323F" w:rsidP="0089323F">
            <w:pPr>
              <w:pStyle w:val="CDIFigure-Table-BodyTextCentre"/>
            </w:pPr>
            <w:r>
              <w:t>557 (4.1)</w:t>
            </w:r>
          </w:p>
        </w:tc>
      </w:tr>
      <w:tr w:rsidR="0089323F" w14:paraId="4E906E83" w14:textId="77777777" w:rsidTr="0089323F">
        <w:trPr>
          <w:divId w:val="935526654"/>
          <w:trHeight w:val="20"/>
        </w:trPr>
        <w:tc>
          <w:tcPr>
            <w:tcW w:w="4082" w:type="dxa"/>
            <w:tcMar>
              <w:top w:w="113" w:type="dxa"/>
              <w:left w:w="113" w:type="dxa"/>
              <w:bottom w:w="113" w:type="dxa"/>
              <w:right w:w="113" w:type="dxa"/>
            </w:tcMar>
            <w:vAlign w:val="center"/>
          </w:tcPr>
          <w:p w14:paraId="7307DD0C" w14:textId="77777777" w:rsidR="0089323F" w:rsidRDefault="0089323F" w:rsidP="0089323F">
            <w:pPr>
              <w:pStyle w:val="CDIFigure-Table-BodyTextLeft"/>
            </w:pPr>
            <w:r>
              <w:t>Injection site reaction</w:t>
            </w:r>
          </w:p>
        </w:tc>
        <w:tc>
          <w:tcPr>
            <w:tcW w:w="1356" w:type="dxa"/>
            <w:tcMar>
              <w:top w:w="113" w:type="dxa"/>
              <w:left w:w="113" w:type="dxa"/>
              <w:bottom w:w="113" w:type="dxa"/>
              <w:right w:w="113" w:type="dxa"/>
            </w:tcMar>
            <w:vAlign w:val="center"/>
          </w:tcPr>
          <w:p w14:paraId="0FB814F7" w14:textId="77777777" w:rsidR="0089323F" w:rsidRDefault="0089323F" w:rsidP="0089323F">
            <w:pPr>
              <w:pStyle w:val="CDIFigure-Table-BodyTextCentre"/>
            </w:pPr>
            <w:r>
              <w:t>11,878 (10.7)</w:t>
            </w:r>
          </w:p>
        </w:tc>
        <w:tc>
          <w:tcPr>
            <w:tcW w:w="1356" w:type="dxa"/>
            <w:tcMar>
              <w:top w:w="113" w:type="dxa"/>
              <w:left w:w="113" w:type="dxa"/>
              <w:bottom w:w="113" w:type="dxa"/>
              <w:right w:w="113" w:type="dxa"/>
            </w:tcMar>
            <w:vAlign w:val="center"/>
          </w:tcPr>
          <w:p w14:paraId="24090819" w14:textId="77777777" w:rsidR="0089323F" w:rsidRDefault="0089323F" w:rsidP="0089323F">
            <w:pPr>
              <w:pStyle w:val="CDIFigure-Table-BodyTextCentre"/>
            </w:pPr>
            <w:r>
              <w:t>6,000 (50.5)</w:t>
            </w:r>
          </w:p>
        </w:tc>
        <w:tc>
          <w:tcPr>
            <w:tcW w:w="1356" w:type="dxa"/>
            <w:tcMar>
              <w:top w:w="113" w:type="dxa"/>
              <w:left w:w="113" w:type="dxa"/>
              <w:bottom w:w="113" w:type="dxa"/>
              <w:right w:w="113" w:type="dxa"/>
            </w:tcMar>
            <w:vAlign w:val="center"/>
          </w:tcPr>
          <w:p w14:paraId="09885BAF" w14:textId="77777777" w:rsidR="0089323F" w:rsidRDefault="0089323F" w:rsidP="0089323F">
            <w:pPr>
              <w:pStyle w:val="CDIFigure-Table-BodyTextCentre"/>
            </w:pPr>
            <w:r>
              <w:t>5,213 (43.9)</w:t>
            </w:r>
          </w:p>
        </w:tc>
        <w:tc>
          <w:tcPr>
            <w:tcW w:w="1356" w:type="dxa"/>
            <w:tcMar>
              <w:top w:w="113" w:type="dxa"/>
              <w:left w:w="113" w:type="dxa"/>
              <w:bottom w:w="113" w:type="dxa"/>
              <w:right w:w="113" w:type="dxa"/>
            </w:tcMar>
            <w:vAlign w:val="center"/>
          </w:tcPr>
          <w:p w14:paraId="4F320FAE" w14:textId="77777777" w:rsidR="0089323F" w:rsidRDefault="0089323F" w:rsidP="0089323F">
            <w:pPr>
              <w:pStyle w:val="CDIFigure-Table-BodyTextCentre"/>
            </w:pPr>
            <w:r>
              <w:t>648 (5.5)</w:t>
            </w:r>
          </w:p>
        </w:tc>
      </w:tr>
      <w:tr w:rsidR="0089323F" w14:paraId="335CD754"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15EC6B70" w14:textId="77777777" w:rsidR="0089323F" w:rsidRDefault="0089323F" w:rsidP="0089323F">
            <w:pPr>
              <w:pStyle w:val="CDIFigure-Table-BodyTextLeft"/>
            </w:pPr>
            <w:r>
              <w:t>Dizziness</w:t>
            </w:r>
          </w:p>
        </w:tc>
        <w:tc>
          <w:tcPr>
            <w:tcW w:w="1356" w:type="dxa"/>
            <w:shd w:val="clear" w:color="auto" w:fill="F2F2F2" w:themeFill="background1" w:themeFillShade="F2"/>
            <w:tcMar>
              <w:top w:w="113" w:type="dxa"/>
              <w:left w:w="113" w:type="dxa"/>
              <w:bottom w:w="113" w:type="dxa"/>
              <w:right w:w="113" w:type="dxa"/>
            </w:tcMar>
            <w:vAlign w:val="center"/>
          </w:tcPr>
          <w:p w14:paraId="29E264FB" w14:textId="77777777" w:rsidR="0089323F" w:rsidRDefault="0089323F" w:rsidP="0089323F">
            <w:pPr>
              <w:pStyle w:val="CDIFigure-Table-BodyTextCentre"/>
            </w:pPr>
            <w:r>
              <w:t>11,506 (10.3)</w:t>
            </w:r>
          </w:p>
        </w:tc>
        <w:tc>
          <w:tcPr>
            <w:tcW w:w="1356" w:type="dxa"/>
            <w:shd w:val="clear" w:color="auto" w:fill="F2F2F2" w:themeFill="background1" w:themeFillShade="F2"/>
            <w:tcMar>
              <w:top w:w="113" w:type="dxa"/>
              <w:left w:w="113" w:type="dxa"/>
              <w:bottom w:w="113" w:type="dxa"/>
              <w:right w:w="113" w:type="dxa"/>
            </w:tcMar>
            <w:vAlign w:val="center"/>
          </w:tcPr>
          <w:p w14:paraId="6D48BAFC" w14:textId="77777777" w:rsidR="0089323F" w:rsidRDefault="0089323F" w:rsidP="0089323F">
            <w:pPr>
              <w:pStyle w:val="CDIFigure-Table-BodyTextCentre"/>
            </w:pPr>
            <w:r>
              <w:t>7,389 (64.2)</w:t>
            </w:r>
          </w:p>
        </w:tc>
        <w:tc>
          <w:tcPr>
            <w:tcW w:w="1356" w:type="dxa"/>
            <w:shd w:val="clear" w:color="auto" w:fill="F2F2F2" w:themeFill="background1" w:themeFillShade="F2"/>
            <w:tcMar>
              <w:top w:w="113" w:type="dxa"/>
              <w:left w:w="113" w:type="dxa"/>
              <w:bottom w:w="113" w:type="dxa"/>
              <w:right w:w="113" w:type="dxa"/>
            </w:tcMar>
            <w:vAlign w:val="center"/>
          </w:tcPr>
          <w:p w14:paraId="1A3A5288" w14:textId="77777777" w:rsidR="0089323F" w:rsidRDefault="0089323F" w:rsidP="0089323F">
            <w:pPr>
              <w:pStyle w:val="CDIFigure-Table-BodyTextCentre"/>
            </w:pPr>
            <w:r>
              <w:t>3,670 (31.9)</w:t>
            </w:r>
          </w:p>
        </w:tc>
        <w:tc>
          <w:tcPr>
            <w:tcW w:w="1356" w:type="dxa"/>
            <w:shd w:val="clear" w:color="auto" w:fill="F2F2F2" w:themeFill="background1" w:themeFillShade="F2"/>
            <w:tcMar>
              <w:top w:w="113" w:type="dxa"/>
              <w:left w:w="113" w:type="dxa"/>
              <w:bottom w:w="113" w:type="dxa"/>
              <w:right w:w="113" w:type="dxa"/>
            </w:tcMar>
            <w:vAlign w:val="center"/>
          </w:tcPr>
          <w:p w14:paraId="4A7CDDFC" w14:textId="77777777" w:rsidR="0089323F" w:rsidRDefault="0089323F" w:rsidP="0089323F">
            <w:pPr>
              <w:pStyle w:val="CDIFigure-Table-BodyTextCentre"/>
            </w:pPr>
            <w:r>
              <w:t>418 (3.6)</w:t>
            </w:r>
          </w:p>
        </w:tc>
      </w:tr>
      <w:tr w:rsidR="0089323F" w14:paraId="0B8082C3" w14:textId="77777777" w:rsidTr="0089323F">
        <w:trPr>
          <w:divId w:val="935526654"/>
          <w:trHeight w:val="20"/>
        </w:trPr>
        <w:tc>
          <w:tcPr>
            <w:tcW w:w="4082" w:type="dxa"/>
            <w:tcMar>
              <w:top w:w="113" w:type="dxa"/>
              <w:left w:w="113" w:type="dxa"/>
              <w:bottom w:w="113" w:type="dxa"/>
              <w:right w:w="113" w:type="dxa"/>
            </w:tcMar>
            <w:vAlign w:val="center"/>
          </w:tcPr>
          <w:p w14:paraId="0BBD6FA2" w14:textId="77777777" w:rsidR="0089323F" w:rsidRDefault="0089323F" w:rsidP="0089323F">
            <w:pPr>
              <w:pStyle w:val="CDIFigure-Table-BodyTextLeft"/>
            </w:pPr>
            <w:r>
              <w:t>Lethargy</w:t>
            </w:r>
          </w:p>
        </w:tc>
        <w:tc>
          <w:tcPr>
            <w:tcW w:w="1356" w:type="dxa"/>
            <w:tcMar>
              <w:top w:w="113" w:type="dxa"/>
              <w:left w:w="113" w:type="dxa"/>
              <w:bottom w:w="113" w:type="dxa"/>
              <w:right w:w="113" w:type="dxa"/>
            </w:tcMar>
            <w:vAlign w:val="center"/>
          </w:tcPr>
          <w:p w14:paraId="7D706394" w14:textId="77777777" w:rsidR="0089323F" w:rsidRDefault="0089323F" w:rsidP="0089323F">
            <w:pPr>
              <w:pStyle w:val="CDIFigure-Table-BodyTextCentre"/>
            </w:pPr>
            <w:r>
              <w:t>11,218 (10.1)</w:t>
            </w:r>
          </w:p>
        </w:tc>
        <w:tc>
          <w:tcPr>
            <w:tcW w:w="1356" w:type="dxa"/>
            <w:tcMar>
              <w:top w:w="113" w:type="dxa"/>
              <w:left w:w="113" w:type="dxa"/>
              <w:bottom w:w="113" w:type="dxa"/>
              <w:right w:w="113" w:type="dxa"/>
            </w:tcMar>
            <w:vAlign w:val="center"/>
          </w:tcPr>
          <w:p w14:paraId="5BA91AC7" w14:textId="77777777" w:rsidR="0089323F" w:rsidRDefault="0089323F" w:rsidP="0089323F">
            <w:pPr>
              <w:pStyle w:val="CDIFigure-Table-BodyTextCentre"/>
            </w:pPr>
            <w:r>
              <w:t>6,372 (56.8)</w:t>
            </w:r>
          </w:p>
        </w:tc>
        <w:tc>
          <w:tcPr>
            <w:tcW w:w="1356" w:type="dxa"/>
            <w:tcMar>
              <w:top w:w="113" w:type="dxa"/>
              <w:left w:w="113" w:type="dxa"/>
              <w:bottom w:w="113" w:type="dxa"/>
              <w:right w:w="113" w:type="dxa"/>
            </w:tcMar>
            <w:vAlign w:val="center"/>
          </w:tcPr>
          <w:p w14:paraId="0175216F" w14:textId="77777777" w:rsidR="0089323F" w:rsidRDefault="0089323F" w:rsidP="0089323F">
            <w:pPr>
              <w:pStyle w:val="CDIFigure-Table-BodyTextCentre"/>
            </w:pPr>
            <w:r>
              <w:t>4,605 (41.1)</w:t>
            </w:r>
          </w:p>
        </w:tc>
        <w:tc>
          <w:tcPr>
            <w:tcW w:w="1356" w:type="dxa"/>
            <w:tcMar>
              <w:top w:w="113" w:type="dxa"/>
              <w:left w:w="113" w:type="dxa"/>
              <w:bottom w:w="113" w:type="dxa"/>
              <w:right w:w="113" w:type="dxa"/>
            </w:tcMar>
            <w:vAlign w:val="center"/>
          </w:tcPr>
          <w:p w14:paraId="05904A56" w14:textId="77777777" w:rsidR="0089323F" w:rsidRDefault="0089323F" w:rsidP="0089323F">
            <w:pPr>
              <w:pStyle w:val="CDIFigure-Table-BodyTextCentre"/>
            </w:pPr>
            <w:r>
              <w:t>235 (2.1)</w:t>
            </w:r>
          </w:p>
        </w:tc>
      </w:tr>
      <w:tr w:rsidR="0089323F" w14:paraId="57F0C261"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5C2536AE" w14:textId="77777777" w:rsidR="0089323F" w:rsidRDefault="0089323F" w:rsidP="0089323F">
            <w:pPr>
              <w:pStyle w:val="CDIFigure-Table-BodyTextLeft"/>
            </w:pPr>
            <w:r>
              <w:t>Arthralgia</w:t>
            </w:r>
          </w:p>
        </w:tc>
        <w:tc>
          <w:tcPr>
            <w:tcW w:w="1356" w:type="dxa"/>
            <w:shd w:val="clear" w:color="auto" w:fill="F2F2F2" w:themeFill="background1" w:themeFillShade="F2"/>
            <w:tcMar>
              <w:top w:w="113" w:type="dxa"/>
              <w:left w:w="113" w:type="dxa"/>
              <w:bottom w:w="113" w:type="dxa"/>
              <w:right w:w="113" w:type="dxa"/>
            </w:tcMar>
            <w:vAlign w:val="center"/>
          </w:tcPr>
          <w:p w14:paraId="1AAFA8DB" w14:textId="77777777" w:rsidR="0089323F" w:rsidRDefault="0089323F" w:rsidP="0089323F">
            <w:pPr>
              <w:pStyle w:val="CDIFigure-Table-BodyTextCentre"/>
            </w:pPr>
            <w:r>
              <w:t>11,217 (10.1)</w:t>
            </w:r>
          </w:p>
        </w:tc>
        <w:tc>
          <w:tcPr>
            <w:tcW w:w="1356" w:type="dxa"/>
            <w:shd w:val="clear" w:color="auto" w:fill="F2F2F2" w:themeFill="background1" w:themeFillShade="F2"/>
            <w:tcMar>
              <w:top w:w="113" w:type="dxa"/>
              <w:left w:w="113" w:type="dxa"/>
              <w:bottom w:w="113" w:type="dxa"/>
              <w:right w:w="113" w:type="dxa"/>
            </w:tcMar>
            <w:vAlign w:val="center"/>
          </w:tcPr>
          <w:p w14:paraId="5FED97F9" w14:textId="77777777" w:rsidR="0089323F" w:rsidRDefault="0089323F" w:rsidP="0089323F">
            <w:pPr>
              <w:pStyle w:val="CDIFigure-Table-BodyTextCentre"/>
            </w:pPr>
            <w:r>
              <w:t>5,336 (47.6)</w:t>
            </w:r>
          </w:p>
        </w:tc>
        <w:tc>
          <w:tcPr>
            <w:tcW w:w="1356" w:type="dxa"/>
            <w:shd w:val="clear" w:color="auto" w:fill="F2F2F2" w:themeFill="background1" w:themeFillShade="F2"/>
            <w:tcMar>
              <w:top w:w="113" w:type="dxa"/>
              <w:left w:w="113" w:type="dxa"/>
              <w:bottom w:w="113" w:type="dxa"/>
              <w:right w:w="113" w:type="dxa"/>
            </w:tcMar>
            <w:vAlign w:val="center"/>
          </w:tcPr>
          <w:p w14:paraId="38EC1110" w14:textId="77777777" w:rsidR="0089323F" w:rsidRDefault="0089323F" w:rsidP="0089323F">
            <w:pPr>
              <w:pStyle w:val="CDIFigure-Table-BodyTextCentre"/>
            </w:pPr>
            <w:r>
              <w:t>5,547 (49.5)</w:t>
            </w:r>
          </w:p>
        </w:tc>
        <w:tc>
          <w:tcPr>
            <w:tcW w:w="1356" w:type="dxa"/>
            <w:shd w:val="clear" w:color="auto" w:fill="F2F2F2" w:themeFill="background1" w:themeFillShade="F2"/>
            <w:tcMar>
              <w:top w:w="113" w:type="dxa"/>
              <w:left w:w="113" w:type="dxa"/>
              <w:bottom w:w="113" w:type="dxa"/>
              <w:right w:w="113" w:type="dxa"/>
            </w:tcMar>
            <w:vAlign w:val="center"/>
          </w:tcPr>
          <w:p w14:paraId="535751FA" w14:textId="77777777" w:rsidR="0089323F" w:rsidRDefault="0089323F" w:rsidP="0089323F">
            <w:pPr>
              <w:pStyle w:val="CDIFigure-Table-BodyTextCentre"/>
            </w:pPr>
            <w:r>
              <w:t>290 (2.6)</w:t>
            </w:r>
          </w:p>
        </w:tc>
      </w:tr>
      <w:tr w:rsidR="0089323F" w14:paraId="5B57277B" w14:textId="77777777" w:rsidTr="0089323F">
        <w:trPr>
          <w:divId w:val="935526654"/>
          <w:trHeight w:val="20"/>
        </w:trPr>
        <w:tc>
          <w:tcPr>
            <w:tcW w:w="4082" w:type="dxa"/>
            <w:tcMar>
              <w:top w:w="113" w:type="dxa"/>
              <w:left w:w="113" w:type="dxa"/>
              <w:bottom w:w="113" w:type="dxa"/>
              <w:right w:w="113" w:type="dxa"/>
            </w:tcMar>
            <w:vAlign w:val="center"/>
          </w:tcPr>
          <w:p w14:paraId="4A5DE5EB" w14:textId="77777777" w:rsidR="0089323F" w:rsidRDefault="0089323F" w:rsidP="0089323F">
            <w:pPr>
              <w:pStyle w:val="CDIFigure-Table-BodyTextLeft"/>
            </w:pPr>
            <w:r>
              <w:t>Chest pain</w:t>
            </w:r>
          </w:p>
        </w:tc>
        <w:tc>
          <w:tcPr>
            <w:tcW w:w="1356" w:type="dxa"/>
            <w:tcMar>
              <w:top w:w="113" w:type="dxa"/>
              <w:left w:w="113" w:type="dxa"/>
              <w:bottom w:w="113" w:type="dxa"/>
              <w:right w:w="113" w:type="dxa"/>
            </w:tcMar>
            <w:vAlign w:val="center"/>
          </w:tcPr>
          <w:p w14:paraId="0F4A4AAE" w14:textId="77777777" w:rsidR="0089323F" w:rsidRDefault="0089323F" w:rsidP="0089323F">
            <w:pPr>
              <w:pStyle w:val="CDIFigure-Table-BodyTextCentre"/>
            </w:pPr>
            <w:r>
              <w:t>10,733 (9.6)</w:t>
            </w:r>
          </w:p>
        </w:tc>
        <w:tc>
          <w:tcPr>
            <w:tcW w:w="1356" w:type="dxa"/>
            <w:tcMar>
              <w:top w:w="113" w:type="dxa"/>
              <w:left w:w="113" w:type="dxa"/>
              <w:bottom w:w="113" w:type="dxa"/>
              <w:right w:w="113" w:type="dxa"/>
            </w:tcMar>
            <w:vAlign w:val="center"/>
          </w:tcPr>
          <w:p w14:paraId="301FB4AD" w14:textId="77777777" w:rsidR="0089323F" w:rsidRDefault="0089323F" w:rsidP="0089323F">
            <w:pPr>
              <w:pStyle w:val="CDIFigure-Table-BodyTextCentre"/>
            </w:pPr>
            <w:r>
              <w:t>8,091 (75.4)</w:t>
            </w:r>
          </w:p>
        </w:tc>
        <w:tc>
          <w:tcPr>
            <w:tcW w:w="1356" w:type="dxa"/>
            <w:tcMar>
              <w:top w:w="113" w:type="dxa"/>
              <w:left w:w="113" w:type="dxa"/>
              <w:bottom w:w="113" w:type="dxa"/>
              <w:right w:w="113" w:type="dxa"/>
            </w:tcMar>
            <w:vAlign w:val="center"/>
          </w:tcPr>
          <w:p w14:paraId="4B6324EB" w14:textId="77777777" w:rsidR="0089323F" w:rsidRDefault="0089323F" w:rsidP="0089323F">
            <w:pPr>
              <w:pStyle w:val="CDIFigure-Table-BodyTextCentre"/>
            </w:pPr>
            <w:r>
              <w:t>1,784 (16.6)</w:t>
            </w:r>
          </w:p>
        </w:tc>
        <w:tc>
          <w:tcPr>
            <w:tcW w:w="1356" w:type="dxa"/>
            <w:tcMar>
              <w:top w:w="113" w:type="dxa"/>
              <w:left w:w="113" w:type="dxa"/>
              <w:bottom w:w="113" w:type="dxa"/>
              <w:right w:w="113" w:type="dxa"/>
            </w:tcMar>
            <w:vAlign w:val="center"/>
          </w:tcPr>
          <w:p w14:paraId="358C1D92" w14:textId="77777777" w:rsidR="0089323F" w:rsidRDefault="0089323F" w:rsidP="0089323F">
            <w:pPr>
              <w:pStyle w:val="CDIFigure-Table-BodyTextCentre"/>
            </w:pPr>
            <w:r>
              <w:t>841 (7.8)</w:t>
            </w:r>
          </w:p>
        </w:tc>
      </w:tr>
      <w:tr w:rsidR="0089323F" w14:paraId="56ABFEAE"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3992716D" w14:textId="77777777" w:rsidR="0089323F" w:rsidRDefault="0089323F" w:rsidP="0089323F">
            <w:pPr>
              <w:pStyle w:val="CDIFigure-Table-BodyTextLeft"/>
            </w:pPr>
            <w:r>
              <w:t>Chills</w:t>
            </w:r>
          </w:p>
        </w:tc>
        <w:tc>
          <w:tcPr>
            <w:tcW w:w="1356" w:type="dxa"/>
            <w:shd w:val="clear" w:color="auto" w:fill="F2F2F2" w:themeFill="background1" w:themeFillShade="F2"/>
            <w:tcMar>
              <w:top w:w="113" w:type="dxa"/>
              <w:left w:w="113" w:type="dxa"/>
              <w:bottom w:w="113" w:type="dxa"/>
              <w:right w:w="113" w:type="dxa"/>
            </w:tcMar>
            <w:vAlign w:val="center"/>
          </w:tcPr>
          <w:p w14:paraId="421630F9" w14:textId="77777777" w:rsidR="0089323F" w:rsidRDefault="0089323F" w:rsidP="0089323F">
            <w:pPr>
              <w:pStyle w:val="CDIFigure-Table-BodyTextCentre"/>
            </w:pPr>
            <w:r>
              <w:t>10,068 (9.0)</w:t>
            </w:r>
          </w:p>
        </w:tc>
        <w:tc>
          <w:tcPr>
            <w:tcW w:w="1356" w:type="dxa"/>
            <w:shd w:val="clear" w:color="auto" w:fill="F2F2F2" w:themeFill="background1" w:themeFillShade="F2"/>
            <w:tcMar>
              <w:top w:w="113" w:type="dxa"/>
              <w:left w:w="113" w:type="dxa"/>
              <w:bottom w:w="113" w:type="dxa"/>
              <w:right w:w="113" w:type="dxa"/>
            </w:tcMar>
            <w:vAlign w:val="center"/>
          </w:tcPr>
          <w:p w14:paraId="68619A25" w14:textId="77777777" w:rsidR="0089323F" w:rsidRDefault="0089323F" w:rsidP="0089323F">
            <w:pPr>
              <w:pStyle w:val="CDIFigure-Table-BodyTextCentre"/>
            </w:pPr>
            <w:r>
              <w:t>3,785 (37.6)</w:t>
            </w:r>
          </w:p>
        </w:tc>
        <w:tc>
          <w:tcPr>
            <w:tcW w:w="1356" w:type="dxa"/>
            <w:shd w:val="clear" w:color="auto" w:fill="F2F2F2" w:themeFill="background1" w:themeFillShade="F2"/>
            <w:tcMar>
              <w:top w:w="113" w:type="dxa"/>
              <w:left w:w="113" w:type="dxa"/>
              <w:bottom w:w="113" w:type="dxa"/>
              <w:right w:w="113" w:type="dxa"/>
            </w:tcMar>
            <w:vAlign w:val="center"/>
          </w:tcPr>
          <w:p w14:paraId="0363678B" w14:textId="77777777" w:rsidR="0089323F" w:rsidRDefault="0089323F" w:rsidP="0089323F">
            <w:pPr>
              <w:pStyle w:val="CDIFigure-Table-BodyTextCentre"/>
            </w:pPr>
            <w:r>
              <w:t>6,064 (60.2)</w:t>
            </w:r>
          </w:p>
        </w:tc>
        <w:tc>
          <w:tcPr>
            <w:tcW w:w="1356" w:type="dxa"/>
            <w:shd w:val="clear" w:color="auto" w:fill="F2F2F2" w:themeFill="background1" w:themeFillShade="F2"/>
            <w:tcMar>
              <w:top w:w="113" w:type="dxa"/>
              <w:left w:w="113" w:type="dxa"/>
              <w:bottom w:w="113" w:type="dxa"/>
              <w:right w:w="113" w:type="dxa"/>
            </w:tcMar>
            <w:vAlign w:val="center"/>
          </w:tcPr>
          <w:p w14:paraId="1787FAC4" w14:textId="77777777" w:rsidR="0089323F" w:rsidRDefault="0089323F" w:rsidP="0089323F">
            <w:pPr>
              <w:pStyle w:val="CDIFigure-Table-BodyTextCentre"/>
            </w:pPr>
            <w:r>
              <w:t>178 (1.8)</w:t>
            </w:r>
          </w:p>
        </w:tc>
      </w:tr>
      <w:tr w:rsidR="0089323F" w14:paraId="17F5F294" w14:textId="77777777" w:rsidTr="0089323F">
        <w:trPr>
          <w:divId w:val="935526654"/>
          <w:trHeight w:val="20"/>
        </w:trPr>
        <w:tc>
          <w:tcPr>
            <w:tcW w:w="4082" w:type="dxa"/>
            <w:tcMar>
              <w:top w:w="113" w:type="dxa"/>
              <w:left w:w="113" w:type="dxa"/>
              <w:bottom w:w="113" w:type="dxa"/>
              <w:right w:w="113" w:type="dxa"/>
            </w:tcMar>
            <w:vAlign w:val="center"/>
          </w:tcPr>
          <w:p w14:paraId="1F562C02" w14:textId="77777777" w:rsidR="0089323F" w:rsidRDefault="0089323F" w:rsidP="0089323F">
            <w:pPr>
              <w:pStyle w:val="CDIFigure-Table-BodyTextLeft"/>
            </w:pPr>
            <w:r>
              <w:t>Hypersensitivity</w:t>
            </w:r>
          </w:p>
        </w:tc>
        <w:tc>
          <w:tcPr>
            <w:tcW w:w="1356" w:type="dxa"/>
            <w:tcMar>
              <w:top w:w="113" w:type="dxa"/>
              <w:left w:w="113" w:type="dxa"/>
              <w:bottom w:w="113" w:type="dxa"/>
              <w:right w:w="113" w:type="dxa"/>
            </w:tcMar>
            <w:vAlign w:val="center"/>
          </w:tcPr>
          <w:p w14:paraId="47E3178D" w14:textId="77777777" w:rsidR="0089323F" w:rsidRDefault="0089323F" w:rsidP="0089323F">
            <w:pPr>
              <w:pStyle w:val="CDIFigure-Table-BodyTextCentre"/>
            </w:pPr>
            <w:r>
              <w:t>9,026 (8.1)</w:t>
            </w:r>
          </w:p>
        </w:tc>
        <w:tc>
          <w:tcPr>
            <w:tcW w:w="1356" w:type="dxa"/>
            <w:tcMar>
              <w:top w:w="113" w:type="dxa"/>
              <w:left w:w="113" w:type="dxa"/>
              <w:bottom w:w="113" w:type="dxa"/>
              <w:right w:w="113" w:type="dxa"/>
            </w:tcMar>
            <w:vAlign w:val="center"/>
          </w:tcPr>
          <w:p w14:paraId="6E0B595B" w14:textId="77777777" w:rsidR="0089323F" w:rsidRDefault="0089323F" w:rsidP="0089323F">
            <w:pPr>
              <w:pStyle w:val="CDIFigure-Table-BodyTextCentre"/>
            </w:pPr>
            <w:r>
              <w:t>5,052 (56.0)</w:t>
            </w:r>
          </w:p>
        </w:tc>
        <w:tc>
          <w:tcPr>
            <w:tcW w:w="1356" w:type="dxa"/>
            <w:tcMar>
              <w:top w:w="113" w:type="dxa"/>
              <w:left w:w="113" w:type="dxa"/>
              <w:bottom w:w="113" w:type="dxa"/>
              <w:right w:w="113" w:type="dxa"/>
            </w:tcMar>
            <w:vAlign w:val="center"/>
          </w:tcPr>
          <w:p w14:paraId="446FEFCB" w14:textId="77777777" w:rsidR="0089323F" w:rsidRDefault="0089323F" w:rsidP="0089323F">
            <w:pPr>
              <w:pStyle w:val="CDIFigure-Table-BodyTextCentre"/>
            </w:pPr>
            <w:r>
              <w:t>3,542 (39.2)</w:t>
            </w:r>
          </w:p>
        </w:tc>
        <w:tc>
          <w:tcPr>
            <w:tcW w:w="1356" w:type="dxa"/>
            <w:tcMar>
              <w:top w:w="113" w:type="dxa"/>
              <w:left w:w="113" w:type="dxa"/>
              <w:bottom w:w="113" w:type="dxa"/>
              <w:right w:w="113" w:type="dxa"/>
            </w:tcMar>
            <w:vAlign w:val="center"/>
          </w:tcPr>
          <w:p w14:paraId="154F22C7" w14:textId="77777777" w:rsidR="0089323F" w:rsidRDefault="0089323F" w:rsidP="0089323F">
            <w:pPr>
              <w:pStyle w:val="CDIFigure-Table-BodyTextCentre"/>
            </w:pPr>
            <w:r>
              <w:t>422 (4.7)</w:t>
            </w:r>
          </w:p>
        </w:tc>
      </w:tr>
      <w:tr w:rsidR="0089323F" w14:paraId="33575954"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5167D9C7" w14:textId="77777777" w:rsidR="0089323F" w:rsidRDefault="0089323F" w:rsidP="0089323F">
            <w:pPr>
              <w:pStyle w:val="CDIFigure-Table-BodyTextLeft"/>
            </w:pPr>
            <w:r>
              <w:t>Dyspnoea</w:t>
            </w:r>
          </w:p>
        </w:tc>
        <w:tc>
          <w:tcPr>
            <w:tcW w:w="1356" w:type="dxa"/>
            <w:shd w:val="clear" w:color="auto" w:fill="F2F2F2" w:themeFill="background1" w:themeFillShade="F2"/>
            <w:tcMar>
              <w:top w:w="113" w:type="dxa"/>
              <w:left w:w="113" w:type="dxa"/>
              <w:bottom w:w="113" w:type="dxa"/>
              <w:right w:w="113" w:type="dxa"/>
            </w:tcMar>
            <w:vAlign w:val="center"/>
          </w:tcPr>
          <w:p w14:paraId="181A821C" w14:textId="77777777" w:rsidR="0089323F" w:rsidRDefault="0089323F" w:rsidP="0089323F">
            <w:pPr>
              <w:pStyle w:val="CDIFigure-Table-BodyTextCentre"/>
            </w:pPr>
            <w:r>
              <w:t>8,672 (7.8)</w:t>
            </w:r>
          </w:p>
        </w:tc>
        <w:tc>
          <w:tcPr>
            <w:tcW w:w="1356" w:type="dxa"/>
            <w:shd w:val="clear" w:color="auto" w:fill="F2F2F2" w:themeFill="background1" w:themeFillShade="F2"/>
            <w:tcMar>
              <w:top w:w="113" w:type="dxa"/>
              <w:left w:w="113" w:type="dxa"/>
              <w:bottom w:w="113" w:type="dxa"/>
              <w:right w:w="113" w:type="dxa"/>
            </w:tcMar>
            <w:vAlign w:val="center"/>
          </w:tcPr>
          <w:p w14:paraId="4BFE2557" w14:textId="77777777" w:rsidR="0089323F" w:rsidRDefault="0089323F" w:rsidP="0089323F">
            <w:pPr>
              <w:pStyle w:val="CDIFigure-Table-BodyTextCentre"/>
            </w:pPr>
            <w:r>
              <w:t>5,790 (66.8)</w:t>
            </w:r>
          </w:p>
        </w:tc>
        <w:tc>
          <w:tcPr>
            <w:tcW w:w="1356" w:type="dxa"/>
            <w:shd w:val="clear" w:color="auto" w:fill="F2F2F2" w:themeFill="background1" w:themeFillShade="F2"/>
            <w:tcMar>
              <w:top w:w="113" w:type="dxa"/>
              <w:left w:w="113" w:type="dxa"/>
              <w:bottom w:w="113" w:type="dxa"/>
              <w:right w:w="113" w:type="dxa"/>
            </w:tcMar>
            <w:vAlign w:val="center"/>
          </w:tcPr>
          <w:p w14:paraId="6FEB6B25" w14:textId="77777777" w:rsidR="0089323F" w:rsidRDefault="0089323F" w:rsidP="0089323F">
            <w:pPr>
              <w:pStyle w:val="CDIFigure-Table-BodyTextCentre"/>
            </w:pPr>
            <w:r>
              <w:t>2,301 (26.5)</w:t>
            </w:r>
          </w:p>
        </w:tc>
        <w:tc>
          <w:tcPr>
            <w:tcW w:w="1356" w:type="dxa"/>
            <w:shd w:val="clear" w:color="auto" w:fill="F2F2F2" w:themeFill="background1" w:themeFillShade="F2"/>
            <w:tcMar>
              <w:top w:w="113" w:type="dxa"/>
              <w:left w:w="113" w:type="dxa"/>
              <w:bottom w:w="113" w:type="dxa"/>
              <w:right w:w="113" w:type="dxa"/>
            </w:tcMar>
            <w:vAlign w:val="center"/>
          </w:tcPr>
          <w:p w14:paraId="357A63E7" w14:textId="77777777" w:rsidR="0089323F" w:rsidRDefault="0089323F" w:rsidP="0089323F">
            <w:pPr>
              <w:pStyle w:val="CDIFigure-Table-BodyTextCentre"/>
            </w:pPr>
            <w:r>
              <w:t>574 (6.6)</w:t>
            </w:r>
          </w:p>
        </w:tc>
      </w:tr>
      <w:tr w:rsidR="0089323F" w14:paraId="3782A0CC" w14:textId="77777777" w:rsidTr="0089323F">
        <w:trPr>
          <w:divId w:val="935526654"/>
          <w:trHeight w:val="20"/>
        </w:trPr>
        <w:tc>
          <w:tcPr>
            <w:tcW w:w="4082" w:type="dxa"/>
            <w:tcMar>
              <w:top w:w="113" w:type="dxa"/>
              <w:left w:w="113" w:type="dxa"/>
              <w:bottom w:w="113" w:type="dxa"/>
              <w:right w:w="113" w:type="dxa"/>
            </w:tcMar>
            <w:vAlign w:val="center"/>
          </w:tcPr>
          <w:p w14:paraId="390ABF23" w14:textId="77777777" w:rsidR="0089323F" w:rsidRDefault="0089323F" w:rsidP="0089323F">
            <w:pPr>
              <w:pStyle w:val="CDIFigure-Table-BodyTextLeft"/>
            </w:pPr>
            <w:r>
              <w:t>Paraesthesia</w:t>
            </w:r>
          </w:p>
        </w:tc>
        <w:tc>
          <w:tcPr>
            <w:tcW w:w="1356" w:type="dxa"/>
            <w:tcMar>
              <w:top w:w="113" w:type="dxa"/>
              <w:left w:w="113" w:type="dxa"/>
              <w:bottom w:w="113" w:type="dxa"/>
              <w:right w:w="113" w:type="dxa"/>
            </w:tcMar>
            <w:vAlign w:val="center"/>
          </w:tcPr>
          <w:p w14:paraId="6C537076" w14:textId="77777777" w:rsidR="0089323F" w:rsidRDefault="0089323F" w:rsidP="0089323F">
            <w:pPr>
              <w:pStyle w:val="CDIFigure-Table-BodyTextCentre"/>
            </w:pPr>
            <w:r>
              <w:t>6,188 (5.6)</w:t>
            </w:r>
          </w:p>
        </w:tc>
        <w:tc>
          <w:tcPr>
            <w:tcW w:w="1356" w:type="dxa"/>
            <w:tcMar>
              <w:top w:w="113" w:type="dxa"/>
              <w:left w:w="113" w:type="dxa"/>
              <w:bottom w:w="113" w:type="dxa"/>
              <w:right w:w="113" w:type="dxa"/>
            </w:tcMar>
            <w:vAlign w:val="center"/>
          </w:tcPr>
          <w:p w14:paraId="580E5B66" w14:textId="77777777" w:rsidR="0089323F" w:rsidRDefault="0089323F" w:rsidP="0089323F">
            <w:pPr>
              <w:pStyle w:val="CDIFigure-Table-BodyTextCentre"/>
            </w:pPr>
            <w:r>
              <w:t>4,071 (65.8)</w:t>
            </w:r>
          </w:p>
        </w:tc>
        <w:tc>
          <w:tcPr>
            <w:tcW w:w="1356" w:type="dxa"/>
            <w:tcMar>
              <w:top w:w="113" w:type="dxa"/>
              <w:left w:w="113" w:type="dxa"/>
              <w:bottom w:w="113" w:type="dxa"/>
              <w:right w:w="113" w:type="dxa"/>
            </w:tcMar>
            <w:vAlign w:val="center"/>
          </w:tcPr>
          <w:p w14:paraId="39D52DB3" w14:textId="77777777" w:rsidR="0089323F" w:rsidRDefault="0089323F" w:rsidP="0089323F">
            <w:pPr>
              <w:pStyle w:val="CDIFigure-Table-BodyTextCentre"/>
            </w:pPr>
            <w:r>
              <w:t>1,848 (29.9)</w:t>
            </w:r>
          </w:p>
        </w:tc>
        <w:tc>
          <w:tcPr>
            <w:tcW w:w="1356" w:type="dxa"/>
            <w:tcMar>
              <w:top w:w="113" w:type="dxa"/>
              <w:left w:w="113" w:type="dxa"/>
              <w:bottom w:w="113" w:type="dxa"/>
              <w:right w:w="113" w:type="dxa"/>
            </w:tcMar>
            <w:vAlign w:val="center"/>
          </w:tcPr>
          <w:p w14:paraId="4246F71B" w14:textId="77777777" w:rsidR="0089323F" w:rsidRDefault="0089323F" w:rsidP="0089323F">
            <w:pPr>
              <w:pStyle w:val="CDIFigure-Table-BodyTextCentre"/>
            </w:pPr>
            <w:r>
              <w:t>255 (4.1)</w:t>
            </w:r>
          </w:p>
        </w:tc>
      </w:tr>
      <w:tr w:rsidR="0089323F" w14:paraId="6E8318C3"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295F91B8" w14:textId="77777777" w:rsidR="0089323F" w:rsidRDefault="0089323F" w:rsidP="0089323F">
            <w:pPr>
              <w:pStyle w:val="CDIFigure-Table-BodyTextLeft"/>
            </w:pPr>
            <w:r>
              <w:t>Palpitations</w:t>
            </w:r>
          </w:p>
        </w:tc>
        <w:tc>
          <w:tcPr>
            <w:tcW w:w="1356" w:type="dxa"/>
            <w:shd w:val="clear" w:color="auto" w:fill="F2F2F2" w:themeFill="background1" w:themeFillShade="F2"/>
            <w:tcMar>
              <w:top w:w="113" w:type="dxa"/>
              <w:left w:w="113" w:type="dxa"/>
              <w:bottom w:w="113" w:type="dxa"/>
              <w:right w:w="113" w:type="dxa"/>
            </w:tcMar>
            <w:vAlign w:val="center"/>
          </w:tcPr>
          <w:p w14:paraId="526610FE" w14:textId="77777777" w:rsidR="0089323F" w:rsidRDefault="0089323F" w:rsidP="0089323F">
            <w:pPr>
              <w:pStyle w:val="CDIFigure-Table-BodyTextCentre"/>
            </w:pPr>
            <w:r>
              <w:t>4,775 (4.3)</w:t>
            </w:r>
          </w:p>
        </w:tc>
        <w:tc>
          <w:tcPr>
            <w:tcW w:w="1356" w:type="dxa"/>
            <w:shd w:val="clear" w:color="auto" w:fill="F2F2F2" w:themeFill="background1" w:themeFillShade="F2"/>
            <w:tcMar>
              <w:top w:w="113" w:type="dxa"/>
              <w:left w:w="113" w:type="dxa"/>
              <w:bottom w:w="113" w:type="dxa"/>
              <w:right w:w="113" w:type="dxa"/>
            </w:tcMar>
            <w:vAlign w:val="center"/>
          </w:tcPr>
          <w:p w14:paraId="30A6AF40" w14:textId="77777777" w:rsidR="0089323F" w:rsidRDefault="0089323F" w:rsidP="0089323F">
            <w:pPr>
              <w:pStyle w:val="CDIFigure-Table-BodyTextCentre"/>
            </w:pPr>
            <w:r>
              <w:t>3,711 (77.7)</w:t>
            </w:r>
          </w:p>
        </w:tc>
        <w:tc>
          <w:tcPr>
            <w:tcW w:w="1356" w:type="dxa"/>
            <w:shd w:val="clear" w:color="auto" w:fill="F2F2F2" w:themeFill="background1" w:themeFillShade="F2"/>
            <w:tcMar>
              <w:top w:w="113" w:type="dxa"/>
              <w:left w:w="113" w:type="dxa"/>
              <w:bottom w:w="113" w:type="dxa"/>
              <w:right w:w="113" w:type="dxa"/>
            </w:tcMar>
            <w:vAlign w:val="center"/>
          </w:tcPr>
          <w:p w14:paraId="059DEEF7" w14:textId="77777777" w:rsidR="0089323F" w:rsidRDefault="0089323F" w:rsidP="0089323F">
            <w:pPr>
              <w:pStyle w:val="CDIFigure-Table-BodyTextCentre"/>
            </w:pPr>
            <w:r>
              <w:t>727 (15.2)</w:t>
            </w:r>
          </w:p>
        </w:tc>
        <w:tc>
          <w:tcPr>
            <w:tcW w:w="1356" w:type="dxa"/>
            <w:shd w:val="clear" w:color="auto" w:fill="F2F2F2" w:themeFill="background1" w:themeFillShade="F2"/>
            <w:tcMar>
              <w:top w:w="113" w:type="dxa"/>
              <w:left w:w="113" w:type="dxa"/>
              <w:bottom w:w="113" w:type="dxa"/>
              <w:right w:w="113" w:type="dxa"/>
            </w:tcMar>
            <w:vAlign w:val="center"/>
          </w:tcPr>
          <w:p w14:paraId="16E51C80" w14:textId="77777777" w:rsidR="0089323F" w:rsidRDefault="0089323F" w:rsidP="0089323F">
            <w:pPr>
              <w:pStyle w:val="CDIFigure-Table-BodyTextCentre"/>
            </w:pPr>
            <w:r>
              <w:t>333 (7.0)</w:t>
            </w:r>
          </w:p>
        </w:tc>
      </w:tr>
      <w:tr w:rsidR="0089323F" w14:paraId="35CD2A83" w14:textId="77777777" w:rsidTr="0089323F">
        <w:trPr>
          <w:divId w:val="935526654"/>
          <w:trHeight w:val="20"/>
        </w:trPr>
        <w:tc>
          <w:tcPr>
            <w:tcW w:w="4082" w:type="dxa"/>
            <w:tcMar>
              <w:top w:w="113" w:type="dxa"/>
              <w:left w:w="113" w:type="dxa"/>
              <w:bottom w:w="113" w:type="dxa"/>
              <w:right w:w="113" w:type="dxa"/>
            </w:tcMar>
            <w:vAlign w:val="center"/>
          </w:tcPr>
          <w:p w14:paraId="3659EEDF" w14:textId="77777777" w:rsidR="0089323F" w:rsidRDefault="0089323F" w:rsidP="0089323F">
            <w:pPr>
              <w:pStyle w:val="CDIFigure-Table-BodyTextLeft"/>
            </w:pPr>
            <w:r>
              <w:t>Injection site pain</w:t>
            </w:r>
          </w:p>
        </w:tc>
        <w:tc>
          <w:tcPr>
            <w:tcW w:w="1356" w:type="dxa"/>
            <w:tcMar>
              <w:top w:w="113" w:type="dxa"/>
              <w:left w:w="113" w:type="dxa"/>
              <w:bottom w:w="113" w:type="dxa"/>
              <w:right w:w="113" w:type="dxa"/>
            </w:tcMar>
            <w:vAlign w:val="center"/>
          </w:tcPr>
          <w:p w14:paraId="332DA892" w14:textId="77777777" w:rsidR="0089323F" w:rsidRDefault="0089323F" w:rsidP="0089323F">
            <w:pPr>
              <w:pStyle w:val="CDIFigure-Table-BodyTextCentre"/>
            </w:pPr>
            <w:r>
              <w:t>4,700 (4.2)</w:t>
            </w:r>
          </w:p>
        </w:tc>
        <w:tc>
          <w:tcPr>
            <w:tcW w:w="1356" w:type="dxa"/>
            <w:tcMar>
              <w:top w:w="113" w:type="dxa"/>
              <w:left w:w="113" w:type="dxa"/>
              <w:bottom w:w="113" w:type="dxa"/>
              <w:right w:w="113" w:type="dxa"/>
            </w:tcMar>
            <w:vAlign w:val="center"/>
          </w:tcPr>
          <w:p w14:paraId="79A8AE6B" w14:textId="77777777" w:rsidR="0089323F" w:rsidRDefault="0089323F" w:rsidP="0089323F">
            <w:pPr>
              <w:pStyle w:val="CDIFigure-Table-BodyTextCentre"/>
            </w:pPr>
            <w:r>
              <w:t>2,570 (54.7)</w:t>
            </w:r>
          </w:p>
        </w:tc>
        <w:tc>
          <w:tcPr>
            <w:tcW w:w="1356" w:type="dxa"/>
            <w:tcMar>
              <w:top w:w="113" w:type="dxa"/>
              <w:left w:w="113" w:type="dxa"/>
              <w:bottom w:w="113" w:type="dxa"/>
              <w:right w:w="113" w:type="dxa"/>
            </w:tcMar>
            <w:vAlign w:val="center"/>
          </w:tcPr>
          <w:p w14:paraId="573846B7" w14:textId="77777777" w:rsidR="0089323F" w:rsidRDefault="0089323F" w:rsidP="0089323F">
            <w:pPr>
              <w:pStyle w:val="CDIFigure-Table-BodyTextCentre"/>
            </w:pPr>
            <w:r>
              <w:t>1,925 (41.0)</w:t>
            </w:r>
          </w:p>
        </w:tc>
        <w:tc>
          <w:tcPr>
            <w:tcW w:w="1356" w:type="dxa"/>
            <w:tcMar>
              <w:top w:w="113" w:type="dxa"/>
              <w:left w:w="113" w:type="dxa"/>
              <w:bottom w:w="113" w:type="dxa"/>
              <w:right w:w="113" w:type="dxa"/>
            </w:tcMar>
            <w:vAlign w:val="center"/>
          </w:tcPr>
          <w:p w14:paraId="24FDC076" w14:textId="77777777" w:rsidR="0089323F" w:rsidRDefault="0089323F" w:rsidP="0089323F">
            <w:pPr>
              <w:pStyle w:val="CDIFigure-Table-BodyTextCentre"/>
            </w:pPr>
            <w:r>
              <w:t>184 (3.9)</w:t>
            </w:r>
          </w:p>
        </w:tc>
      </w:tr>
      <w:tr w:rsidR="0089323F" w14:paraId="7850B3AC"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1AE4AD8C" w14:textId="77777777" w:rsidR="0089323F" w:rsidRDefault="0089323F" w:rsidP="0089323F">
            <w:pPr>
              <w:pStyle w:val="CDIFigure-Table-BodyTextLeft"/>
            </w:pPr>
            <w:r>
              <w:t>Pain in extremity</w:t>
            </w:r>
          </w:p>
        </w:tc>
        <w:tc>
          <w:tcPr>
            <w:tcW w:w="1356" w:type="dxa"/>
            <w:shd w:val="clear" w:color="auto" w:fill="F2F2F2" w:themeFill="background1" w:themeFillShade="F2"/>
            <w:tcMar>
              <w:top w:w="113" w:type="dxa"/>
              <w:left w:w="113" w:type="dxa"/>
              <w:bottom w:w="113" w:type="dxa"/>
              <w:right w:w="113" w:type="dxa"/>
            </w:tcMar>
            <w:vAlign w:val="center"/>
          </w:tcPr>
          <w:p w14:paraId="51E2920D" w14:textId="77777777" w:rsidR="0089323F" w:rsidRDefault="0089323F" w:rsidP="0089323F">
            <w:pPr>
              <w:pStyle w:val="CDIFigure-Table-BodyTextCentre"/>
            </w:pPr>
            <w:r>
              <w:t>4,373 (3.9)</w:t>
            </w:r>
          </w:p>
        </w:tc>
        <w:tc>
          <w:tcPr>
            <w:tcW w:w="1356" w:type="dxa"/>
            <w:shd w:val="clear" w:color="auto" w:fill="F2F2F2" w:themeFill="background1" w:themeFillShade="F2"/>
            <w:tcMar>
              <w:top w:w="113" w:type="dxa"/>
              <w:left w:w="113" w:type="dxa"/>
              <w:bottom w:w="113" w:type="dxa"/>
              <w:right w:w="113" w:type="dxa"/>
            </w:tcMar>
            <w:vAlign w:val="center"/>
          </w:tcPr>
          <w:p w14:paraId="7C09CD6B" w14:textId="77777777" w:rsidR="0089323F" w:rsidRDefault="0089323F" w:rsidP="0089323F">
            <w:pPr>
              <w:pStyle w:val="CDIFigure-Table-BodyTextCentre"/>
            </w:pPr>
            <w:r>
              <w:t>2,132 (48.8)</w:t>
            </w:r>
          </w:p>
        </w:tc>
        <w:tc>
          <w:tcPr>
            <w:tcW w:w="1356" w:type="dxa"/>
            <w:shd w:val="clear" w:color="auto" w:fill="F2F2F2" w:themeFill="background1" w:themeFillShade="F2"/>
            <w:tcMar>
              <w:top w:w="113" w:type="dxa"/>
              <w:left w:w="113" w:type="dxa"/>
              <w:bottom w:w="113" w:type="dxa"/>
              <w:right w:w="113" w:type="dxa"/>
            </w:tcMar>
            <w:vAlign w:val="center"/>
          </w:tcPr>
          <w:p w14:paraId="1F1A73C4" w14:textId="77777777" w:rsidR="0089323F" w:rsidRDefault="0089323F" w:rsidP="0089323F">
            <w:pPr>
              <w:pStyle w:val="CDIFigure-Table-BodyTextCentre"/>
            </w:pPr>
            <w:r>
              <w:t>1,967 (45.0)</w:t>
            </w:r>
          </w:p>
        </w:tc>
        <w:tc>
          <w:tcPr>
            <w:tcW w:w="1356" w:type="dxa"/>
            <w:shd w:val="clear" w:color="auto" w:fill="F2F2F2" w:themeFill="background1" w:themeFillShade="F2"/>
            <w:tcMar>
              <w:top w:w="113" w:type="dxa"/>
              <w:left w:w="113" w:type="dxa"/>
              <w:bottom w:w="113" w:type="dxa"/>
              <w:right w:w="113" w:type="dxa"/>
            </w:tcMar>
            <w:vAlign w:val="center"/>
          </w:tcPr>
          <w:p w14:paraId="54D7DD46" w14:textId="77777777" w:rsidR="0089323F" w:rsidRDefault="0089323F" w:rsidP="0089323F">
            <w:pPr>
              <w:pStyle w:val="CDIFigure-Table-BodyTextCentre"/>
            </w:pPr>
            <w:r>
              <w:t>260 (5.9)</w:t>
            </w:r>
          </w:p>
        </w:tc>
      </w:tr>
      <w:tr w:rsidR="0089323F" w14:paraId="3A62FE5C" w14:textId="77777777" w:rsidTr="0089323F">
        <w:trPr>
          <w:divId w:val="935526654"/>
          <w:trHeight w:val="20"/>
        </w:trPr>
        <w:tc>
          <w:tcPr>
            <w:tcW w:w="4082" w:type="dxa"/>
            <w:tcMar>
              <w:top w:w="113" w:type="dxa"/>
              <w:left w:w="113" w:type="dxa"/>
              <w:bottom w:w="113" w:type="dxa"/>
              <w:right w:w="113" w:type="dxa"/>
            </w:tcMar>
            <w:vAlign w:val="center"/>
          </w:tcPr>
          <w:p w14:paraId="4B09C73E" w14:textId="77777777" w:rsidR="0089323F" w:rsidRDefault="0089323F" w:rsidP="0089323F">
            <w:pPr>
              <w:pStyle w:val="CDIFigure-Table-BodyTextLeft"/>
            </w:pPr>
            <w:r>
              <w:t>Lymphadenopathy</w:t>
            </w:r>
          </w:p>
        </w:tc>
        <w:tc>
          <w:tcPr>
            <w:tcW w:w="1356" w:type="dxa"/>
            <w:tcMar>
              <w:top w:w="113" w:type="dxa"/>
              <w:left w:w="113" w:type="dxa"/>
              <w:bottom w:w="113" w:type="dxa"/>
              <w:right w:w="113" w:type="dxa"/>
            </w:tcMar>
            <w:vAlign w:val="center"/>
          </w:tcPr>
          <w:p w14:paraId="512D75CE" w14:textId="77777777" w:rsidR="0089323F" w:rsidRDefault="0089323F" w:rsidP="0089323F">
            <w:pPr>
              <w:pStyle w:val="CDIFigure-Table-BodyTextCentre"/>
            </w:pPr>
            <w:r>
              <w:t>4,105 (3.7)</w:t>
            </w:r>
          </w:p>
        </w:tc>
        <w:tc>
          <w:tcPr>
            <w:tcW w:w="1356" w:type="dxa"/>
            <w:tcMar>
              <w:top w:w="113" w:type="dxa"/>
              <w:left w:w="113" w:type="dxa"/>
              <w:bottom w:w="113" w:type="dxa"/>
              <w:right w:w="113" w:type="dxa"/>
            </w:tcMar>
            <w:vAlign w:val="center"/>
          </w:tcPr>
          <w:p w14:paraId="580D4955" w14:textId="77777777" w:rsidR="0089323F" w:rsidRDefault="0089323F" w:rsidP="0089323F">
            <w:pPr>
              <w:pStyle w:val="CDIFigure-Table-BodyTextCentre"/>
            </w:pPr>
            <w:r>
              <w:t>3,202 (78.0)</w:t>
            </w:r>
          </w:p>
        </w:tc>
        <w:tc>
          <w:tcPr>
            <w:tcW w:w="1356" w:type="dxa"/>
            <w:tcMar>
              <w:top w:w="113" w:type="dxa"/>
              <w:left w:w="113" w:type="dxa"/>
              <w:bottom w:w="113" w:type="dxa"/>
              <w:right w:w="113" w:type="dxa"/>
            </w:tcMar>
            <w:vAlign w:val="center"/>
          </w:tcPr>
          <w:p w14:paraId="10C3387E" w14:textId="77777777" w:rsidR="0089323F" w:rsidRDefault="0089323F" w:rsidP="0089323F">
            <w:pPr>
              <w:pStyle w:val="CDIFigure-Table-BodyTextCentre"/>
            </w:pPr>
            <w:r>
              <w:t>651 (15.9)</w:t>
            </w:r>
          </w:p>
        </w:tc>
        <w:tc>
          <w:tcPr>
            <w:tcW w:w="1356" w:type="dxa"/>
            <w:tcMar>
              <w:top w:w="113" w:type="dxa"/>
              <w:left w:w="113" w:type="dxa"/>
              <w:bottom w:w="113" w:type="dxa"/>
              <w:right w:w="113" w:type="dxa"/>
            </w:tcMar>
            <w:vAlign w:val="center"/>
          </w:tcPr>
          <w:p w14:paraId="2C5B01DB" w14:textId="77777777" w:rsidR="0089323F" w:rsidRDefault="0089323F" w:rsidP="0089323F">
            <w:pPr>
              <w:pStyle w:val="CDIFigure-Table-BodyTextCentre"/>
            </w:pPr>
            <w:r>
              <w:t>246 (6.0)</w:t>
            </w:r>
          </w:p>
        </w:tc>
      </w:tr>
      <w:tr w:rsidR="0089323F" w14:paraId="4CE42204"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02C4D40F" w14:textId="77777777" w:rsidR="0089323F" w:rsidRDefault="0089323F" w:rsidP="0089323F">
            <w:pPr>
              <w:pStyle w:val="CDIFigure-Table-BodyTextLeft"/>
            </w:pPr>
            <w:r>
              <w:t>Noninfectious myocarditis/pericarditis</w:t>
            </w:r>
          </w:p>
        </w:tc>
        <w:tc>
          <w:tcPr>
            <w:tcW w:w="1356" w:type="dxa"/>
            <w:shd w:val="clear" w:color="auto" w:fill="F2F2F2" w:themeFill="background1" w:themeFillShade="F2"/>
            <w:tcMar>
              <w:top w:w="113" w:type="dxa"/>
              <w:left w:w="113" w:type="dxa"/>
              <w:bottom w:w="113" w:type="dxa"/>
              <w:right w:w="113" w:type="dxa"/>
            </w:tcMar>
            <w:vAlign w:val="center"/>
          </w:tcPr>
          <w:p w14:paraId="5408059C" w14:textId="77777777" w:rsidR="0089323F" w:rsidRDefault="0089323F" w:rsidP="0089323F">
            <w:pPr>
              <w:pStyle w:val="CDIFigure-Table-BodyTextCentre"/>
            </w:pPr>
            <w:r>
              <w:t>4,041 (3.6)</w:t>
            </w:r>
          </w:p>
        </w:tc>
        <w:tc>
          <w:tcPr>
            <w:tcW w:w="1356" w:type="dxa"/>
            <w:shd w:val="clear" w:color="auto" w:fill="F2F2F2" w:themeFill="background1" w:themeFillShade="F2"/>
            <w:tcMar>
              <w:top w:w="113" w:type="dxa"/>
              <w:left w:w="113" w:type="dxa"/>
              <w:bottom w:w="113" w:type="dxa"/>
              <w:right w:w="113" w:type="dxa"/>
            </w:tcMar>
            <w:vAlign w:val="center"/>
          </w:tcPr>
          <w:p w14:paraId="52CC1A6C" w14:textId="77777777" w:rsidR="0089323F" w:rsidRDefault="0089323F" w:rsidP="0089323F">
            <w:pPr>
              <w:pStyle w:val="CDIFigure-Table-BodyTextCentre"/>
            </w:pPr>
            <w:r>
              <w:t>3,467 (85.8)</w:t>
            </w:r>
          </w:p>
        </w:tc>
        <w:tc>
          <w:tcPr>
            <w:tcW w:w="1356" w:type="dxa"/>
            <w:shd w:val="clear" w:color="auto" w:fill="F2F2F2" w:themeFill="background1" w:themeFillShade="F2"/>
            <w:tcMar>
              <w:top w:w="113" w:type="dxa"/>
              <w:left w:w="113" w:type="dxa"/>
              <w:bottom w:w="113" w:type="dxa"/>
              <w:right w:w="113" w:type="dxa"/>
            </w:tcMar>
            <w:vAlign w:val="center"/>
          </w:tcPr>
          <w:p w14:paraId="7B1E8F87" w14:textId="77777777" w:rsidR="0089323F" w:rsidRDefault="0089323F" w:rsidP="0089323F">
            <w:pPr>
              <w:pStyle w:val="CDIFigure-Table-BodyTextCentre"/>
            </w:pPr>
            <w:r>
              <w:t>260 (6.4)</w:t>
            </w:r>
          </w:p>
        </w:tc>
        <w:tc>
          <w:tcPr>
            <w:tcW w:w="1356" w:type="dxa"/>
            <w:shd w:val="clear" w:color="auto" w:fill="F2F2F2" w:themeFill="background1" w:themeFillShade="F2"/>
            <w:tcMar>
              <w:top w:w="113" w:type="dxa"/>
              <w:left w:w="113" w:type="dxa"/>
              <w:bottom w:w="113" w:type="dxa"/>
              <w:right w:w="113" w:type="dxa"/>
            </w:tcMar>
            <w:vAlign w:val="center"/>
          </w:tcPr>
          <w:p w14:paraId="5E751644" w14:textId="77777777" w:rsidR="0089323F" w:rsidRDefault="0089323F" w:rsidP="0089323F">
            <w:pPr>
              <w:pStyle w:val="CDIFigure-Table-BodyTextCentre"/>
            </w:pPr>
            <w:r>
              <w:t>326 (8.1)</w:t>
            </w:r>
          </w:p>
        </w:tc>
      </w:tr>
      <w:tr w:rsidR="0089323F" w14:paraId="20D1E235" w14:textId="77777777" w:rsidTr="0089323F">
        <w:trPr>
          <w:divId w:val="935526654"/>
          <w:trHeight w:val="20"/>
        </w:trPr>
        <w:tc>
          <w:tcPr>
            <w:tcW w:w="4082" w:type="dxa"/>
            <w:tcMar>
              <w:top w:w="113" w:type="dxa"/>
              <w:left w:w="113" w:type="dxa"/>
              <w:bottom w:w="113" w:type="dxa"/>
              <w:right w:w="113" w:type="dxa"/>
            </w:tcMar>
            <w:vAlign w:val="center"/>
          </w:tcPr>
          <w:p w14:paraId="66F9E232" w14:textId="77777777" w:rsidR="0089323F" w:rsidRDefault="0089323F" w:rsidP="0089323F">
            <w:pPr>
              <w:pStyle w:val="CDIFigure-Table-BodyTextLeft"/>
            </w:pPr>
            <w:r>
              <w:t>Chest discomfort</w:t>
            </w:r>
          </w:p>
        </w:tc>
        <w:tc>
          <w:tcPr>
            <w:tcW w:w="1356" w:type="dxa"/>
            <w:tcMar>
              <w:top w:w="113" w:type="dxa"/>
              <w:left w:w="113" w:type="dxa"/>
              <w:bottom w:w="113" w:type="dxa"/>
              <w:right w:w="113" w:type="dxa"/>
            </w:tcMar>
            <w:vAlign w:val="center"/>
          </w:tcPr>
          <w:p w14:paraId="1B6783D7" w14:textId="77777777" w:rsidR="0089323F" w:rsidRDefault="0089323F" w:rsidP="0089323F">
            <w:pPr>
              <w:pStyle w:val="CDIFigure-Table-BodyTextCentre"/>
            </w:pPr>
            <w:r>
              <w:t>3,749 (3.4)</w:t>
            </w:r>
          </w:p>
        </w:tc>
        <w:tc>
          <w:tcPr>
            <w:tcW w:w="1356" w:type="dxa"/>
            <w:tcMar>
              <w:top w:w="113" w:type="dxa"/>
              <w:left w:w="113" w:type="dxa"/>
              <w:bottom w:w="113" w:type="dxa"/>
              <w:right w:w="113" w:type="dxa"/>
            </w:tcMar>
            <w:vAlign w:val="center"/>
          </w:tcPr>
          <w:p w14:paraId="6D398341" w14:textId="77777777" w:rsidR="0089323F" w:rsidRDefault="0089323F" w:rsidP="0089323F">
            <w:pPr>
              <w:pStyle w:val="CDIFigure-Table-BodyTextCentre"/>
            </w:pPr>
            <w:r>
              <w:t>2,745 (73.2)</w:t>
            </w:r>
          </w:p>
        </w:tc>
        <w:tc>
          <w:tcPr>
            <w:tcW w:w="1356" w:type="dxa"/>
            <w:tcMar>
              <w:top w:w="113" w:type="dxa"/>
              <w:left w:w="113" w:type="dxa"/>
              <w:bottom w:w="113" w:type="dxa"/>
              <w:right w:w="113" w:type="dxa"/>
            </w:tcMar>
            <w:vAlign w:val="center"/>
          </w:tcPr>
          <w:p w14:paraId="526D3EA3" w14:textId="77777777" w:rsidR="0089323F" w:rsidRDefault="0089323F" w:rsidP="0089323F">
            <w:pPr>
              <w:pStyle w:val="CDIFigure-Table-BodyTextCentre"/>
            </w:pPr>
            <w:r>
              <w:t>689 (18.4)</w:t>
            </w:r>
          </w:p>
        </w:tc>
        <w:tc>
          <w:tcPr>
            <w:tcW w:w="1356" w:type="dxa"/>
            <w:tcMar>
              <w:top w:w="113" w:type="dxa"/>
              <w:left w:w="113" w:type="dxa"/>
              <w:bottom w:w="113" w:type="dxa"/>
              <w:right w:w="113" w:type="dxa"/>
            </w:tcMar>
            <w:vAlign w:val="center"/>
          </w:tcPr>
          <w:p w14:paraId="4408CDF4" w14:textId="77777777" w:rsidR="0089323F" w:rsidRDefault="0089323F" w:rsidP="0089323F">
            <w:pPr>
              <w:pStyle w:val="CDIFigure-Table-BodyTextCentre"/>
            </w:pPr>
            <w:r>
              <w:t>310 (8.3)</w:t>
            </w:r>
          </w:p>
        </w:tc>
      </w:tr>
      <w:tr w:rsidR="0089323F" w14:paraId="6FB22C5F"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2EDFD98E" w14:textId="77777777" w:rsidR="0089323F" w:rsidRDefault="0089323F" w:rsidP="0089323F">
            <w:pPr>
              <w:pStyle w:val="CDIFigure-Table-BodyTextLeft"/>
            </w:pPr>
            <w:r>
              <w:t>Influenza like illness</w:t>
            </w:r>
          </w:p>
        </w:tc>
        <w:tc>
          <w:tcPr>
            <w:tcW w:w="1356" w:type="dxa"/>
            <w:shd w:val="clear" w:color="auto" w:fill="F2F2F2" w:themeFill="background1" w:themeFillShade="F2"/>
            <w:tcMar>
              <w:top w:w="113" w:type="dxa"/>
              <w:left w:w="113" w:type="dxa"/>
              <w:bottom w:w="113" w:type="dxa"/>
              <w:right w:w="113" w:type="dxa"/>
            </w:tcMar>
            <w:vAlign w:val="center"/>
          </w:tcPr>
          <w:p w14:paraId="5CA9EF4E" w14:textId="77777777" w:rsidR="0089323F" w:rsidRDefault="0089323F" w:rsidP="0089323F">
            <w:pPr>
              <w:pStyle w:val="CDIFigure-Table-BodyTextCentre"/>
            </w:pPr>
            <w:r>
              <w:t>3,680 (3.3)</w:t>
            </w:r>
          </w:p>
        </w:tc>
        <w:tc>
          <w:tcPr>
            <w:tcW w:w="1356" w:type="dxa"/>
            <w:shd w:val="clear" w:color="auto" w:fill="F2F2F2" w:themeFill="background1" w:themeFillShade="F2"/>
            <w:tcMar>
              <w:top w:w="113" w:type="dxa"/>
              <w:left w:w="113" w:type="dxa"/>
              <w:bottom w:w="113" w:type="dxa"/>
              <w:right w:w="113" w:type="dxa"/>
            </w:tcMar>
            <w:vAlign w:val="center"/>
          </w:tcPr>
          <w:p w14:paraId="7E4E718D" w14:textId="77777777" w:rsidR="0089323F" w:rsidRDefault="0089323F" w:rsidP="0089323F">
            <w:pPr>
              <w:pStyle w:val="CDIFigure-Table-BodyTextCentre"/>
            </w:pPr>
            <w:r>
              <w:t>1,760 (47.8)</w:t>
            </w:r>
          </w:p>
        </w:tc>
        <w:tc>
          <w:tcPr>
            <w:tcW w:w="1356" w:type="dxa"/>
            <w:shd w:val="clear" w:color="auto" w:fill="F2F2F2" w:themeFill="background1" w:themeFillShade="F2"/>
            <w:tcMar>
              <w:top w:w="113" w:type="dxa"/>
              <w:left w:w="113" w:type="dxa"/>
              <w:bottom w:w="113" w:type="dxa"/>
              <w:right w:w="113" w:type="dxa"/>
            </w:tcMar>
            <w:vAlign w:val="center"/>
          </w:tcPr>
          <w:p w14:paraId="226735D8" w14:textId="77777777" w:rsidR="0089323F" w:rsidRDefault="0089323F" w:rsidP="0089323F">
            <w:pPr>
              <w:pStyle w:val="CDIFigure-Table-BodyTextCentre"/>
            </w:pPr>
            <w:r>
              <w:t>1,808 (49.1)</w:t>
            </w:r>
          </w:p>
        </w:tc>
        <w:tc>
          <w:tcPr>
            <w:tcW w:w="1356" w:type="dxa"/>
            <w:shd w:val="clear" w:color="auto" w:fill="F2F2F2" w:themeFill="background1" w:themeFillShade="F2"/>
            <w:tcMar>
              <w:top w:w="113" w:type="dxa"/>
              <w:left w:w="113" w:type="dxa"/>
              <w:bottom w:w="113" w:type="dxa"/>
              <w:right w:w="113" w:type="dxa"/>
            </w:tcMar>
            <w:vAlign w:val="center"/>
          </w:tcPr>
          <w:p w14:paraId="6C89709D" w14:textId="77777777" w:rsidR="0089323F" w:rsidRDefault="0089323F" w:rsidP="0089323F">
            <w:pPr>
              <w:pStyle w:val="CDIFigure-Table-BodyTextCentre"/>
            </w:pPr>
            <w:r>
              <w:t>109 (3.0)</w:t>
            </w:r>
          </w:p>
        </w:tc>
      </w:tr>
      <w:tr w:rsidR="0089323F" w14:paraId="107983FE" w14:textId="77777777" w:rsidTr="0089323F">
        <w:trPr>
          <w:divId w:val="935526654"/>
          <w:trHeight w:val="20"/>
        </w:trPr>
        <w:tc>
          <w:tcPr>
            <w:tcW w:w="4082" w:type="dxa"/>
            <w:tcMar>
              <w:top w:w="113" w:type="dxa"/>
              <w:left w:w="113" w:type="dxa"/>
              <w:bottom w:w="113" w:type="dxa"/>
              <w:right w:w="113" w:type="dxa"/>
            </w:tcMar>
            <w:vAlign w:val="center"/>
          </w:tcPr>
          <w:p w14:paraId="215D23BC" w14:textId="77777777" w:rsidR="0089323F" w:rsidRDefault="0089323F" w:rsidP="0089323F">
            <w:pPr>
              <w:pStyle w:val="CDIFigure-Table-BodyTextLeft"/>
            </w:pPr>
            <w:r>
              <w:t>Malaise</w:t>
            </w:r>
          </w:p>
        </w:tc>
        <w:tc>
          <w:tcPr>
            <w:tcW w:w="1356" w:type="dxa"/>
            <w:tcMar>
              <w:top w:w="113" w:type="dxa"/>
              <w:left w:w="113" w:type="dxa"/>
              <w:bottom w:w="113" w:type="dxa"/>
              <w:right w:w="113" w:type="dxa"/>
            </w:tcMar>
            <w:vAlign w:val="center"/>
          </w:tcPr>
          <w:p w14:paraId="0D30BA71" w14:textId="77777777" w:rsidR="0089323F" w:rsidRDefault="0089323F" w:rsidP="0089323F">
            <w:pPr>
              <w:pStyle w:val="CDIFigure-Table-BodyTextCentre"/>
            </w:pPr>
            <w:r>
              <w:t>3,611 (3.2)</w:t>
            </w:r>
          </w:p>
        </w:tc>
        <w:tc>
          <w:tcPr>
            <w:tcW w:w="1356" w:type="dxa"/>
            <w:tcMar>
              <w:top w:w="113" w:type="dxa"/>
              <w:left w:w="113" w:type="dxa"/>
              <w:bottom w:w="113" w:type="dxa"/>
              <w:right w:w="113" w:type="dxa"/>
            </w:tcMar>
            <w:vAlign w:val="center"/>
          </w:tcPr>
          <w:p w14:paraId="216D3E0B" w14:textId="77777777" w:rsidR="0089323F" w:rsidRDefault="0089323F" w:rsidP="0089323F">
            <w:pPr>
              <w:pStyle w:val="CDIFigure-Table-BodyTextCentre"/>
            </w:pPr>
            <w:r>
              <w:t>1,497 (41.5)</w:t>
            </w:r>
          </w:p>
        </w:tc>
        <w:tc>
          <w:tcPr>
            <w:tcW w:w="1356" w:type="dxa"/>
            <w:tcMar>
              <w:top w:w="113" w:type="dxa"/>
              <w:left w:w="113" w:type="dxa"/>
              <w:bottom w:w="113" w:type="dxa"/>
              <w:right w:w="113" w:type="dxa"/>
            </w:tcMar>
            <w:vAlign w:val="center"/>
          </w:tcPr>
          <w:p w14:paraId="76F2004A" w14:textId="77777777" w:rsidR="0089323F" w:rsidRDefault="0089323F" w:rsidP="0089323F">
            <w:pPr>
              <w:pStyle w:val="CDIFigure-Table-BodyTextCentre"/>
            </w:pPr>
            <w:r>
              <w:t>1,929 (53.4)</w:t>
            </w:r>
          </w:p>
        </w:tc>
        <w:tc>
          <w:tcPr>
            <w:tcW w:w="1356" w:type="dxa"/>
            <w:tcMar>
              <w:top w:w="113" w:type="dxa"/>
              <w:left w:w="113" w:type="dxa"/>
              <w:bottom w:w="113" w:type="dxa"/>
              <w:right w:w="113" w:type="dxa"/>
            </w:tcMar>
            <w:vAlign w:val="center"/>
          </w:tcPr>
          <w:p w14:paraId="3D01FDFC" w14:textId="77777777" w:rsidR="0089323F" w:rsidRDefault="0089323F" w:rsidP="0089323F">
            <w:pPr>
              <w:pStyle w:val="CDIFigure-Table-BodyTextCentre"/>
            </w:pPr>
            <w:r>
              <w:t>163 (4.5)</w:t>
            </w:r>
          </w:p>
        </w:tc>
      </w:tr>
      <w:tr w:rsidR="0089323F" w14:paraId="57B892F8"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20C959C7" w14:textId="77777777" w:rsidR="0089323F" w:rsidRDefault="0089323F" w:rsidP="0089323F">
            <w:pPr>
              <w:pStyle w:val="CDIFigure-Table-BodyTextLeft"/>
            </w:pPr>
            <w:r>
              <w:t>Haemodynamic oedema, effusions and fluid overload</w:t>
            </w:r>
          </w:p>
        </w:tc>
        <w:tc>
          <w:tcPr>
            <w:tcW w:w="1356" w:type="dxa"/>
            <w:shd w:val="clear" w:color="auto" w:fill="F2F2F2" w:themeFill="background1" w:themeFillShade="F2"/>
            <w:tcMar>
              <w:top w:w="113" w:type="dxa"/>
              <w:left w:w="113" w:type="dxa"/>
              <w:bottom w:w="113" w:type="dxa"/>
              <w:right w:w="113" w:type="dxa"/>
            </w:tcMar>
            <w:vAlign w:val="center"/>
          </w:tcPr>
          <w:p w14:paraId="6785EB1A" w14:textId="77777777" w:rsidR="0089323F" w:rsidRDefault="0089323F" w:rsidP="0089323F">
            <w:pPr>
              <w:pStyle w:val="CDIFigure-Table-BodyTextCentre"/>
            </w:pPr>
            <w:r>
              <w:t>3,380 (3.0)</w:t>
            </w:r>
          </w:p>
        </w:tc>
        <w:tc>
          <w:tcPr>
            <w:tcW w:w="1356" w:type="dxa"/>
            <w:shd w:val="clear" w:color="auto" w:fill="F2F2F2" w:themeFill="background1" w:themeFillShade="F2"/>
            <w:tcMar>
              <w:top w:w="113" w:type="dxa"/>
              <w:left w:w="113" w:type="dxa"/>
              <w:bottom w:w="113" w:type="dxa"/>
              <w:right w:w="113" w:type="dxa"/>
            </w:tcMar>
            <w:vAlign w:val="center"/>
          </w:tcPr>
          <w:p w14:paraId="17992D0C" w14:textId="77777777" w:rsidR="0089323F" w:rsidRDefault="0089323F" w:rsidP="0089323F">
            <w:pPr>
              <w:pStyle w:val="CDIFigure-Table-BodyTextCentre"/>
            </w:pPr>
            <w:r>
              <w:t>1,771 (52.4)</w:t>
            </w:r>
          </w:p>
        </w:tc>
        <w:tc>
          <w:tcPr>
            <w:tcW w:w="1356" w:type="dxa"/>
            <w:shd w:val="clear" w:color="auto" w:fill="F2F2F2" w:themeFill="background1" w:themeFillShade="F2"/>
            <w:tcMar>
              <w:top w:w="113" w:type="dxa"/>
              <w:left w:w="113" w:type="dxa"/>
              <w:bottom w:w="113" w:type="dxa"/>
              <w:right w:w="113" w:type="dxa"/>
            </w:tcMar>
            <w:vAlign w:val="center"/>
          </w:tcPr>
          <w:p w14:paraId="6A61EEB6" w14:textId="77777777" w:rsidR="0089323F" w:rsidRDefault="0089323F" w:rsidP="0089323F">
            <w:pPr>
              <w:pStyle w:val="CDIFigure-Table-BodyTextCentre"/>
            </w:pPr>
            <w:r>
              <w:t>1,424 (42.1)</w:t>
            </w:r>
          </w:p>
        </w:tc>
        <w:tc>
          <w:tcPr>
            <w:tcW w:w="1356" w:type="dxa"/>
            <w:shd w:val="clear" w:color="auto" w:fill="F2F2F2" w:themeFill="background1" w:themeFillShade="F2"/>
            <w:tcMar>
              <w:top w:w="113" w:type="dxa"/>
              <w:left w:w="113" w:type="dxa"/>
              <w:bottom w:w="113" w:type="dxa"/>
              <w:right w:w="113" w:type="dxa"/>
            </w:tcMar>
            <w:vAlign w:val="center"/>
          </w:tcPr>
          <w:p w14:paraId="4A0FB5A7" w14:textId="77777777" w:rsidR="0089323F" w:rsidRDefault="0089323F" w:rsidP="0089323F">
            <w:pPr>
              <w:pStyle w:val="CDIFigure-Table-BodyTextCentre"/>
            </w:pPr>
            <w:r>
              <w:t>181 (5.4)</w:t>
            </w:r>
          </w:p>
        </w:tc>
      </w:tr>
      <w:tr w:rsidR="0089323F" w14:paraId="5771AF42" w14:textId="77777777" w:rsidTr="0089323F">
        <w:trPr>
          <w:divId w:val="935526654"/>
          <w:trHeight w:val="20"/>
        </w:trPr>
        <w:tc>
          <w:tcPr>
            <w:tcW w:w="4082" w:type="dxa"/>
            <w:tcMar>
              <w:top w:w="113" w:type="dxa"/>
              <w:left w:w="113" w:type="dxa"/>
              <w:bottom w:w="113" w:type="dxa"/>
              <w:right w:w="113" w:type="dxa"/>
            </w:tcMar>
            <w:vAlign w:val="center"/>
          </w:tcPr>
          <w:p w14:paraId="5EEB22FC" w14:textId="77777777" w:rsidR="0089323F" w:rsidRDefault="0089323F" w:rsidP="0089323F">
            <w:pPr>
              <w:pStyle w:val="CDIFigure-Table-BodyTextLeft"/>
            </w:pPr>
            <w:r>
              <w:t>Syncope</w:t>
            </w:r>
          </w:p>
        </w:tc>
        <w:tc>
          <w:tcPr>
            <w:tcW w:w="1356" w:type="dxa"/>
            <w:tcMar>
              <w:top w:w="113" w:type="dxa"/>
              <w:left w:w="113" w:type="dxa"/>
              <w:bottom w:w="113" w:type="dxa"/>
              <w:right w:w="113" w:type="dxa"/>
            </w:tcMar>
            <w:vAlign w:val="center"/>
          </w:tcPr>
          <w:p w14:paraId="7DAA1727" w14:textId="77777777" w:rsidR="0089323F" w:rsidRDefault="0089323F" w:rsidP="0089323F">
            <w:pPr>
              <w:pStyle w:val="CDIFigure-Table-BodyTextCentre"/>
            </w:pPr>
            <w:r>
              <w:t>3,199 (2.9)</w:t>
            </w:r>
          </w:p>
        </w:tc>
        <w:tc>
          <w:tcPr>
            <w:tcW w:w="1356" w:type="dxa"/>
            <w:tcMar>
              <w:top w:w="113" w:type="dxa"/>
              <w:left w:w="113" w:type="dxa"/>
              <w:bottom w:w="113" w:type="dxa"/>
              <w:right w:w="113" w:type="dxa"/>
            </w:tcMar>
            <w:vAlign w:val="center"/>
          </w:tcPr>
          <w:p w14:paraId="01472BCF" w14:textId="77777777" w:rsidR="0089323F" w:rsidRDefault="0089323F" w:rsidP="0089323F">
            <w:pPr>
              <w:pStyle w:val="CDIFigure-Table-BodyTextCentre"/>
            </w:pPr>
            <w:r>
              <w:t>2,246 (70.2)</w:t>
            </w:r>
          </w:p>
        </w:tc>
        <w:tc>
          <w:tcPr>
            <w:tcW w:w="1356" w:type="dxa"/>
            <w:tcMar>
              <w:top w:w="113" w:type="dxa"/>
              <w:left w:w="113" w:type="dxa"/>
              <w:bottom w:w="113" w:type="dxa"/>
              <w:right w:w="113" w:type="dxa"/>
            </w:tcMar>
            <w:vAlign w:val="center"/>
          </w:tcPr>
          <w:p w14:paraId="22684266" w14:textId="77777777" w:rsidR="0089323F" w:rsidRDefault="0089323F" w:rsidP="0089323F">
            <w:pPr>
              <w:pStyle w:val="CDIFigure-Table-BodyTextCentre"/>
            </w:pPr>
            <w:r>
              <w:t>795 (24.9)</w:t>
            </w:r>
          </w:p>
        </w:tc>
        <w:tc>
          <w:tcPr>
            <w:tcW w:w="1356" w:type="dxa"/>
            <w:tcMar>
              <w:top w:w="113" w:type="dxa"/>
              <w:left w:w="113" w:type="dxa"/>
              <w:bottom w:w="113" w:type="dxa"/>
              <w:right w:w="113" w:type="dxa"/>
            </w:tcMar>
            <w:vAlign w:val="center"/>
          </w:tcPr>
          <w:p w14:paraId="14C7FE41" w14:textId="77777777" w:rsidR="0089323F" w:rsidRDefault="0089323F" w:rsidP="0089323F">
            <w:pPr>
              <w:pStyle w:val="CDIFigure-Table-BodyTextCentre"/>
            </w:pPr>
            <w:r>
              <w:t>153 (4.8)</w:t>
            </w:r>
          </w:p>
        </w:tc>
      </w:tr>
      <w:tr w:rsidR="0089323F" w14:paraId="3AA127B5"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3F5D5C8B" w14:textId="77777777" w:rsidR="0089323F" w:rsidRDefault="0089323F" w:rsidP="0089323F">
            <w:pPr>
              <w:pStyle w:val="CDIFigure-Table-BodyTextLeft"/>
            </w:pPr>
            <w:r>
              <w:t>Embolic and thrombotic events, venous</w:t>
            </w:r>
          </w:p>
        </w:tc>
        <w:tc>
          <w:tcPr>
            <w:tcW w:w="1356" w:type="dxa"/>
            <w:shd w:val="clear" w:color="auto" w:fill="F2F2F2" w:themeFill="background1" w:themeFillShade="F2"/>
            <w:tcMar>
              <w:top w:w="113" w:type="dxa"/>
              <w:left w:w="113" w:type="dxa"/>
              <w:bottom w:w="113" w:type="dxa"/>
              <w:right w:w="113" w:type="dxa"/>
            </w:tcMar>
            <w:vAlign w:val="center"/>
          </w:tcPr>
          <w:p w14:paraId="7BB40F51" w14:textId="77777777" w:rsidR="0089323F" w:rsidRDefault="0089323F" w:rsidP="0089323F">
            <w:pPr>
              <w:pStyle w:val="CDIFigure-Table-BodyTextCentre"/>
            </w:pPr>
            <w:r>
              <w:t>2,850 (2.6)</w:t>
            </w:r>
          </w:p>
        </w:tc>
        <w:tc>
          <w:tcPr>
            <w:tcW w:w="1356" w:type="dxa"/>
            <w:shd w:val="clear" w:color="auto" w:fill="F2F2F2" w:themeFill="background1" w:themeFillShade="F2"/>
            <w:tcMar>
              <w:top w:w="113" w:type="dxa"/>
              <w:left w:w="113" w:type="dxa"/>
              <w:bottom w:w="113" w:type="dxa"/>
              <w:right w:w="113" w:type="dxa"/>
            </w:tcMar>
            <w:vAlign w:val="center"/>
          </w:tcPr>
          <w:p w14:paraId="45BC99ED" w14:textId="77777777" w:rsidR="0089323F" w:rsidRDefault="0089323F" w:rsidP="0089323F">
            <w:pPr>
              <w:pStyle w:val="CDIFigure-Table-BodyTextCentre"/>
            </w:pPr>
            <w:r>
              <w:t>591 (20.7)</w:t>
            </w:r>
          </w:p>
        </w:tc>
        <w:tc>
          <w:tcPr>
            <w:tcW w:w="1356" w:type="dxa"/>
            <w:shd w:val="clear" w:color="auto" w:fill="F2F2F2" w:themeFill="background1" w:themeFillShade="F2"/>
            <w:tcMar>
              <w:top w:w="113" w:type="dxa"/>
              <w:left w:w="113" w:type="dxa"/>
              <w:bottom w:w="113" w:type="dxa"/>
              <w:right w:w="113" w:type="dxa"/>
            </w:tcMar>
            <w:vAlign w:val="center"/>
          </w:tcPr>
          <w:p w14:paraId="6F69EA8B" w14:textId="77777777" w:rsidR="0089323F" w:rsidRDefault="0089323F" w:rsidP="0089323F">
            <w:pPr>
              <w:pStyle w:val="CDIFigure-Table-BodyTextCentre"/>
            </w:pPr>
            <w:r>
              <w:t>2,235 (78.4)</w:t>
            </w:r>
          </w:p>
        </w:tc>
        <w:tc>
          <w:tcPr>
            <w:tcW w:w="1356" w:type="dxa"/>
            <w:shd w:val="clear" w:color="auto" w:fill="F2F2F2" w:themeFill="background1" w:themeFillShade="F2"/>
            <w:tcMar>
              <w:top w:w="113" w:type="dxa"/>
              <w:left w:w="113" w:type="dxa"/>
              <w:bottom w:w="113" w:type="dxa"/>
              <w:right w:w="113" w:type="dxa"/>
            </w:tcMar>
            <w:vAlign w:val="center"/>
          </w:tcPr>
          <w:p w14:paraId="4D57C158" w14:textId="77777777" w:rsidR="0089323F" w:rsidRDefault="0089323F" w:rsidP="0089323F">
            <w:pPr>
              <w:pStyle w:val="CDIFigure-Table-BodyTextCentre"/>
            </w:pPr>
            <w:r>
              <w:t>28 (1.0)</w:t>
            </w:r>
          </w:p>
        </w:tc>
      </w:tr>
      <w:tr w:rsidR="0089323F" w14:paraId="3B0E7C9D" w14:textId="77777777" w:rsidTr="0089323F">
        <w:trPr>
          <w:divId w:val="935526654"/>
          <w:trHeight w:val="20"/>
        </w:trPr>
        <w:tc>
          <w:tcPr>
            <w:tcW w:w="4082" w:type="dxa"/>
            <w:tcMar>
              <w:top w:w="113" w:type="dxa"/>
              <w:left w:w="113" w:type="dxa"/>
              <w:bottom w:w="113" w:type="dxa"/>
              <w:right w:w="113" w:type="dxa"/>
            </w:tcMar>
            <w:vAlign w:val="center"/>
          </w:tcPr>
          <w:p w14:paraId="537D2351" w14:textId="77777777" w:rsidR="0089323F" w:rsidRDefault="0089323F" w:rsidP="0089323F">
            <w:pPr>
              <w:pStyle w:val="CDIFigure-Table-BodyTextLeft"/>
            </w:pPr>
            <w:r>
              <w:t>Presyncope</w:t>
            </w:r>
          </w:p>
        </w:tc>
        <w:tc>
          <w:tcPr>
            <w:tcW w:w="1356" w:type="dxa"/>
            <w:tcMar>
              <w:top w:w="113" w:type="dxa"/>
              <w:left w:w="113" w:type="dxa"/>
              <w:bottom w:w="113" w:type="dxa"/>
              <w:right w:w="113" w:type="dxa"/>
            </w:tcMar>
            <w:vAlign w:val="center"/>
          </w:tcPr>
          <w:p w14:paraId="02C0CF18" w14:textId="77777777" w:rsidR="0089323F" w:rsidRDefault="0089323F" w:rsidP="0089323F">
            <w:pPr>
              <w:pStyle w:val="CDIFigure-Table-BodyTextCentre"/>
            </w:pPr>
            <w:r>
              <w:t>2,751 (2.5)</w:t>
            </w:r>
          </w:p>
        </w:tc>
        <w:tc>
          <w:tcPr>
            <w:tcW w:w="1356" w:type="dxa"/>
            <w:tcMar>
              <w:top w:w="113" w:type="dxa"/>
              <w:left w:w="113" w:type="dxa"/>
              <w:bottom w:w="113" w:type="dxa"/>
              <w:right w:w="113" w:type="dxa"/>
            </w:tcMar>
            <w:vAlign w:val="center"/>
          </w:tcPr>
          <w:p w14:paraId="39D57814" w14:textId="77777777" w:rsidR="0089323F" w:rsidRDefault="0089323F" w:rsidP="0089323F">
            <w:pPr>
              <w:pStyle w:val="CDIFigure-Table-BodyTextCentre"/>
            </w:pPr>
            <w:r>
              <w:t>2,162 (78.6)</w:t>
            </w:r>
          </w:p>
        </w:tc>
        <w:tc>
          <w:tcPr>
            <w:tcW w:w="1356" w:type="dxa"/>
            <w:tcMar>
              <w:top w:w="113" w:type="dxa"/>
              <w:left w:w="113" w:type="dxa"/>
              <w:bottom w:w="113" w:type="dxa"/>
              <w:right w:w="113" w:type="dxa"/>
            </w:tcMar>
            <w:vAlign w:val="center"/>
          </w:tcPr>
          <w:p w14:paraId="4D6C5F20" w14:textId="77777777" w:rsidR="0089323F" w:rsidRDefault="0089323F" w:rsidP="0089323F">
            <w:pPr>
              <w:pStyle w:val="CDIFigure-Table-BodyTextCentre"/>
            </w:pPr>
            <w:r>
              <w:t>522 (19.0)</w:t>
            </w:r>
          </w:p>
        </w:tc>
        <w:tc>
          <w:tcPr>
            <w:tcW w:w="1356" w:type="dxa"/>
            <w:tcMar>
              <w:top w:w="113" w:type="dxa"/>
              <w:left w:w="113" w:type="dxa"/>
              <w:bottom w:w="113" w:type="dxa"/>
              <w:right w:w="113" w:type="dxa"/>
            </w:tcMar>
            <w:vAlign w:val="center"/>
          </w:tcPr>
          <w:p w14:paraId="518A2085" w14:textId="77777777" w:rsidR="0089323F" w:rsidRDefault="0089323F" w:rsidP="0089323F">
            <w:pPr>
              <w:pStyle w:val="CDIFigure-Table-BodyTextCentre"/>
            </w:pPr>
            <w:r>
              <w:t>62 (2.3)</w:t>
            </w:r>
          </w:p>
        </w:tc>
      </w:tr>
      <w:tr w:rsidR="0089323F" w14:paraId="510DE814"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35CF54E6" w14:textId="77777777" w:rsidR="0089323F" w:rsidRDefault="0089323F" w:rsidP="0089323F">
            <w:pPr>
              <w:pStyle w:val="CDIFigure-Table-BodyTextLeft"/>
            </w:pPr>
            <w:r>
              <w:lastRenderedPageBreak/>
              <w:t>Hyperhidrosis</w:t>
            </w:r>
          </w:p>
        </w:tc>
        <w:tc>
          <w:tcPr>
            <w:tcW w:w="1356" w:type="dxa"/>
            <w:shd w:val="clear" w:color="auto" w:fill="F2F2F2" w:themeFill="background1" w:themeFillShade="F2"/>
            <w:tcMar>
              <w:top w:w="113" w:type="dxa"/>
              <w:left w:w="113" w:type="dxa"/>
              <w:bottom w:w="113" w:type="dxa"/>
              <w:right w:w="113" w:type="dxa"/>
            </w:tcMar>
            <w:vAlign w:val="center"/>
          </w:tcPr>
          <w:p w14:paraId="6DF8C86E" w14:textId="77777777" w:rsidR="0089323F" w:rsidRDefault="0089323F" w:rsidP="0089323F">
            <w:pPr>
              <w:pStyle w:val="CDIFigure-Table-BodyTextCentre"/>
            </w:pPr>
            <w:r>
              <w:t>2,493 (2.2)</w:t>
            </w:r>
          </w:p>
        </w:tc>
        <w:tc>
          <w:tcPr>
            <w:tcW w:w="1356" w:type="dxa"/>
            <w:shd w:val="clear" w:color="auto" w:fill="F2F2F2" w:themeFill="background1" w:themeFillShade="F2"/>
            <w:tcMar>
              <w:top w:w="113" w:type="dxa"/>
              <w:left w:w="113" w:type="dxa"/>
              <w:bottom w:w="113" w:type="dxa"/>
              <w:right w:w="113" w:type="dxa"/>
            </w:tcMar>
            <w:vAlign w:val="center"/>
          </w:tcPr>
          <w:p w14:paraId="7C2E0BBC" w14:textId="77777777" w:rsidR="0089323F" w:rsidRDefault="0089323F" w:rsidP="0089323F">
            <w:pPr>
              <w:pStyle w:val="CDIFigure-Table-BodyTextCentre"/>
            </w:pPr>
            <w:r>
              <w:t>1,362 (54.6)</w:t>
            </w:r>
          </w:p>
        </w:tc>
        <w:tc>
          <w:tcPr>
            <w:tcW w:w="1356" w:type="dxa"/>
            <w:shd w:val="clear" w:color="auto" w:fill="F2F2F2" w:themeFill="background1" w:themeFillShade="F2"/>
            <w:tcMar>
              <w:top w:w="113" w:type="dxa"/>
              <w:left w:w="113" w:type="dxa"/>
              <w:bottom w:w="113" w:type="dxa"/>
              <w:right w:w="113" w:type="dxa"/>
            </w:tcMar>
            <w:vAlign w:val="center"/>
          </w:tcPr>
          <w:p w14:paraId="0D851B2B" w14:textId="77777777" w:rsidR="0089323F" w:rsidRDefault="0089323F" w:rsidP="0089323F">
            <w:pPr>
              <w:pStyle w:val="CDIFigure-Table-BodyTextCentre"/>
            </w:pPr>
            <w:r>
              <w:t>1,006 (40.4)</w:t>
            </w:r>
          </w:p>
        </w:tc>
        <w:tc>
          <w:tcPr>
            <w:tcW w:w="1356" w:type="dxa"/>
            <w:shd w:val="clear" w:color="auto" w:fill="F2F2F2" w:themeFill="background1" w:themeFillShade="F2"/>
            <w:tcMar>
              <w:top w:w="113" w:type="dxa"/>
              <w:left w:w="113" w:type="dxa"/>
              <w:bottom w:w="113" w:type="dxa"/>
              <w:right w:w="113" w:type="dxa"/>
            </w:tcMar>
            <w:vAlign w:val="center"/>
          </w:tcPr>
          <w:p w14:paraId="466FFB71" w14:textId="77777777" w:rsidR="0089323F" w:rsidRDefault="0089323F" w:rsidP="0089323F">
            <w:pPr>
              <w:pStyle w:val="CDIFigure-Table-BodyTextCentre"/>
            </w:pPr>
            <w:r>
              <w:t>122 (4.9)</w:t>
            </w:r>
          </w:p>
        </w:tc>
      </w:tr>
      <w:tr w:rsidR="0089323F" w14:paraId="76F31CEB" w14:textId="77777777" w:rsidTr="0089323F">
        <w:trPr>
          <w:divId w:val="935526654"/>
          <w:trHeight w:val="20"/>
        </w:trPr>
        <w:tc>
          <w:tcPr>
            <w:tcW w:w="4082" w:type="dxa"/>
            <w:tcMar>
              <w:top w:w="113" w:type="dxa"/>
              <w:left w:w="113" w:type="dxa"/>
              <w:bottom w:w="113" w:type="dxa"/>
              <w:right w:w="113" w:type="dxa"/>
            </w:tcMar>
            <w:vAlign w:val="center"/>
          </w:tcPr>
          <w:p w14:paraId="1D8D32CA" w14:textId="77777777" w:rsidR="0089323F" w:rsidRDefault="0089323F" w:rsidP="0089323F">
            <w:pPr>
              <w:pStyle w:val="CDIFigure-Table-BodyTextLeft"/>
            </w:pPr>
            <w:r>
              <w:t>Hypertension</w:t>
            </w:r>
          </w:p>
        </w:tc>
        <w:tc>
          <w:tcPr>
            <w:tcW w:w="1356" w:type="dxa"/>
            <w:tcMar>
              <w:top w:w="113" w:type="dxa"/>
              <w:left w:w="113" w:type="dxa"/>
              <w:bottom w:w="113" w:type="dxa"/>
              <w:right w:w="113" w:type="dxa"/>
            </w:tcMar>
            <w:vAlign w:val="center"/>
          </w:tcPr>
          <w:p w14:paraId="4CE23BF6" w14:textId="77777777" w:rsidR="0089323F" w:rsidRDefault="0089323F" w:rsidP="0089323F">
            <w:pPr>
              <w:pStyle w:val="CDIFigure-Table-BodyTextCentre"/>
            </w:pPr>
            <w:r>
              <w:t>2,471 (2.2)</w:t>
            </w:r>
          </w:p>
        </w:tc>
        <w:tc>
          <w:tcPr>
            <w:tcW w:w="1356" w:type="dxa"/>
            <w:tcMar>
              <w:top w:w="113" w:type="dxa"/>
              <w:left w:w="113" w:type="dxa"/>
              <w:bottom w:w="113" w:type="dxa"/>
              <w:right w:w="113" w:type="dxa"/>
            </w:tcMar>
            <w:vAlign w:val="center"/>
          </w:tcPr>
          <w:p w14:paraId="1E231846" w14:textId="77777777" w:rsidR="0089323F" w:rsidRDefault="0089323F" w:rsidP="0089323F">
            <w:pPr>
              <w:pStyle w:val="CDIFigure-Table-BodyTextCentre"/>
            </w:pPr>
            <w:r>
              <w:t>1,551 (62.8)</w:t>
            </w:r>
          </w:p>
        </w:tc>
        <w:tc>
          <w:tcPr>
            <w:tcW w:w="1356" w:type="dxa"/>
            <w:tcMar>
              <w:top w:w="113" w:type="dxa"/>
              <w:left w:w="113" w:type="dxa"/>
              <w:bottom w:w="113" w:type="dxa"/>
              <w:right w:w="113" w:type="dxa"/>
            </w:tcMar>
            <w:vAlign w:val="center"/>
          </w:tcPr>
          <w:p w14:paraId="4366E8FB" w14:textId="77777777" w:rsidR="0089323F" w:rsidRDefault="0089323F" w:rsidP="0089323F">
            <w:pPr>
              <w:pStyle w:val="CDIFigure-Table-BodyTextCentre"/>
            </w:pPr>
            <w:r>
              <w:t>849 (34.4)</w:t>
            </w:r>
          </w:p>
        </w:tc>
        <w:tc>
          <w:tcPr>
            <w:tcW w:w="1356" w:type="dxa"/>
            <w:tcMar>
              <w:top w:w="113" w:type="dxa"/>
              <w:left w:w="113" w:type="dxa"/>
              <w:bottom w:w="113" w:type="dxa"/>
              <w:right w:w="113" w:type="dxa"/>
            </w:tcMar>
            <w:vAlign w:val="center"/>
          </w:tcPr>
          <w:p w14:paraId="5E04BDD2" w14:textId="77777777" w:rsidR="0089323F" w:rsidRDefault="0089323F" w:rsidP="0089323F">
            <w:pPr>
              <w:pStyle w:val="CDIFigure-Table-BodyTextCentre"/>
            </w:pPr>
            <w:r>
              <w:t>62 (2.5)</w:t>
            </w:r>
          </w:p>
        </w:tc>
      </w:tr>
      <w:tr w:rsidR="0089323F" w14:paraId="55ECBB7F"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67A95855" w14:textId="77777777" w:rsidR="0089323F" w:rsidRDefault="0089323F" w:rsidP="0089323F">
            <w:pPr>
              <w:pStyle w:val="CDIFigure-Table-BodyTextLeft"/>
            </w:pPr>
            <w:r>
              <w:t>Cough</w:t>
            </w:r>
          </w:p>
        </w:tc>
        <w:tc>
          <w:tcPr>
            <w:tcW w:w="1356" w:type="dxa"/>
            <w:shd w:val="clear" w:color="auto" w:fill="F2F2F2" w:themeFill="background1" w:themeFillShade="F2"/>
            <w:tcMar>
              <w:top w:w="113" w:type="dxa"/>
              <w:left w:w="113" w:type="dxa"/>
              <w:bottom w:w="113" w:type="dxa"/>
              <w:right w:w="113" w:type="dxa"/>
            </w:tcMar>
            <w:vAlign w:val="center"/>
          </w:tcPr>
          <w:p w14:paraId="66AEA38C" w14:textId="77777777" w:rsidR="0089323F" w:rsidRDefault="0089323F" w:rsidP="0089323F">
            <w:pPr>
              <w:pStyle w:val="CDIFigure-Table-BodyTextCentre"/>
            </w:pPr>
            <w:r>
              <w:t>2,386 (2.1)</w:t>
            </w:r>
          </w:p>
        </w:tc>
        <w:tc>
          <w:tcPr>
            <w:tcW w:w="1356" w:type="dxa"/>
            <w:shd w:val="clear" w:color="auto" w:fill="F2F2F2" w:themeFill="background1" w:themeFillShade="F2"/>
            <w:tcMar>
              <w:top w:w="113" w:type="dxa"/>
              <w:left w:w="113" w:type="dxa"/>
              <w:bottom w:w="113" w:type="dxa"/>
              <w:right w:w="113" w:type="dxa"/>
            </w:tcMar>
            <w:vAlign w:val="center"/>
          </w:tcPr>
          <w:p w14:paraId="54C51690" w14:textId="77777777" w:rsidR="0089323F" w:rsidRDefault="0089323F" w:rsidP="0089323F">
            <w:pPr>
              <w:pStyle w:val="CDIFigure-Table-BodyTextCentre"/>
            </w:pPr>
            <w:r>
              <w:t>1,441 (60.4)</w:t>
            </w:r>
          </w:p>
        </w:tc>
        <w:tc>
          <w:tcPr>
            <w:tcW w:w="1356" w:type="dxa"/>
            <w:shd w:val="clear" w:color="auto" w:fill="F2F2F2" w:themeFill="background1" w:themeFillShade="F2"/>
            <w:tcMar>
              <w:top w:w="113" w:type="dxa"/>
              <w:left w:w="113" w:type="dxa"/>
              <w:bottom w:w="113" w:type="dxa"/>
              <w:right w:w="113" w:type="dxa"/>
            </w:tcMar>
            <w:vAlign w:val="center"/>
          </w:tcPr>
          <w:p w14:paraId="27FF70F3" w14:textId="77777777" w:rsidR="0089323F" w:rsidRDefault="0089323F" w:rsidP="0089323F">
            <w:pPr>
              <w:pStyle w:val="CDIFigure-Table-BodyTextCentre"/>
            </w:pPr>
            <w:r>
              <w:t>839 (35.2)</w:t>
            </w:r>
          </w:p>
        </w:tc>
        <w:tc>
          <w:tcPr>
            <w:tcW w:w="1356" w:type="dxa"/>
            <w:shd w:val="clear" w:color="auto" w:fill="F2F2F2" w:themeFill="background1" w:themeFillShade="F2"/>
            <w:tcMar>
              <w:top w:w="113" w:type="dxa"/>
              <w:left w:w="113" w:type="dxa"/>
              <w:bottom w:w="113" w:type="dxa"/>
              <w:right w:w="113" w:type="dxa"/>
            </w:tcMar>
            <w:vAlign w:val="center"/>
          </w:tcPr>
          <w:p w14:paraId="0D9CDD91" w14:textId="77777777" w:rsidR="0089323F" w:rsidRDefault="0089323F" w:rsidP="0089323F">
            <w:pPr>
              <w:pStyle w:val="CDIFigure-Table-BodyTextCentre"/>
            </w:pPr>
            <w:r>
              <w:t>93 (3.9)</w:t>
            </w:r>
          </w:p>
        </w:tc>
      </w:tr>
      <w:tr w:rsidR="0089323F" w14:paraId="744CBDF9" w14:textId="77777777" w:rsidTr="0089323F">
        <w:trPr>
          <w:divId w:val="935526654"/>
          <w:trHeight w:val="20"/>
        </w:trPr>
        <w:tc>
          <w:tcPr>
            <w:tcW w:w="4082" w:type="dxa"/>
            <w:tcMar>
              <w:top w:w="113" w:type="dxa"/>
              <w:left w:w="113" w:type="dxa"/>
              <w:bottom w:w="113" w:type="dxa"/>
              <w:right w:w="113" w:type="dxa"/>
            </w:tcMar>
            <w:vAlign w:val="center"/>
          </w:tcPr>
          <w:p w14:paraId="75E1DD56" w14:textId="77777777" w:rsidR="0089323F" w:rsidRDefault="0089323F" w:rsidP="0089323F">
            <w:pPr>
              <w:pStyle w:val="CDIFigure-Table-BodyTextLeft"/>
            </w:pPr>
            <w:r>
              <w:t>Tachycardia</w:t>
            </w:r>
          </w:p>
        </w:tc>
        <w:tc>
          <w:tcPr>
            <w:tcW w:w="1356" w:type="dxa"/>
            <w:tcMar>
              <w:top w:w="113" w:type="dxa"/>
              <w:left w:w="113" w:type="dxa"/>
              <w:bottom w:w="113" w:type="dxa"/>
              <w:right w:w="113" w:type="dxa"/>
            </w:tcMar>
            <w:vAlign w:val="center"/>
          </w:tcPr>
          <w:p w14:paraId="74F52327" w14:textId="77777777" w:rsidR="0089323F" w:rsidRDefault="0089323F" w:rsidP="0089323F">
            <w:pPr>
              <w:pStyle w:val="CDIFigure-Table-BodyTextCentre"/>
            </w:pPr>
            <w:r>
              <w:t>2,254 (2.0)</w:t>
            </w:r>
          </w:p>
        </w:tc>
        <w:tc>
          <w:tcPr>
            <w:tcW w:w="1356" w:type="dxa"/>
            <w:tcMar>
              <w:top w:w="113" w:type="dxa"/>
              <w:left w:w="113" w:type="dxa"/>
              <w:bottom w:w="113" w:type="dxa"/>
              <w:right w:w="113" w:type="dxa"/>
            </w:tcMar>
            <w:vAlign w:val="center"/>
          </w:tcPr>
          <w:p w14:paraId="7B527332" w14:textId="77777777" w:rsidR="0089323F" w:rsidRDefault="0089323F" w:rsidP="0089323F">
            <w:pPr>
              <w:pStyle w:val="CDIFigure-Table-BodyTextCentre"/>
            </w:pPr>
            <w:r>
              <w:t>1,487 (66.0)</w:t>
            </w:r>
          </w:p>
        </w:tc>
        <w:tc>
          <w:tcPr>
            <w:tcW w:w="1356" w:type="dxa"/>
            <w:tcMar>
              <w:top w:w="113" w:type="dxa"/>
              <w:left w:w="113" w:type="dxa"/>
              <w:bottom w:w="113" w:type="dxa"/>
              <w:right w:w="113" w:type="dxa"/>
            </w:tcMar>
            <w:vAlign w:val="center"/>
          </w:tcPr>
          <w:p w14:paraId="251A31E3" w14:textId="77777777" w:rsidR="0089323F" w:rsidRDefault="0089323F" w:rsidP="0089323F">
            <w:pPr>
              <w:pStyle w:val="CDIFigure-Table-BodyTextCentre"/>
            </w:pPr>
            <w:r>
              <w:t>637 (28.3)</w:t>
            </w:r>
          </w:p>
        </w:tc>
        <w:tc>
          <w:tcPr>
            <w:tcW w:w="1356" w:type="dxa"/>
            <w:tcMar>
              <w:top w:w="113" w:type="dxa"/>
              <w:left w:w="113" w:type="dxa"/>
              <w:bottom w:w="113" w:type="dxa"/>
              <w:right w:w="113" w:type="dxa"/>
            </w:tcMar>
            <w:vAlign w:val="center"/>
          </w:tcPr>
          <w:p w14:paraId="78F89A84" w14:textId="77777777" w:rsidR="0089323F" w:rsidRDefault="0089323F" w:rsidP="0089323F">
            <w:pPr>
              <w:pStyle w:val="CDIFigure-Table-BodyTextCentre"/>
            </w:pPr>
            <w:r>
              <w:t>121 (5.4)</w:t>
            </w:r>
          </w:p>
        </w:tc>
      </w:tr>
      <w:tr w:rsidR="0089323F" w14:paraId="6E762EFD"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3F20FBC2" w14:textId="77777777" w:rsidR="0089323F" w:rsidRDefault="0089323F" w:rsidP="0089323F">
            <w:pPr>
              <w:pStyle w:val="CDIFigure-Table-BodyTextLeft"/>
            </w:pPr>
            <w:r>
              <w:t>Pain</w:t>
            </w:r>
          </w:p>
        </w:tc>
        <w:tc>
          <w:tcPr>
            <w:tcW w:w="1356" w:type="dxa"/>
            <w:shd w:val="clear" w:color="auto" w:fill="F2F2F2" w:themeFill="background1" w:themeFillShade="F2"/>
            <w:tcMar>
              <w:top w:w="113" w:type="dxa"/>
              <w:left w:w="113" w:type="dxa"/>
              <w:bottom w:w="113" w:type="dxa"/>
              <w:right w:w="113" w:type="dxa"/>
            </w:tcMar>
            <w:vAlign w:val="center"/>
          </w:tcPr>
          <w:p w14:paraId="6F671685" w14:textId="77777777" w:rsidR="0089323F" w:rsidRDefault="0089323F" w:rsidP="0089323F">
            <w:pPr>
              <w:pStyle w:val="CDIFigure-Table-BodyTextCentre"/>
            </w:pPr>
            <w:r>
              <w:t>2,045 (1.8)</w:t>
            </w:r>
          </w:p>
        </w:tc>
        <w:tc>
          <w:tcPr>
            <w:tcW w:w="1356" w:type="dxa"/>
            <w:shd w:val="clear" w:color="auto" w:fill="F2F2F2" w:themeFill="background1" w:themeFillShade="F2"/>
            <w:tcMar>
              <w:top w:w="113" w:type="dxa"/>
              <w:left w:w="113" w:type="dxa"/>
              <w:bottom w:w="113" w:type="dxa"/>
              <w:right w:w="113" w:type="dxa"/>
            </w:tcMar>
            <w:vAlign w:val="center"/>
          </w:tcPr>
          <w:p w14:paraId="60D7CC5F" w14:textId="77777777" w:rsidR="0089323F" w:rsidRDefault="0089323F" w:rsidP="0089323F">
            <w:pPr>
              <w:pStyle w:val="CDIFigure-Table-BodyTextCentre"/>
            </w:pPr>
            <w:r>
              <w:t>921 (45.0)</w:t>
            </w:r>
          </w:p>
        </w:tc>
        <w:tc>
          <w:tcPr>
            <w:tcW w:w="1356" w:type="dxa"/>
            <w:shd w:val="clear" w:color="auto" w:fill="F2F2F2" w:themeFill="background1" w:themeFillShade="F2"/>
            <w:tcMar>
              <w:top w:w="113" w:type="dxa"/>
              <w:left w:w="113" w:type="dxa"/>
              <w:bottom w:w="113" w:type="dxa"/>
              <w:right w:w="113" w:type="dxa"/>
            </w:tcMar>
            <w:vAlign w:val="center"/>
          </w:tcPr>
          <w:p w14:paraId="51C8539E" w14:textId="77777777" w:rsidR="0089323F" w:rsidRDefault="0089323F" w:rsidP="0089323F">
            <w:pPr>
              <w:pStyle w:val="CDIFigure-Table-BodyTextCentre"/>
            </w:pPr>
            <w:r>
              <w:t>1,030 (50.4)</w:t>
            </w:r>
          </w:p>
        </w:tc>
        <w:tc>
          <w:tcPr>
            <w:tcW w:w="1356" w:type="dxa"/>
            <w:shd w:val="clear" w:color="auto" w:fill="F2F2F2" w:themeFill="background1" w:themeFillShade="F2"/>
            <w:tcMar>
              <w:top w:w="113" w:type="dxa"/>
              <w:left w:w="113" w:type="dxa"/>
              <w:bottom w:w="113" w:type="dxa"/>
              <w:right w:w="113" w:type="dxa"/>
            </w:tcMar>
            <w:vAlign w:val="center"/>
          </w:tcPr>
          <w:p w14:paraId="0D3CBEF3" w14:textId="77777777" w:rsidR="0089323F" w:rsidRDefault="0089323F" w:rsidP="0089323F">
            <w:pPr>
              <w:pStyle w:val="CDIFigure-Table-BodyTextCentre"/>
            </w:pPr>
            <w:r>
              <w:t>98 (4.8)</w:t>
            </w:r>
          </w:p>
        </w:tc>
      </w:tr>
      <w:tr w:rsidR="0089323F" w14:paraId="6FD6ED42" w14:textId="77777777" w:rsidTr="0089323F">
        <w:trPr>
          <w:divId w:val="935526654"/>
          <w:trHeight w:val="20"/>
        </w:trPr>
        <w:tc>
          <w:tcPr>
            <w:tcW w:w="4082" w:type="dxa"/>
            <w:tcMar>
              <w:top w:w="113" w:type="dxa"/>
              <w:left w:w="113" w:type="dxa"/>
              <w:bottom w:w="113" w:type="dxa"/>
              <w:right w:w="113" w:type="dxa"/>
            </w:tcMar>
            <w:vAlign w:val="center"/>
          </w:tcPr>
          <w:p w14:paraId="46F5A163" w14:textId="77777777" w:rsidR="0089323F" w:rsidRDefault="0089323F" w:rsidP="0089323F">
            <w:pPr>
              <w:pStyle w:val="CDIFigure-Table-BodyTextLeft"/>
            </w:pPr>
            <w:r>
              <w:t>Pruritus</w:t>
            </w:r>
          </w:p>
        </w:tc>
        <w:tc>
          <w:tcPr>
            <w:tcW w:w="1356" w:type="dxa"/>
            <w:tcMar>
              <w:top w:w="113" w:type="dxa"/>
              <w:left w:w="113" w:type="dxa"/>
              <w:bottom w:w="113" w:type="dxa"/>
              <w:right w:w="113" w:type="dxa"/>
            </w:tcMar>
            <w:vAlign w:val="center"/>
          </w:tcPr>
          <w:p w14:paraId="583D2802" w14:textId="77777777" w:rsidR="0089323F" w:rsidRDefault="0089323F" w:rsidP="0089323F">
            <w:pPr>
              <w:pStyle w:val="CDIFigure-Table-BodyTextCentre"/>
            </w:pPr>
            <w:r>
              <w:t>2,021 (1.8)</w:t>
            </w:r>
          </w:p>
        </w:tc>
        <w:tc>
          <w:tcPr>
            <w:tcW w:w="1356" w:type="dxa"/>
            <w:tcMar>
              <w:top w:w="113" w:type="dxa"/>
              <w:left w:w="113" w:type="dxa"/>
              <w:bottom w:w="113" w:type="dxa"/>
              <w:right w:w="113" w:type="dxa"/>
            </w:tcMar>
            <w:vAlign w:val="center"/>
          </w:tcPr>
          <w:p w14:paraId="3D34B4C9" w14:textId="77777777" w:rsidR="0089323F" w:rsidRDefault="0089323F" w:rsidP="0089323F">
            <w:pPr>
              <w:pStyle w:val="CDIFigure-Table-BodyTextCentre"/>
            </w:pPr>
            <w:r>
              <w:t>1,276 (63.1)</w:t>
            </w:r>
          </w:p>
        </w:tc>
        <w:tc>
          <w:tcPr>
            <w:tcW w:w="1356" w:type="dxa"/>
            <w:tcMar>
              <w:top w:w="113" w:type="dxa"/>
              <w:left w:w="113" w:type="dxa"/>
              <w:bottom w:w="113" w:type="dxa"/>
              <w:right w:w="113" w:type="dxa"/>
            </w:tcMar>
            <w:vAlign w:val="center"/>
          </w:tcPr>
          <w:p w14:paraId="2A08579E" w14:textId="77777777" w:rsidR="0089323F" w:rsidRDefault="0089323F" w:rsidP="0089323F">
            <w:pPr>
              <w:pStyle w:val="CDIFigure-Table-BodyTextCentre"/>
            </w:pPr>
            <w:r>
              <w:t>678 (33.5)</w:t>
            </w:r>
          </w:p>
        </w:tc>
        <w:tc>
          <w:tcPr>
            <w:tcW w:w="1356" w:type="dxa"/>
            <w:tcMar>
              <w:top w:w="113" w:type="dxa"/>
              <w:left w:w="113" w:type="dxa"/>
              <w:bottom w:w="113" w:type="dxa"/>
              <w:right w:w="113" w:type="dxa"/>
            </w:tcMar>
            <w:vAlign w:val="center"/>
          </w:tcPr>
          <w:p w14:paraId="1D15FEA6" w14:textId="77777777" w:rsidR="0089323F" w:rsidRDefault="0089323F" w:rsidP="0089323F">
            <w:pPr>
              <w:pStyle w:val="CDIFigure-Table-BodyTextCentre"/>
            </w:pPr>
            <w:r>
              <w:t>65 (3.2)</w:t>
            </w:r>
          </w:p>
        </w:tc>
      </w:tr>
      <w:tr w:rsidR="0089323F" w14:paraId="3BFDA3AD"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2358FDB5" w14:textId="77777777" w:rsidR="0089323F" w:rsidRDefault="0089323F" w:rsidP="0089323F">
            <w:pPr>
              <w:pStyle w:val="CDIFigure-Table-BodyTextLeft"/>
            </w:pPr>
            <w:r>
              <w:t>Hypoaesthesia</w:t>
            </w:r>
          </w:p>
        </w:tc>
        <w:tc>
          <w:tcPr>
            <w:tcW w:w="1356" w:type="dxa"/>
            <w:shd w:val="clear" w:color="auto" w:fill="F2F2F2" w:themeFill="background1" w:themeFillShade="F2"/>
            <w:tcMar>
              <w:top w:w="113" w:type="dxa"/>
              <w:left w:w="113" w:type="dxa"/>
              <w:bottom w:w="113" w:type="dxa"/>
              <w:right w:w="113" w:type="dxa"/>
            </w:tcMar>
            <w:vAlign w:val="center"/>
          </w:tcPr>
          <w:p w14:paraId="2809BEA1" w14:textId="77777777" w:rsidR="0089323F" w:rsidRDefault="0089323F" w:rsidP="0089323F">
            <w:pPr>
              <w:pStyle w:val="CDIFigure-Table-BodyTextCentre"/>
            </w:pPr>
            <w:r>
              <w:t>1,961 (1.8)</w:t>
            </w:r>
          </w:p>
        </w:tc>
        <w:tc>
          <w:tcPr>
            <w:tcW w:w="1356" w:type="dxa"/>
            <w:shd w:val="clear" w:color="auto" w:fill="F2F2F2" w:themeFill="background1" w:themeFillShade="F2"/>
            <w:tcMar>
              <w:top w:w="113" w:type="dxa"/>
              <w:left w:w="113" w:type="dxa"/>
              <w:bottom w:w="113" w:type="dxa"/>
              <w:right w:w="113" w:type="dxa"/>
            </w:tcMar>
            <w:vAlign w:val="center"/>
          </w:tcPr>
          <w:p w14:paraId="18E2F0F8" w14:textId="77777777" w:rsidR="0089323F" w:rsidRDefault="0089323F" w:rsidP="0089323F">
            <w:pPr>
              <w:pStyle w:val="CDIFigure-Table-BodyTextCentre"/>
            </w:pPr>
            <w:r>
              <w:t>1,248 (63.6)</w:t>
            </w:r>
          </w:p>
        </w:tc>
        <w:tc>
          <w:tcPr>
            <w:tcW w:w="1356" w:type="dxa"/>
            <w:shd w:val="clear" w:color="auto" w:fill="F2F2F2" w:themeFill="background1" w:themeFillShade="F2"/>
            <w:tcMar>
              <w:top w:w="113" w:type="dxa"/>
              <w:left w:w="113" w:type="dxa"/>
              <w:bottom w:w="113" w:type="dxa"/>
              <w:right w:w="113" w:type="dxa"/>
            </w:tcMar>
            <w:vAlign w:val="center"/>
          </w:tcPr>
          <w:p w14:paraId="554322B3" w14:textId="77777777" w:rsidR="0089323F" w:rsidRDefault="0089323F" w:rsidP="0089323F">
            <w:pPr>
              <w:pStyle w:val="CDIFigure-Table-BodyTextCentre"/>
            </w:pPr>
            <w:r>
              <w:t>597 (30.4)</w:t>
            </w:r>
          </w:p>
        </w:tc>
        <w:tc>
          <w:tcPr>
            <w:tcW w:w="1356" w:type="dxa"/>
            <w:shd w:val="clear" w:color="auto" w:fill="F2F2F2" w:themeFill="background1" w:themeFillShade="F2"/>
            <w:tcMar>
              <w:top w:w="113" w:type="dxa"/>
              <w:left w:w="113" w:type="dxa"/>
              <w:bottom w:w="113" w:type="dxa"/>
              <w:right w:w="113" w:type="dxa"/>
            </w:tcMar>
            <w:vAlign w:val="center"/>
          </w:tcPr>
          <w:p w14:paraId="0B97073F" w14:textId="77777777" w:rsidR="0089323F" w:rsidRDefault="0089323F" w:rsidP="0089323F">
            <w:pPr>
              <w:pStyle w:val="CDIFigure-Table-BodyTextCentre"/>
            </w:pPr>
            <w:r>
              <w:t>115 (5.9)</w:t>
            </w:r>
          </w:p>
        </w:tc>
      </w:tr>
      <w:tr w:rsidR="0089323F" w14:paraId="5CC0A061" w14:textId="77777777" w:rsidTr="0089323F">
        <w:trPr>
          <w:divId w:val="935526654"/>
          <w:trHeight w:val="20"/>
        </w:trPr>
        <w:tc>
          <w:tcPr>
            <w:tcW w:w="4082" w:type="dxa"/>
            <w:tcMar>
              <w:top w:w="113" w:type="dxa"/>
              <w:left w:w="113" w:type="dxa"/>
              <w:bottom w:w="113" w:type="dxa"/>
              <w:right w:w="113" w:type="dxa"/>
            </w:tcMar>
            <w:vAlign w:val="center"/>
          </w:tcPr>
          <w:p w14:paraId="0C7CE8A3" w14:textId="77777777" w:rsidR="0089323F" w:rsidRDefault="0089323F" w:rsidP="0089323F">
            <w:pPr>
              <w:pStyle w:val="CDIFigure-Table-BodyTextLeft"/>
            </w:pPr>
            <w:r>
              <w:t>Menstrual disorder</w:t>
            </w:r>
          </w:p>
        </w:tc>
        <w:tc>
          <w:tcPr>
            <w:tcW w:w="1356" w:type="dxa"/>
            <w:tcMar>
              <w:top w:w="113" w:type="dxa"/>
              <w:left w:w="113" w:type="dxa"/>
              <w:bottom w:w="113" w:type="dxa"/>
              <w:right w:w="113" w:type="dxa"/>
            </w:tcMar>
            <w:vAlign w:val="center"/>
          </w:tcPr>
          <w:p w14:paraId="2EF55EF4" w14:textId="77777777" w:rsidR="0089323F" w:rsidRDefault="0089323F" w:rsidP="0089323F">
            <w:pPr>
              <w:pStyle w:val="CDIFigure-Table-BodyTextCentre"/>
            </w:pPr>
            <w:r>
              <w:t>1,945 (1.7)</w:t>
            </w:r>
          </w:p>
        </w:tc>
        <w:tc>
          <w:tcPr>
            <w:tcW w:w="1356" w:type="dxa"/>
            <w:tcMar>
              <w:top w:w="113" w:type="dxa"/>
              <w:left w:w="113" w:type="dxa"/>
              <w:bottom w:w="113" w:type="dxa"/>
              <w:right w:w="113" w:type="dxa"/>
            </w:tcMar>
            <w:vAlign w:val="center"/>
          </w:tcPr>
          <w:p w14:paraId="164870CA" w14:textId="77777777" w:rsidR="0089323F" w:rsidRDefault="0089323F" w:rsidP="0089323F">
            <w:pPr>
              <w:pStyle w:val="CDIFigure-Table-BodyTextCentre"/>
            </w:pPr>
            <w:r>
              <w:t>1,569 (80.7)</w:t>
            </w:r>
          </w:p>
        </w:tc>
        <w:tc>
          <w:tcPr>
            <w:tcW w:w="1356" w:type="dxa"/>
            <w:tcMar>
              <w:top w:w="113" w:type="dxa"/>
              <w:left w:w="113" w:type="dxa"/>
              <w:bottom w:w="113" w:type="dxa"/>
              <w:right w:w="113" w:type="dxa"/>
            </w:tcMar>
            <w:vAlign w:val="center"/>
          </w:tcPr>
          <w:p w14:paraId="741BA70F" w14:textId="77777777" w:rsidR="0089323F" w:rsidRDefault="0089323F" w:rsidP="0089323F">
            <w:pPr>
              <w:pStyle w:val="CDIFigure-Table-BodyTextCentre"/>
            </w:pPr>
            <w:r>
              <w:t>235 (12.1)</w:t>
            </w:r>
          </w:p>
        </w:tc>
        <w:tc>
          <w:tcPr>
            <w:tcW w:w="1356" w:type="dxa"/>
            <w:tcMar>
              <w:top w:w="113" w:type="dxa"/>
              <w:left w:w="113" w:type="dxa"/>
              <w:bottom w:w="113" w:type="dxa"/>
              <w:right w:w="113" w:type="dxa"/>
            </w:tcMar>
            <w:vAlign w:val="center"/>
          </w:tcPr>
          <w:p w14:paraId="63E4D4B2" w14:textId="77777777" w:rsidR="0089323F" w:rsidRDefault="0089323F" w:rsidP="0089323F">
            <w:pPr>
              <w:pStyle w:val="CDIFigure-Table-BodyTextCentre"/>
            </w:pPr>
            <w:r>
              <w:t>135 (6.9)</w:t>
            </w:r>
          </w:p>
        </w:tc>
      </w:tr>
      <w:tr w:rsidR="0089323F" w14:paraId="4FD98BF2"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64D5A2C5" w14:textId="77777777" w:rsidR="0089323F" w:rsidRDefault="0089323F" w:rsidP="0089323F">
            <w:pPr>
              <w:pStyle w:val="CDIFigure-Table-BodyTextLeft"/>
            </w:pPr>
            <w:r>
              <w:t>Decreased appetite</w:t>
            </w:r>
          </w:p>
        </w:tc>
        <w:tc>
          <w:tcPr>
            <w:tcW w:w="1356" w:type="dxa"/>
            <w:shd w:val="clear" w:color="auto" w:fill="F2F2F2" w:themeFill="background1" w:themeFillShade="F2"/>
            <w:tcMar>
              <w:top w:w="113" w:type="dxa"/>
              <w:left w:w="113" w:type="dxa"/>
              <w:bottom w:w="113" w:type="dxa"/>
              <w:right w:w="113" w:type="dxa"/>
            </w:tcMar>
            <w:vAlign w:val="center"/>
          </w:tcPr>
          <w:p w14:paraId="72D2513B" w14:textId="77777777" w:rsidR="0089323F" w:rsidRDefault="0089323F" w:rsidP="0089323F">
            <w:pPr>
              <w:pStyle w:val="CDIFigure-Table-BodyTextCentre"/>
            </w:pPr>
            <w:r>
              <w:t>1,794 (1.6)</w:t>
            </w:r>
          </w:p>
        </w:tc>
        <w:tc>
          <w:tcPr>
            <w:tcW w:w="1356" w:type="dxa"/>
            <w:shd w:val="clear" w:color="auto" w:fill="F2F2F2" w:themeFill="background1" w:themeFillShade="F2"/>
            <w:tcMar>
              <w:top w:w="113" w:type="dxa"/>
              <w:left w:w="113" w:type="dxa"/>
              <w:bottom w:w="113" w:type="dxa"/>
              <w:right w:w="113" w:type="dxa"/>
            </w:tcMar>
            <w:vAlign w:val="center"/>
          </w:tcPr>
          <w:p w14:paraId="09833355" w14:textId="77777777" w:rsidR="0089323F" w:rsidRDefault="0089323F" w:rsidP="0089323F">
            <w:pPr>
              <w:pStyle w:val="CDIFigure-Table-BodyTextCentre"/>
            </w:pPr>
            <w:r>
              <w:t>518 (28.9)</w:t>
            </w:r>
          </w:p>
        </w:tc>
        <w:tc>
          <w:tcPr>
            <w:tcW w:w="1356" w:type="dxa"/>
            <w:shd w:val="clear" w:color="auto" w:fill="F2F2F2" w:themeFill="background1" w:themeFillShade="F2"/>
            <w:tcMar>
              <w:top w:w="113" w:type="dxa"/>
              <w:left w:w="113" w:type="dxa"/>
              <w:bottom w:w="113" w:type="dxa"/>
              <w:right w:w="113" w:type="dxa"/>
            </w:tcMar>
            <w:vAlign w:val="center"/>
          </w:tcPr>
          <w:p w14:paraId="0954F0C4" w14:textId="77777777" w:rsidR="0089323F" w:rsidRDefault="0089323F" w:rsidP="0089323F">
            <w:pPr>
              <w:pStyle w:val="CDIFigure-Table-BodyTextCentre"/>
            </w:pPr>
            <w:r>
              <w:t>1,190 (66.3)</w:t>
            </w:r>
          </w:p>
        </w:tc>
        <w:tc>
          <w:tcPr>
            <w:tcW w:w="1356" w:type="dxa"/>
            <w:shd w:val="clear" w:color="auto" w:fill="F2F2F2" w:themeFill="background1" w:themeFillShade="F2"/>
            <w:tcMar>
              <w:top w:w="113" w:type="dxa"/>
              <w:left w:w="113" w:type="dxa"/>
              <w:bottom w:w="113" w:type="dxa"/>
              <w:right w:w="113" w:type="dxa"/>
            </w:tcMar>
            <w:vAlign w:val="center"/>
          </w:tcPr>
          <w:p w14:paraId="1AA53B1D" w14:textId="77777777" w:rsidR="0089323F" w:rsidRDefault="0089323F" w:rsidP="0089323F">
            <w:pPr>
              <w:pStyle w:val="CDIFigure-Table-BodyTextCentre"/>
            </w:pPr>
            <w:r>
              <w:t>82 (4.6)</w:t>
            </w:r>
          </w:p>
        </w:tc>
      </w:tr>
      <w:tr w:rsidR="0089323F" w14:paraId="20E31E73" w14:textId="77777777" w:rsidTr="0089323F">
        <w:trPr>
          <w:divId w:val="935526654"/>
          <w:trHeight w:val="20"/>
        </w:trPr>
        <w:tc>
          <w:tcPr>
            <w:tcW w:w="4082" w:type="dxa"/>
            <w:tcMar>
              <w:top w:w="113" w:type="dxa"/>
              <w:left w:w="113" w:type="dxa"/>
              <w:bottom w:w="113" w:type="dxa"/>
              <w:right w:w="113" w:type="dxa"/>
            </w:tcMar>
            <w:vAlign w:val="center"/>
          </w:tcPr>
          <w:p w14:paraId="67DA9688" w14:textId="77777777" w:rsidR="0089323F" w:rsidRDefault="0089323F" w:rsidP="0089323F">
            <w:pPr>
              <w:pStyle w:val="CDIFigure-Table-BodyTextLeft"/>
            </w:pPr>
            <w:r>
              <w:t>Concomitant disease aggravated</w:t>
            </w:r>
          </w:p>
        </w:tc>
        <w:tc>
          <w:tcPr>
            <w:tcW w:w="1356" w:type="dxa"/>
            <w:tcMar>
              <w:top w:w="113" w:type="dxa"/>
              <w:left w:w="113" w:type="dxa"/>
              <w:bottom w:w="113" w:type="dxa"/>
              <w:right w:w="113" w:type="dxa"/>
            </w:tcMar>
            <w:vAlign w:val="center"/>
          </w:tcPr>
          <w:p w14:paraId="47CDD485" w14:textId="77777777" w:rsidR="0089323F" w:rsidRDefault="0089323F" w:rsidP="0089323F">
            <w:pPr>
              <w:pStyle w:val="CDIFigure-Table-BodyTextCentre"/>
            </w:pPr>
            <w:r>
              <w:t>1,661 (1.5)</w:t>
            </w:r>
          </w:p>
        </w:tc>
        <w:tc>
          <w:tcPr>
            <w:tcW w:w="1356" w:type="dxa"/>
            <w:tcMar>
              <w:top w:w="113" w:type="dxa"/>
              <w:left w:w="113" w:type="dxa"/>
              <w:bottom w:w="113" w:type="dxa"/>
              <w:right w:w="113" w:type="dxa"/>
            </w:tcMar>
            <w:vAlign w:val="center"/>
          </w:tcPr>
          <w:p w14:paraId="3E5EC87C" w14:textId="77777777" w:rsidR="0089323F" w:rsidRDefault="0089323F" w:rsidP="0089323F">
            <w:pPr>
              <w:pStyle w:val="CDIFigure-Table-BodyTextCentre"/>
            </w:pPr>
            <w:r>
              <w:t>997 (60.0)</w:t>
            </w:r>
          </w:p>
        </w:tc>
        <w:tc>
          <w:tcPr>
            <w:tcW w:w="1356" w:type="dxa"/>
            <w:tcMar>
              <w:top w:w="113" w:type="dxa"/>
              <w:left w:w="113" w:type="dxa"/>
              <w:bottom w:w="113" w:type="dxa"/>
              <w:right w:w="113" w:type="dxa"/>
            </w:tcMar>
            <w:vAlign w:val="center"/>
          </w:tcPr>
          <w:p w14:paraId="553E128A" w14:textId="77777777" w:rsidR="0089323F" w:rsidRDefault="0089323F" w:rsidP="0089323F">
            <w:pPr>
              <w:pStyle w:val="CDIFigure-Table-BodyTextCentre"/>
            </w:pPr>
            <w:r>
              <w:t>563 (33.9)</w:t>
            </w:r>
          </w:p>
        </w:tc>
        <w:tc>
          <w:tcPr>
            <w:tcW w:w="1356" w:type="dxa"/>
            <w:tcMar>
              <w:top w:w="113" w:type="dxa"/>
              <w:left w:w="113" w:type="dxa"/>
              <w:bottom w:w="113" w:type="dxa"/>
              <w:right w:w="113" w:type="dxa"/>
            </w:tcMar>
            <w:vAlign w:val="center"/>
          </w:tcPr>
          <w:p w14:paraId="495A1BA3" w14:textId="77777777" w:rsidR="0089323F" w:rsidRDefault="0089323F" w:rsidP="0089323F">
            <w:pPr>
              <w:pStyle w:val="CDIFigure-Table-BodyTextCentre"/>
            </w:pPr>
            <w:r>
              <w:t>106 (6.4)</w:t>
            </w:r>
          </w:p>
        </w:tc>
      </w:tr>
      <w:tr w:rsidR="0089323F" w14:paraId="5A45A0E9"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4413DA46" w14:textId="77777777" w:rsidR="0089323F" w:rsidRDefault="0089323F" w:rsidP="0089323F">
            <w:pPr>
              <w:pStyle w:val="CDIFigure-Table-BodyTextLeft"/>
            </w:pPr>
            <w:r>
              <w:t>Vision blurred</w:t>
            </w:r>
          </w:p>
        </w:tc>
        <w:tc>
          <w:tcPr>
            <w:tcW w:w="1356" w:type="dxa"/>
            <w:shd w:val="clear" w:color="auto" w:fill="F2F2F2" w:themeFill="background1" w:themeFillShade="F2"/>
            <w:tcMar>
              <w:top w:w="113" w:type="dxa"/>
              <w:left w:w="113" w:type="dxa"/>
              <w:bottom w:w="113" w:type="dxa"/>
              <w:right w:w="113" w:type="dxa"/>
            </w:tcMar>
            <w:vAlign w:val="center"/>
          </w:tcPr>
          <w:p w14:paraId="48A9879F" w14:textId="77777777" w:rsidR="0089323F" w:rsidRDefault="0089323F" w:rsidP="0089323F">
            <w:pPr>
              <w:pStyle w:val="CDIFigure-Table-BodyTextCentre"/>
            </w:pPr>
            <w:r>
              <w:t>1,661 (1.5)</w:t>
            </w:r>
          </w:p>
        </w:tc>
        <w:tc>
          <w:tcPr>
            <w:tcW w:w="1356" w:type="dxa"/>
            <w:shd w:val="clear" w:color="auto" w:fill="F2F2F2" w:themeFill="background1" w:themeFillShade="F2"/>
            <w:tcMar>
              <w:top w:w="113" w:type="dxa"/>
              <w:left w:w="113" w:type="dxa"/>
              <w:bottom w:w="113" w:type="dxa"/>
              <w:right w:w="113" w:type="dxa"/>
            </w:tcMar>
            <w:vAlign w:val="center"/>
          </w:tcPr>
          <w:p w14:paraId="2AC4B096" w14:textId="77777777" w:rsidR="0089323F" w:rsidRDefault="0089323F" w:rsidP="0089323F">
            <w:pPr>
              <w:pStyle w:val="CDIFigure-Table-BodyTextCentre"/>
            </w:pPr>
            <w:r>
              <w:t>825 (49.7)</w:t>
            </w:r>
          </w:p>
        </w:tc>
        <w:tc>
          <w:tcPr>
            <w:tcW w:w="1356" w:type="dxa"/>
            <w:shd w:val="clear" w:color="auto" w:fill="F2F2F2" w:themeFill="background1" w:themeFillShade="F2"/>
            <w:tcMar>
              <w:top w:w="113" w:type="dxa"/>
              <w:left w:w="113" w:type="dxa"/>
              <w:bottom w:w="113" w:type="dxa"/>
              <w:right w:w="113" w:type="dxa"/>
            </w:tcMar>
            <w:vAlign w:val="center"/>
          </w:tcPr>
          <w:p w14:paraId="56B72B74" w14:textId="77777777" w:rsidR="0089323F" w:rsidRDefault="0089323F" w:rsidP="0089323F">
            <w:pPr>
              <w:pStyle w:val="CDIFigure-Table-BodyTextCentre"/>
            </w:pPr>
            <w:r>
              <w:t>747 (45.0)</w:t>
            </w:r>
          </w:p>
        </w:tc>
        <w:tc>
          <w:tcPr>
            <w:tcW w:w="1356" w:type="dxa"/>
            <w:shd w:val="clear" w:color="auto" w:fill="F2F2F2" w:themeFill="background1" w:themeFillShade="F2"/>
            <w:tcMar>
              <w:top w:w="113" w:type="dxa"/>
              <w:left w:w="113" w:type="dxa"/>
              <w:bottom w:w="113" w:type="dxa"/>
              <w:right w:w="113" w:type="dxa"/>
            </w:tcMar>
            <w:vAlign w:val="center"/>
          </w:tcPr>
          <w:p w14:paraId="4C0AED7D" w14:textId="77777777" w:rsidR="0089323F" w:rsidRDefault="0089323F" w:rsidP="0089323F">
            <w:pPr>
              <w:pStyle w:val="CDIFigure-Table-BodyTextCentre"/>
            </w:pPr>
            <w:r>
              <w:t>83 (5.0)</w:t>
            </w:r>
          </w:p>
        </w:tc>
      </w:tr>
      <w:tr w:rsidR="0089323F" w14:paraId="0D077101" w14:textId="77777777" w:rsidTr="0089323F">
        <w:trPr>
          <w:divId w:val="935526654"/>
          <w:trHeight w:val="20"/>
        </w:trPr>
        <w:tc>
          <w:tcPr>
            <w:tcW w:w="4082" w:type="dxa"/>
            <w:tcMar>
              <w:top w:w="113" w:type="dxa"/>
              <w:left w:w="113" w:type="dxa"/>
              <w:bottom w:w="113" w:type="dxa"/>
              <w:right w:w="113" w:type="dxa"/>
            </w:tcMar>
            <w:vAlign w:val="center"/>
          </w:tcPr>
          <w:p w14:paraId="3C3AF5F1" w14:textId="77777777" w:rsidR="0089323F" w:rsidRDefault="0089323F" w:rsidP="0089323F">
            <w:pPr>
              <w:pStyle w:val="CDIFigure-Table-BodyTextLeft"/>
            </w:pPr>
            <w:r>
              <w:t>Taste and smell disorders</w:t>
            </w:r>
          </w:p>
        </w:tc>
        <w:tc>
          <w:tcPr>
            <w:tcW w:w="1356" w:type="dxa"/>
            <w:tcMar>
              <w:top w:w="113" w:type="dxa"/>
              <w:left w:w="113" w:type="dxa"/>
              <w:bottom w:w="113" w:type="dxa"/>
              <w:right w:w="113" w:type="dxa"/>
            </w:tcMar>
            <w:vAlign w:val="center"/>
          </w:tcPr>
          <w:p w14:paraId="3CF9FC96" w14:textId="77777777" w:rsidR="0089323F" w:rsidRDefault="0089323F" w:rsidP="0089323F">
            <w:pPr>
              <w:pStyle w:val="CDIFigure-Table-BodyTextCentre"/>
            </w:pPr>
            <w:r>
              <w:t>1,600 (1.4)</w:t>
            </w:r>
          </w:p>
        </w:tc>
        <w:tc>
          <w:tcPr>
            <w:tcW w:w="1356" w:type="dxa"/>
            <w:tcMar>
              <w:top w:w="113" w:type="dxa"/>
              <w:left w:w="113" w:type="dxa"/>
              <w:bottom w:w="113" w:type="dxa"/>
              <w:right w:w="113" w:type="dxa"/>
            </w:tcMar>
            <w:vAlign w:val="center"/>
          </w:tcPr>
          <w:p w14:paraId="5D5BDEC2" w14:textId="77777777" w:rsidR="0089323F" w:rsidRDefault="0089323F" w:rsidP="0089323F">
            <w:pPr>
              <w:pStyle w:val="CDIFigure-Table-BodyTextCentre"/>
            </w:pPr>
            <w:r>
              <w:t>955 (59.7)</w:t>
            </w:r>
          </w:p>
        </w:tc>
        <w:tc>
          <w:tcPr>
            <w:tcW w:w="1356" w:type="dxa"/>
            <w:tcMar>
              <w:top w:w="113" w:type="dxa"/>
              <w:left w:w="113" w:type="dxa"/>
              <w:bottom w:w="113" w:type="dxa"/>
              <w:right w:w="113" w:type="dxa"/>
            </w:tcMar>
            <w:vAlign w:val="center"/>
          </w:tcPr>
          <w:p w14:paraId="287D9145" w14:textId="77777777" w:rsidR="0089323F" w:rsidRDefault="0089323F" w:rsidP="0089323F">
            <w:pPr>
              <w:pStyle w:val="CDIFigure-Table-BodyTextCentre"/>
            </w:pPr>
            <w:r>
              <w:t>572 (35.8)</w:t>
            </w:r>
          </w:p>
        </w:tc>
        <w:tc>
          <w:tcPr>
            <w:tcW w:w="1356" w:type="dxa"/>
            <w:tcMar>
              <w:top w:w="113" w:type="dxa"/>
              <w:left w:w="113" w:type="dxa"/>
              <w:bottom w:w="113" w:type="dxa"/>
              <w:right w:w="113" w:type="dxa"/>
            </w:tcMar>
            <w:vAlign w:val="center"/>
          </w:tcPr>
          <w:p w14:paraId="743AC0E8" w14:textId="77777777" w:rsidR="0089323F" w:rsidRDefault="0089323F" w:rsidP="0089323F">
            <w:pPr>
              <w:pStyle w:val="CDIFigure-Table-BodyTextCentre"/>
            </w:pPr>
            <w:r>
              <w:t>73 (4.6)</w:t>
            </w:r>
          </w:p>
        </w:tc>
      </w:tr>
      <w:tr w:rsidR="0089323F" w14:paraId="7F8B7394"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7186FC6A" w14:textId="77777777" w:rsidR="0089323F" w:rsidRDefault="0089323F" w:rsidP="0089323F">
            <w:pPr>
              <w:pStyle w:val="CDIFigure-Table-BodyTextLeft"/>
            </w:pPr>
            <w:r>
              <w:t>Hearing impairment</w:t>
            </w:r>
          </w:p>
        </w:tc>
        <w:tc>
          <w:tcPr>
            <w:tcW w:w="1356" w:type="dxa"/>
            <w:shd w:val="clear" w:color="auto" w:fill="F2F2F2" w:themeFill="background1" w:themeFillShade="F2"/>
            <w:tcMar>
              <w:top w:w="113" w:type="dxa"/>
              <w:left w:w="113" w:type="dxa"/>
              <w:bottom w:w="113" w:type="dxa"/>
              <w:right w:w="113" w:type="dxa"/>
            </w:tcMar>
            <w:vAlign w:val="center"/>
          </w:tcPr>
          <w:p w14:paraId="628E7288" w14:textId="77777777" w:rsidR="0089323F" w:rsidRDefault="0089323F" w:rsidP="0089323F">
            <w:pPr>
              <w:pStyle w:val="CDIFigure-Table-BodyTextCentre"/>
            </w:pPr>
            <w:r>
              <w:t>1,592 (1.4)</w:t>
            </w:r>
          </w:p>
        </w:tc>
        <w:tc>
          <w:tcPr>
            <w:tcW w:w="1356" w:type="dxa"/>
            <w:shd w:val="clear" w:color="auto" w:fill="F2F2F2" w:themeFill="background1" w:themeFillShade="F2"/>
            <w:tcMar>
              <w:top w:w="113" w:type="dxa"/>
              <w:left w:w="113" w:type="dxa"/>
              <w:bottom w:w="113" w:type="dxa"/>
              <w:right w:w="113" w:type="dxa"/>
            </w:tcMar>
            <w:vAlign w:val="center"/>
          </w:tcPr>
          <w:p w14:paraId="0DCCA759" w14:textId="77777777" w:rsidR="0089323F" w:rsidRDefault="0089323F" w:rsidP="0089323F">
            <w:pPr>
              <w:pStyle w:val="CDIFigure-Table-BodyTextCentre"/>
            </w:pPr>
            <w:r>
              <w:t>928 (58.3)</w:t>
            </w:r>
          </w:p>
        </w:tc>
        <w:tc>
          <w:tcPr>
            <w:tcW w:w="1356" w:type="dxa"/>
            <w:shd w:val="clear" w:color="auto" w:fill="F2F2F2" w:themeFill="background1" w:themeFillShade="F2"/>
            <w:tcMar>
              <w:top w:w="113" w:type="dxa"/>
              <w:left w:w="113" w:type="dxa"/>
              <w:bottom w:w="113" w:type="dxa"/>
              <w:right w:w="113" w:type="dxa"/>
            </w:tcMar>
            <w:vAlign w:val="center"/>
          </w:tcPr>
          <w:p w14:paraId="7F3CAFEF" w14:textId="77777777" w:rsidR="0089323F" w:rsidRDefault="0089323F" w:rsidP="0089323F">
            <w:pPr>
              <w:pStyle w:val="CDIFigure-Table-BodyTextCentre"/>
            </w:pPr>
            <w:r>
              <w:t>596 (37.4)</w:t>
            </w:r>
          </w:p>
        </w:tc>
        <w:tc>
          <w:tcPr>
            <w:tcW w:w="1356" w:type="dxa"/>
            <w:shd w:val="clear" w:color="auto" w:fill="F2F2F2" w:themeFill="background1" w:themeFillShade="F2"/>
            <w:tcMar>
              <w:top w:w="113" w:type="dxa"/>
              <w:left w:w="113" w:type="dxa"/>
              <w:bottom w:w="113" w:type="dxa"/>
              <w:right w:w="113" w:type="dxa"/>
            </w:tcMar>
            <w:vAlign w:val="center"/>
          </w:tcPr>
          <w:p w14:paraId="56366347" w14:textId="77777777" w:rsidR="0089323F" w:rsidRDefault="0089323F" w:rsidP="0089323F">
            <w:pPr>
              <w:pStyle w:val="CDIFigure-Table-BodyTextCentre"/>
            </w:pPr>
            <w:r>
              <w:t>69 (4.3)</w:t>
            </w:r>
          </w:p>
        </w:tc>
      </w:tr>
      <w:tr w:rsidR="0089323F" w14:paraId="643C89E7" w14:textId="77777777" w:rsidTr="0089323F">
        <w:trPr>
          <w:divId w:val="935526654"/>
          <w:trHeight w:val="20"/>
        </w:trPr>
        <w:tc>
          <w:tcPr>
            <w:tcW w:w="4082" w:type="dxa"/>
            <w:tcMar>
              <w:top w:w="113" w:type="dxa"/>
              <w:left w:w="113" w:type="dxa"/>
              <w:bottom w:w="113" w:type="dxa"/>
              <w:right w:w="113" w:type="dxa"/>
            </w:tcMar>
            <w:vAlign w:val="center"/>
          </w:tcPr>
          <w:p w14:paraId="23DDFE56" w14:textId="77777777" w:rsidR="0089323F" w:rsidRDefault="0089323F" w:rsidP="0089323F">
            <w:pPr>
              <w:pStyle w:val="CDIFigure-Table-BodyTextLeft"/>
            </w:pPr>
            <w:r>
              <w:t>Migraine</w:t>
            </w:r>
          </w:p>
        </w:tc>
        <w:tc>
          <w:tcPr>
            <w:tcW w:w="1356" w:type="dxa"/>
            <w:tcMar>
              <w:top w:w="113" w:type="dxa"/>
              <w:left w:w="113" w:type="dxa"/>
              <w:bottom w:w="113" w:type="dxa"/>
              <w:right w:w="113" w:type="dxa"/>
            </w:tcMar>
            <w:vAlign w:val="center"/>
          </w:tcPr>
          <w:p w14:paraId="1672EF9A" w14:textId="77777777" w:rsidR="0089323F" w:rsidRDefault="0089323F" w:rsidP="0089323F">
            <w:pPr>
              <w:pStyle w:val="CDIFigure-Table-BodyTextCentre"/>
            </w:pPr>
            <w:r>
              <w:t>1,578 (1.4)</w:t>
            </w:r>
          </w:p>
        </w:tc>
        <w:tc>
          <w:tcPr>
            <w:tcW w:w="1356" w:type="dxa"/>
            <w:tcMar>
              <w:top w:w="113" w:type="dxa"/>
              <w:left w:w="113" w:type="dxa"/>
              <w:bottom w:w="113" w:type="dxa"/>
              <w:right w:w="113" w:type="dxa"/>
            </w:tcMar>
            <w:vAlign w:val="center"/>
          </w:tcPr>
          <w:p w14:paraId="525EAFED" w14:textId="77777777" w:rsidR="0089323F" w:rsidRDefault="0089323F" w:rsidP="0089323F">
            <w:pPr>
              <w:pStyle w:val="CDIFigure-Table-BodyTextCentre"/>
            </w:pPr>
            <w:r>
              <w:t>893 (56.6)</w:t>
            </w:r>
          </w:p>
        </w:tc>
        <w:tc>
          <w:tcPr>
            <w:tcW w:w="1356" w:type="dxa"/>
            <w:tcMar>
              <w:top w:w="113" w:type="dxa"/>
              <w:left w:w="113" w:type="dxa"/>
              <w:bottom w:w="113" w:type="dxa"/>
              <w:right w:w="113" w:type="dxa"/>
            </w:tcMar>
            <w:vAlign w:val="center"/>
          </w:tcPr>
          <w:p w14:paraId="158FEDCB" w14:textId="77777777" w:rsidR="0089323F" w:rsidRDefault="0089323F" w:rsidP="0089323F">
            <w:pPr>
              <w:pStyle w:val="CDIFigure-Table-BodyTextCentre"/>
            </w:pPr>
            <w:r>
              <w:t>602 (38.1)</w:t>
            </w:r>
          </w:p>
        </w:tc>
        <w:tc>
          <w:tcPr>
            <w:tcW w:w="1356" w:type="dxa"/>
            <w:tcMar>
              <w:top w:w="113" w:type="dxa"/>
              <w:left w:w="113" w:type="dxa"/>
              <w:bottom w:w="113" w:type="dxa"/>
              <w:right w:w="113" w:type="dxa"/>
            </w:tcMar>
            <w:vAlign w:val="center"/>
          </w:tcPr>
          <w:p w14:paraId="4DA23E4A" w14:textId="77777777" w:rsidR="0089323F" w:rsidRDefault="0089323F" w:rsidP="0089323F">
            <w:pPr>
              <w:pStyle w:val="CDIFigure-Table-BodyTextCentre"/>
            </w:pPr>
            <w:r>
              <w:t>87 (5.5)</w:t>
            </w:r>
          </w:p>
        </w:tc>
      </w:tr>
      <w:tr w:rsidR="0089323F" w14:paraId="64480627"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018347C7" w14:textId="77777777" w:rsidR="0089323F" w:rsidRDefault="0089323F" w:rsidP="0089323F">
            <w:pPr>
              <w:pStyle w:val="CDIFigure-Table-BodyTextLeft"/>
            </w:pPr>
            <w:r>
              <w:t>Fibrin D dimer increased</w:t>
            </w:r>
          </w:p>
        </w:tc>
        <w:tc>
          <w:tcPr>
            <w:tcW w:w="1356" w:type="dxa"/>
            <w:shd w:val="clear" w:color="auto" w:fill="F2F2F2" w:themeFill="background1" w:themeFillShade="F2"/>
            <w:tcMar>
              <w:top w:w="113" w:type="dxa"/>
              <w:left w:w="113" w:type="dxa"/>
              <w:bottom w:w="113" w:type="dxa"/>
              <w:right w:w="113" w:type="dxa"/>
            </w:tcMar>
            <w:vAlign w:val="center"/>
          </w:tcPr>
          <w:p w14:paraId="24653D24" w14:textId="77777777" w:rsidR="0089323F" w:rsidRDefault="0089323F" w:rsidP="0089323F">
            <w:pPr>
              <w:pStyle w:val="CDIFigure-Table-BodyTextCentre"/>
            </w:pPr>
            <w:r>
              <w:t>1,570 (1.4)</w:t>
            </w:r>
          </w:p>
        </w:tc>
        <w:tc>
          <w:tcPr>
            <w:tcW w:w="1356" w:type="dxa"/>
            <w:shd w:val="clear" w:color="auto" w:fill="F2F2F2" w:themeFill="background1" w:themeFillShade="F2"/>
            <w:tcMar>
              <w:top w:w="113" w:type="dxa"/>
              <w:left w:w="113" w:type="dxa"/>
              <w:bottom w:w="113" w:type="dxa"/>
              <w:right w:w="113" w:type="dxa"/>
            </w:tcMar>
            <w:vAlign w:val="center"/>
          </w:tcPr>
          <w:p w14:paraId="5AE7491F" w14:textId="77777777" w:rsidR="0089323F" w:rsidRDefault="0089323F" w:rsidP="0089323F">
            <w:pPr>
              <w:pStyle w:val="CDIFigure-Table-BodyTextCentre"/>
            </w:pPr>
            <w:r>
              <w:t>362 (23.1)</w:t>
            </w:r>
          </w:p>
        </w:tc>
        <w:tc>
          <w:tcPr>
            <w:tcW w:w="1356" w:type="dxa"/>
            <w:shd w:val="clear" w:color="auto" w:fill="F2F2F2" w:themeFill="background1" w:themeFillShade="F2"/>
            <w:tcMar>
              <w:top w:w="113" w:type="dxa"/>
              <w:left w:w="113" w:type="dxa"/>
              <w:bottom w:w="113" w:type="dxa"/>
              <w:right w:w="113" w:type="dxa"/>
            </w:tcMar>
            <w:vAlign w:val="center"/>
          </w:tcPr>
          <w:p w14:paraId="75ED14B2" w14:textId="77777777" w:rsidR="0089323F" w:rsidRDefault="0089323F" w:rsidP="0089323F">
            <w:pPr>
              <w:pStyle w:val="CDIFigure-Table-BodyTextCentre"/>
            </w:pPr>
            <w:r>
              <w:t>1,189 (75.7)</w:t>
            </w:r>
          </w:p>
        </w:tc>
        <w:tc>
          <w:tcPr>
            <w:tcW w:w="1356" w:type="dxa"/>
            <w:shd w:val="clear" w:color="auto" w:fill="F2F2F2" w:themeFill="background1" w:themeFillShade="F2"/>
            <w:tcMar>
              <w:top w:w="113" w:type="dxa"/>
              <w:left w:w="113" w:type="dxa"/>
              <w:bottom w:w="113" w:type="dxa"/>
              <w:right w:w="113" w:type="dxa"/>
            </w:tcMar>
            <w:vAlign w:val="center"/>
          </w:tcPr>
          <w:p w14:paraId="233FDE83" w14:textId="77777777" w:rsidR="0089323F" w:rsidRDefault="0089323F" w:rsidP="0089323F">
            <w:pPr>
              <w:pStyle w:val="CDIFigure-Table-BodyTextCentre"/>
            </w:pPr>
            <w:r>
              <w:t>25 (1.6)</w:t>
            </w:r>
          </w:p>
        </w:tc>
      </w:tr>
      <w:tr w:rsidR="0089323F" w14:paraId="16AC73C5" w14:textId="77777777" w:rsidTr="0089323F">
        <w:trPr>
          <w:divId w:val="935526654"/>
          <w:trHeight w:val="20"/>
        </w:trPr>
        <w:tc>
          <w:tcPr>
            <w:tcW w:w="4082" w:type="dxa"/>
            <w:tcMar>
              <w:top w:w="113" w:type="dxa"/>
              <w:left w:w="113" w:type="dxa"/>
              <w:bottom w:w="113" w:type="dxa"/>
              <w:right w:w="113" w:type="dxa"/>
            </w:tcMar>
            <w:vAlign w:val="center"/>
          </w:tcPr>
          <w:p w14:paraId="3A20F9B5" w14:textId="77777777" w:rsidR="0089323F" w:rsidRDefault="0089323F" w:rsidP="0089323F">
            <w:pPr>
              <w:pStyle w:val="CDIFigure-Table-BodyTextLeft"/>
            </w:pPr>
            <w:r>
              <w:t>Tremor</w:t>
            </w:r>
          </w:p>
        </w:tc>
        <w:tc>
          <w:tcPr>
            <w:tcW w:w="1356" w:type="dxa"/>
            <w:tcMar>
              <w:top w:w="113" w:type="dxa"/>
              <w:left w:w="113" w:type="dxa"/>
              <w:bottom w:w="113" w:type="dxa"/>
              <w:right w:w="113" w:type="dxa"/>
            </w:tcMar>
            <w:vAlign w:val="center"/>
          </w:tcPr>
          <w:p w14:paraId="1E18720B" w14:textId="77777777" w:rsidR="0089323F" w:rsidRDefault="0089323F" w:rsidP="0089323F">
            <w:pPr>
              <w:pStyle w:val="CDIFigure-Table-BodyTextCentre"/>
            </w:pPr>
            <w:r>
              <w:t>1,514 (1.4)</w:t>
            </w:r>
          </w:p>
        </w:tc>
        <w:tc>
          <w:tcPr>
            <w:tcW w:w="1356" w:type="dxa"/>
            <w:tcMar>
              <w:top w:w="113" w:type="dxa"/>
              <w:left w:w="113" w:type="dxa"/>
              <w:bottom w:w="113" w:type="dxa"/>
              <w:right w:w="113" w:type="dxa"/>
            </w:tcMar>
            <w:vAlign w:val="center"/>
          </w:tcPr>
          <w:p w14:paraId="2ADBC8F1" w14:textId="77777777" w:rsidR="0089323F" w:rsidRDefault="0089323F" w:rsidP="0089323F">
            <w:pPr>
              <w:pStyle w:val="CDIFigure-Table-BodyTextCentre"/>
            </w:pPr>
            <w:r>
              <w:t>746 (49.3)</w:t>
            </w:r>
          </w:p>
        </w:tc>
        <w:tc>
          <w:tcPr>
            <w:tcW w:w="1356" w:type="dxa"/>
            <w:tcMar>
              <w:top w:w="113" w:type="dxa"/>
              <w:left w:w="113" w:type="dxa"/>
              <w:bottom w:w="113" w:type="dxa"/>
              <w:right w:w="113" w:type="dxa"/>
            </w:tcMar>
            <w:vAlign w:val="center"/>
          </w:tcPr>
          <w:p w14:paraId="4CB8A130" w14:textId="77777777" w:rsidR="0089323F" w:rsidRDefault="0089323F" w:rsidP="0089323F">
            <w:pPr>
              <w:pStyle w:val="CDIFigure-Table-BodyTextCentre"/>
            </w:pPr>
            <w:r>
              <w:t>675 (44.6)</w:t>
            </w:r>
          </w:p>
        </w:tc>
        <w:tc>
          <w:tcPr>
            <w:tcW w:w="1356" w:type="dxa"/>
            <w:tcMar>
              <w:top w:w="113" w:type="dxa"/>
              <w:left w:w="113" w:type="dxa"/>
              <w:bottom w:w="113" w:type="dxa"/>
              <w:right w:w="113" w:type="dxa"/>
            </w:tcMar>
            <w:vAlign w:val="center"/>
          </w:tcPr>
          <w:p w14:paraId="620C8DE5" w14:textId="77777777" w:rsidR="0089323F" w:rsidRDefault="0089323F" w:rsidP="0089323F">
            <w:pPr>
              <w:pStyle w:val="CDIFigure-Table-BodyTextCentre"/>
            </w:pPr>
            <w:r>
              <w:t>84 (5.5)</w:t>
            </w:r>
          </w:p>
        </w:tc>
      </w:tr>
      <w:tr w:rsidR="0089323F" w14:paraId="466EFD68"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70E1FD6B" w14:textId="77777777" w:rsidR="0089323F" w:rsidRDefault="0089323F" w:rsidP="0089323F">
            <w:pPr>
              <w:pStyle w:val="CDIFigure-Table-BodyTextLeft"/>
            </w:pPr>
            <w:r>
              <w:t>Back pain</w:t>
            </w:r>
          </w:p>
        </w:tc>
        <w:tc>
          <w:tcPr>
            <w:tcW w:w="1356" w:type="dxa"/>
            <w:shd w:val="clear" w:color="auto" w:fill="F2F2F2" w:themeFill="background1" w:themeFillShade="F2"/>
            <w:tcMar>
              <w:top w:w="113" w:type="dxa"/>
              <w:left w:w="113" w:type="dxa"/>
              <w:bottom w:w="113" w:type="dxa"/>
              <w:right w:w="113" w:type="dxa"/>
            </w:tcMar>
            <w:vAlign w:val="center"/>
          </w:tcPr>
          <w:p w14:paraId="28C3DC32" w14:textId="77777777" w:rsidR="0089323F" w:rsidRDefault="0089323F" w:rsidP="0089323F">
            <w:pPr>
              <w:pStyle w:val="CDIFigure-Table-BodyTextCentre"/>
            </w:pPr>
            <w:r>
              <w:t>1,483 (1.3)</w:t>
            </w:r>
          </w:p>
        </w:tc>
        <w:tc>
          <w:tcPr>
            <w:tcW w:w="1356" w:type="dxa"/>
            <w:shd w:val="clear" w:color="auto" w:fill="F2F2F2" w:themeFill="background1" w:themeFillShade="F2"/>
            <w:tcMar>
              <w:top w:w="113" w:type="dxa"/>
              <w:left w:w="113" w:type="dxa"/>
              <w:bottom w:w="113" w:type="dxa"/>
              <w:right w:w="113" w:type="dxa"/>
            </w:tcMar>
            <w:vAlign w:val="center"/>
          </w:tcPr>
          <w:p w14:paraId="7CE33A69" w14:textId="77777777" w:rsidR="0089323F" w:rsidRDefault="0089323F" w:rsidP="0089323F">
            <w:pPr>
              <w:pStyle w:val="CDIFigure-Table-BodyTextCentre"/>
            </w:pPr>
            <w:r>
              <w:t>754 (50.8)</w:t>
            </w:r>
          </w:p>
        </w:tc>
        <w:tc>
          <w:tcPr>
            <w:tcW w:w="1356" w:type="dxa"/>
            <w:shd w:val="clear" w:color="auto" w:fill="F2F2F2" w:themeFill="background1" w:themeFillShade="F2"/>
            <w:tcMar>
              <w:top w:w="113" w:type="dxa"/>
              <w:left w:w="113" w:type="dxa"/>
              <w:bottom w:w="113" w:type="dxa"/>
              <w:right w:w="113" w:type="dxa"/>
            </w:tcMar>
            <w:vAlign w:val="center"/>
          </w:tcPr>
          <w:p w14:paraId="3444BC97" w14:textId="77777777" w:rsidR="0089323F" w:rsidRDefault="0089323F" w:rsidP="0089323F">
            <w:pPr>
              <w:pStyle w:val="CDIFigure-Table-BodyTextCentre"/>
            </w:pPr>
            <w:r>
              <w:t>663 (44.7)</w:t>
            </w:r>
          </w:p>
        </w:tc>
        <w:tc>
          <w:tcPr>
            <w:tcW w:w="1356" w:type="dxa"/>
            <w:shd w:val="clear" w:color="auto" w:fill="F2F2F2" w:themeFill="background1" w:themeFillShade="F2"/>
            <w:tcMar>
              <w:top w:w="113" w:type="dxa"/>
              <w:left w:w="113" w:type="dxa"/>
              <w:bottom w:w="113" w:type="dxa"/>
              <w:right w:w="113" w:type="dxa"/>
            </w:tcMar>
            <w:vAlign w:val="center"/>
          </w:tcPr>
          <w:p w14:paraId="4C03BCCE" w14:textId="77777777" w:rsidR="0089323F" w:rsidRDefault="0089323F" w:rsidP="0089323F">
            <w:pPr>
              <w:pStyle w:val="CDIFigure-Table-BodyTextCentre"/>
            </w:pPr>
            <w:r>
              <w:t>56 (3.8)</w:t>
            </w:r>
          </w:p>
        </w:tc>
      </w:tr>
      <w:tr w:rsidR="0089323F" w14:paraId="677B3E3B" w14:textId="77777777" w:rsidTr="0089323F">
        <w:trPr>
          <w:divId w:val="935526654"/>
          <w:trHeight w:val="20"/>
        </w:trPr>
        <w:tc>
          <w:tcPr>
            <w:tcW w:w="4082" w:type="dxa"/>
            <w:tcMar>
              <w:top w:w="113" w:type="dxa"/>
              <w:left w:w="113" w:type="dxa"/>
              <w:bottom w:w="113" w:type="dxa"/>
              <w:right w:w="113" w:type="dxa"/>
            </w:tcMar>
            <w:vAlign w:val="center"/>
          </w:tcPr>
          <w:p w14:paraId="2AFC5F11" w14:textId="77777777" w:rsidR="0089323F" w:rsidRDefault="0089323F" w:rsidP="0089323F">
            <w:pPr>
              <w:pStyle w:val="CDIFigure-Table-BodyTextLeft"/>
            </w:pPr>
            <w:r>
              <w:t>Insomnia</w:t>
            </w:r>
          </w:p>
        </w:tc>
        <w:tc>
          <w:tcPr>
            <w:tcW w:w="1356" w:type="dxa"/>
            <w:tcMar>
              <w:top w:w="113" w:type="dxa"/>
              <w:left w:w="113" w:type="dxa"/>
              <w:bottom w:w="113" w:type="dxa"/>
              <w:right w:w="113" w:type="dxa"/>
            </w:tcMar>
            <w:vAlign w:val="center"/>
          </w:tcPr>
          <w:p w14:paraId="2ED7D250" w14:textId="77777777" w:rsidR="0089323F" w:rsidRDefault="0089323F" w:rsidP="0089323F">
            <w:pPr>
              <w:pStyle w:val="CDIFigure-Table-BodyTextCentre"/>
            </w:pPr>
            <w:r>
              <w:t>1,483 (1.3)</w:t>
            </w:r>
          </w:p>
        </w:tc>
        <w:tc>
          <w:tcPr>
            <w:tcW w:w="1356" w:type="dxa"/>
            <w:tcMar>
              <w:top w:w="113" w:type="dxa"/>
              <w:left w:w="113" w:type="dxa"/>
              <w:bottom w:w="113" w:type="dxa"/>
              <w:right w:w="113" w:type="dxa"/>
            </w:tcMar>
            <w:vAlign w:val="center"/>
          </w:tcPr>
          <w:p w14:paraId="28AC1750" w14:textId="77777777" w:rsidR="0089323F" w:rsidRDefault="0089323F" w:rsidP="0089323F">
            <w:pPr>
              <w:pStyle w:val="CDIFigure-Table-BodyTextCentre"/>
            </w:pPr>
            <w:r>
              <w:t>793 (53.5)</w:t>
            </w:r>
          </w:p>
        </w:tc>
        <w:tc>
          <w:tcPr>
            <w:tcW w:w="1356" w:type="dxa"/>
            <w:tcMar>
              <w:top w:w="113" w:type="dxa"/>
              <w:left w:w="113" w:type="dxa"/>
              <w:bottom w:w="113" w:type="dxa"/>
              <w:right w:w="113" w:type="dxa"/>
            </w:tcMar>
            <w:vAlign w:val="center"/>
          </w:tcPr>
          <w:p w14:paraId="6D072024" w14:textId="77777777" w:rsidR="0089323F" w:rsidRDefault="0089323F" w:rsidP="0089323F">
            <w:pPr>
              <w:pStyle w:val="CDIFigure-Table-BodyTextCentre"/>
            </w:pPr>
            <w:r>
              <w:t>641 (43.2)</w:t>
            </w:r>
          </w:p>
        </w:tc>
        <w:tc>
          <w:tcPr>
            <w:tcW w:w="1356" w:type="dxa"/>
            <w:tcMar>
              <w:top w:w="113" w:type="dxa"/>
              <w:left w:w="113" w:type="dxa"/>
              <w:bottom w:w="113" w:type="dxa"/>
              <w:right w:w="113" w:type="dxa"/>
            </w:tcMar>
            <w:vAlign w:val="center"/>
          </w:tcPr>
          <w:p w14:paraId="4568FB3D" w14:textId="77777777" w:rsidR="0089323F" w:rsidRDefault="0089323F" w:rsidP="0089323F">
            <w:pPr>
              <w:pStyle w:val="CDIFigure-Table-BodyTextCentre"/>
            </w:pPr>
            <w:r>
              <w:t>42 (2.8)</w:t>
            </w:r>
          </w:p>
        </w:tc>
      </w:tr>
      <w:tr w:rsidR="0089323F" w14:paraId="545B60F9"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7E0F4CEC" w14:textId="77777777" w:rsidR="0089323F" w:rsidRDefault="0089323F" w:rsidP="0089323F">
            <w:pPr>
              <w:pStyle w:val="CDIFigure-Table-BodyTextLeft"/>
            </w:pPr>
            <w:r>
              <w:t>Angioedema</w:t>
            </w:r>
          </w:p>
        </w:tc>
        <w:tc>
          <w:tcPr>
            <w:tcW w:w="1356" w:type="dxa"/>
            <w:shd w:val="clear" w:color="auto" w:fill="F2F2F2" w:themeFill="background1" w:themeFillShade="F2"/>
            <w:tcMar>
              <w:top w:w="113" w:type="dxa"/>
              <w:left w:w="113" w:type="dxa"/>
              <w:bottom w:w="113" w:type="dxa"/>
              <w:right w:w="113" w:type="dxa"/>
            </w:tcMar>
            <w:vAlign w:val="center"/>
          </w:tcPr>
          <w:p w14:paraId="2C0704BA" w14:textId="77777777" w:rsidR="0089323F" w:rsidRDefault="0089323F" w:rsidP="0089323F">
            <w:pPr>
              <w:pStyle w:val="CDIFigure-Table-BodyTextCentre"/>
            </w:pPr>
            <w:r>
              <w:t>1,390 (1.2)</w:t>
            </w:r>
          </w:p>
        </w:tc>
        <w:tc>
          <w:tcPr>
            <w:tcW w:w="1356" w:type="dxa"/>
            <w:shd w:val="clear" w:color="auto" w:fill="F2F2F2" w:themeFill="background1" w:themeFillShade="F2"/>
            <w:tcMar>
              <w:top w:w="113" w:type="dxa"/>
              <w:left w:w="113" w:type="dxa"/>
              <w:bottom w:w="113" w:type="dxa"/>
              <w:right w:w="113" w:type="dxa"/>
            </w:tcMar>
            <w:vAlign w:val="center"/>
          </w:tcPr>
          <w:p w14:paraId="244D2B50" w14:textId="77777777" w:rsidR="0089323F" w:rsidRDefault="0089323F" w:rsidP="0089323F">
            <w:pPr>
              <w:pStyle w:val="CDIFigure-Table-BodyTextCentre"/>
            </w:pPr>
            <w:r>
              <w:t>895 (64.4)</w:t>
            </w:r>
          </w:p>
        </w:tc>
        <w:tc>
          <w:tcPr>
            <w:tcW w:w="1356" w:type="dxa"/>
            <w:shd w:val="clear" w:color="auto" w:fill="F2F2F2" w:themeFill="background1" w:themeFillShade="F2"/>
            <w:tcMar>
              <w:top w:w="113" w:type="dxa"/>
              <w:left w:w="113" w:type="dxa"/>
              <w:bottom w:w="113" w:type="dxa"/>
              <w:right w:w="113" w:type="dxa"/>
            </w:tcMar>
            <w:vAlign w:val="center"/>
          </w:tcPr>
          <w:p w14:paraId="3F836A70" w14:textId="77777777" w:rsidR="0089323F" w:rsidRDefault="0089323F" w:rsidP="0089323F">
            <w:pPr>
              <w:pStyle w:val="CDIFigure-Table-BodyTextCentre"/>
            </w:pPr>
            <w:r>
              <w:t>441 (31.7)</w:t>
            </w:r>
          </w:p>
        </w:tc>
        <w:tc>
          <w:tcPr>
            <w:tcW w:w="1356" w:type="dxa"/>
            <w:shd w:val="clear" w:color="auto" w:fill="F2F2F2" w:themeFill="background1" w:themeFillShade="F2"/>
            <w:tcMar>
              <w:top w:w="113" w:type="dxa"/>
              <w:left w:w="113" w:type="dxa"/>
              <w:bottom w:w="113" w:type="dxa"/>
              <w:right w:w="113" w:type="dxa"/>
            </w:tcMar>
            <w:vAlign w:val="center"/>
          </w:tcPr>
          <w:p w14:paraId="2F972461" w14:textId="77777777" w:rsidR="0089323F" w:rsidRDefault="0089323F" w:rsidP="0089323F">
            <w:pPr>
              <w:pStyle w:val="CDIFigure-Table-BodyTextCentre"/>
            </w:pPr>
            <w:r>
              <w:t>56 (4.0)</w:t>
            </w:r>
          </w:p>
        </w:tc>
      </w:tr>
      <w:tr w:rsidR="0089323F" w14:paraId="31FC7BB6" w14:textId="77777777" w:rsidTr="0089323F">
        <w:trPr>
          <w:divId w:val="935526654"/>
          <w:trHeight w:val="20"/>
        </w:trPr>
        <w:tc>
          <w:tcPr>
            <w:tcW w:w="4082" w:type="dxa"/>
            <w:tcMar>
              <w:top w:w="113" w:type="dxa"/>
              <w:left w:w="113" w:type="dxa"/>
              <w:bottom w:w="113" w:type="dxa"/>
              <w:right w:w="113" w:type="dxa"/>
            </w:tcMar>
            <w:vAlign w:val="center"/>
          </w:tcPr>
          <w:p w14:paraId="50A41217" w14:textId="77777777" w:rsidR="0089323F" w:rsidRDefault="0089323F" w:rsidP="0089323F">
            <w:pPr>
              <w:pStyle w:val="CDIFigure-Table-BodyTextLeft"/>
            </w:pPr>
            <w:r>
              <w:t>Asthenia</w:t>
            </w:r>
          </w:p>
        </w:tc>
        <w:tc>
          <w:tcPr>
            <w:tcW w:w="1356" w:type="dxa"/>
            <w:tcMar>
              <w:top w:w="113" w:type="dxa"/>
              <w:left w:w="113" w:type="dxa"/>
              <w:bottom w:w="113" w:type="dxa"/>
              <w:right w:w="113" w:type="dxa"/>
            </w:tcMar>
            <w:vAlign w:val="center"/>
          </w:tcPr>
          <w:p w14:paraId="4156C9D5" w14:textId="77777777" w:rsidR="0089323F" w:rsidRDefault="0089323F" w:rsidP="0089323F">
            <w:pPr>
              <w:pStyle w:val="CDIFigure-Table-BodyTextCentre"/>
            </w:pPr>
            <w:r>
              <w:t>1,376 (1.2)</w:t>
            </w:r>
          </w:p>
        </w:tc>
        <w:tc>
          <w:tcPr>
            <w:tcW w:w="1356" w:type="dxa"/>
            <w:tcMar>
              <w:top w:w="113" w:type="dxa"/>
              <w:left w:w="113" w:type="dxa"/>
              <w:bottom w:w="113" w:type="dxa"/>
              <w:right w:w="113" w:type="dxa"/>
            </w:tcMar>
            <w:vAlign w:val="center"/>
          </w:tcPr>
          <w:p w14:paraId="3989C32D" w14:textId="77777777" w:rsidR="0089323F" w:rsidRDefault="0089323F" w:rsidP="0089323F">
            <w:pPr>
              <w:pStyle w:val="CDIFigure-Table-BodyTextCentre"/>
            </w:pPr>
            <w:r>
              <w:t>660 (48.0)</w:t>
            </w:r>
          </w:p>
        </w:tc>
        <w:tc>
          <w:tcPr>
            <w:tcW w:w="1356" w:type="dxa"/>
            <w:tcMar>
              <w:top w:w="113" w:type="dxa"/>
              <w:left w:w="113" w:type="dxa"/>
              <w:bottom w:w="113" w:type="dxa"/>
              <w:right w:w="113" w:type="dxa"/>
            </w:tcMar>
            <w:vAlign w:val="center"/>
          </w:tcPr>
          <w:p w14:paraId="7511642B" w14:textId="77777777" w:rsidR="0089323F" w:rsidRDefault="0089323F" w:rsidP="0089323F">
            <w:pPr>
              <w:pStyle w:val="CDIFigure-Table-BodyTextCentre"/>
            </w:pPr>
            <w:r>
              <w:t>644 (46.8)</w:t>
            </w:r>
          </w:p>
        </w:tc>
        <w:tc>
          <w:tcPr>
            <w:tcW w:w="1356" w:type="dxa"/>
            <w:tcMar>
              <w:top w:w="113" w:type="dxa"/>
              <w:left w:w="113" w:type="dxa"/>
              <w:bottom w:w="113" w:type="dxa"/>
              <w:right w:w="113" w:type="dxa"/>
            </w:tcMar>
            <w:vAlign w:val="center"/>
          </w:tcPr>
          <w:p w14:paraId="373CC91F" w14:textId="77777777" w:rsidR="0089323F" w:rsidRDefault="0089323F" w:rsidP="0089323F">
            <w:pPr>
              <w:pStyle w:val="CDIFigure-Table-BodyTextCentre"/>
            </w:pPr>
            <w:r>
              <w:t>68 (4.9)</w:t>
            </w:r>
          </w:p>
        </w:tc>
      </w:tr>
      <w:tr w:rsidR="0089323F" w14:paraId="393EFD7C"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3E22B99A" w14:textId="77777777" w:rsidR="0089323F" w:rsidRDefault="0089323F" w:rsidP="0089323F">
            <w:pPr>
              <w:pStyle w:val="CDIFigure-Table-BodyTextLeft"/>
            </w:pPr>
            <w:r>
              <w:t>Vestibular disorders</w:t>
            </w:r>
          </w:p>
        </w:tc>
        <w:tc>
          <w:tcPr>
            <w:tcW w:w="1356" w:type="dxa"/>
            <w:shd w:val="clear" w:color="auto" w:fill="F2F2F2" w:themeFill="background1" w:themeFillShade="F2"/>
            <w:tcMar>
              <w:top w:w="113" w:type="dxa"/>
              <w:left w:w="113" w:type="dxa"/>
              <w:bottom w:w="113" w:type="dxa"/>
              <w:right w:w="113" w:type="dxa"/>
            </w:tcMar>
            <w:vAlign w:val="center"/>
          </w:tcPr>
          <w:p w14:paraId="55372388" w14:textId="77777777" w:rsidR="0089323F" w:rsidRDefault="0089323F" w:rsidP="0089323F">
            <w:pPr>
              <w:pStyle w:val="CDIFigure-Table-BodyTextCentre"/>
            </w:pPr>
            <w:r>
              <w:t>1,348 (1.2)</w:t>
            </w:r>
          </w:p>
        </w:tc>
        <w:tc>
          <w:tcPr>
            <w:tcW w:w="1356" w:type="dxa"/>
            <w:shd w:val="clear" w:color="auto" w:fill="F2F2F2" w:themeFill="background1" w:themeFillShade="F2"/>
            <w:tcMar>
              <w:top w:w="113" w:type="dxa"/>
              <w:left w:w="113" w:type="dxa"/>
              <w:bottom w:w="113" w:type="dxa"/>
              <w:right w:w="113" w:type="dxa"/>
            </w:tcMar>
            <w:vAlign w:val="center"/>
          </w:tcPr>
          <w:p w14:paraId="3F5B0966" w14:textId="77777777" w:rsidR="0089323F" w:rsidRDefault="0089323F" w:rsidP="0089323F">
            <w:pPr>
              <w:pStyle w:val="CDIFigure-Table-BodyTextCentre"/>
            </w:pPr>
            <w:r>
              <w:t>732 (54.3)</w:t>
            </w:r>
          </w:p>
        </w:tc>
        <w:tc>
          <w:tcPr>
            <w:tcW w:w="1356" w:type="dxa"/>
            <w:shd w:val="clear" w:color="auto" w:fill="F2F2F2" w:themeFill="background1" w:themeFillShade="F2"/>
            <w:tcMar>
              <w:top w:w="113" w:type="dxa"/>
              <w:left w:w="113" w:type="dxa"/>
              <w:bottom w:w="113" w:type="dxa"/>
              <w:right w:w="113" w:type="dxa"/>
            </w:tcMar>
            <w:vAlign w:val="center"/>
          </w:tcPr>
          <w:p w14:paraId="22846499" w14:textId="77777777" w:rsidR="0089323F" w:rsidRDefault="0089323F" w:rsidP="0089323F">
            <w:pPr>
              <w:pStyle w:val="CDIFigure-Table-BodyTextCentre"/>
            </w:pPr>
            <w:r>
              <w:t>568 (42.1)</w:t>
            </w:r>
          </w:p>
        </w:tc>
        <w:tc>
          <w:tcPr>
            <w:tcW w:w="1356" w:type="dxa"/>
            <w:shd w:val="clear" w:color="auto" w:fill="F2F2F2" w:themeFill="background1" w:themeFillShade="F2"/>
            <w:tcMar>
              <w:top w:w="113" w:type="dxa"/>
              <w:left w:w="113" w:type="dxa"/>
              <w:bottom w:w="113" w:type="dxa"/>
              <w:right w:w="113" w:type="dxa"/>
            </w:tcMar>
            <w:vAlign w:val="center"/>
          </w:tcPr>
          <w:p w14:paraId="4C14138E" w14:textId="77777777" w:rsidR="0089323F" w:rsidRDefault="0089323F" w:rsidP="0089323F">
            <w:pPr>
              <w:pStyle w:val="CDIFigure-Table-BodyTextCentre"/>
            </w:pPr>
            <w:r>
              <w:t>46 (3.4)</w:t>
            </w:r>
          </w:p>
        </w:tc>
      </w:tr>
      <w:tr w:rsidR="0089323F" w14:paraId="049ED458" w14:textId="77777777" w:rsidTr="0089323F">
        <w:trPr>
          <w:divId w:val="935526654"/>
          <w:trHeight w:val="20"/>
        </w:trPr>
        <w:tc>
          <w:tcPr>
            <w:tcW w:w="4082" w:type="dxa"/>
            <w:tcMar>
              <w:top w:w="113" w:type="dxa"/>
              <w:left w:w="113" w:type="dxa"/>
              <w:bottom w:w="113" w:type="dxa"/>
              <w:right w:w="113" w:type="dxa"/>
            </w:tcMar>
            <w:vAlign w:val="center"/>
          </w:tcPr>
          <w:p w14:paraId="408F6227" w14:textId="77777777" w:rsidR="0089323F" w:rsidRDefault="0089323F" w:rsidP="0089323F">
            <w:pPr>
              <w:pStyle w:val="CDIFigure-Table-BodyTextLeft"/>
            </w:pPr>
            <w:r>
              <w:t>Medication errors</w:t>
            </w:r>
          </w:p>
        </w:tc>
        <w:tc>
          <w:tcPr>
            <w:tcW w:w="1356" w:type="dxa"/>
            <w:tcMar>
              <w:top w:w="113" w:type="dxa"/>
              <w:left w:w="113" w:type="dxa"/>
              <w:bottom w:w="113" w:type="dxa"/>
              <w:right w:w="113" w:type="dxa"/>
            </w:tcMar>
            <w:vAlign w:val="center"/>
          </w:tcPr>
          <w:p w14:paraId="57B53F6B" w14:textId="77777777" w:rsidR="0089323F" w:rsidRDefault="0089323F" w:rsidP="0089323F">
            <w:pPr>
              <w:pStyle w:val="CDIFigure-Table-BodyTextCentre"/>
            </w:pPr>
            <w:r>
              <w:t>1,319 (1.2)</w:t>
            </w:r>
          </w:p>
        </w:tc>
        <w:tc>
          <w:tcPr>
            <w:tcW w:w="1356" w:type="dxa"/>
            <w:tcMar>
              <w:top w:w="113" w:type="dxa"/>
              <w:left w:w="113" w:type="dxa"/>
              <w:bottom w:w="113" w:type="dxa"/>
              <w:right w:w="113" w:type="dxa"/>
            </w:tcMar>
            <w:vAlign w:val="center"/>
          </w:tcPr>
          <w:p w14:paraId="5F4ED020" w14:textId="77777777" w:rsidR="0089323F" w:rsidRDefault="0089323F" w:rsidP="0089323F">
            <w:pPr>
              <w:pStyle w:val="CDIFigure-Table-BodyTextCentre"/>
            </w:pPr>
            <w:r>
              <w:t>689 (52.2)</w:t>
            </w:r>
          </w:p>
        </w:tc>
        <w:tc>
          <w:tcPr>
            <w:tcW w:w="1356" w:type="dxa"/>
            <w:tcMar>
              <w:top w:w="113" w:type="dxa"/>
              <w:left w:w="113" w:type="dxa"/>
              <w:bottom w:w="113" w:type="dxa"/>
              <w:right w:w="113" w:type="dxa"/>
            </w:tcMar>
            <w:vAlign w:val="center"/>
          </w:tcPr>
          <w:p w14:paraId="6D9336CF" w14:textId="77777777" w:rsidR="0089323F" w:rsidRDefault="0089323F" w:rsidP="0089323F">
            <w:pPr>
              <w:pStyle w:val="CDIFigure-Table-BodyTextCentre"/>
            </w:pPr>
            <w:r>
              <w:t>583 (44.2)</w:t>
            </w:r>
          </w:p>
        </w:tc>
        <w:tc>
          <w:tcPr>
            <w:tcW w:w="1356" w:type="dxa"/>
            <w:tcMar>
              <w:top w:w="113" w:type="dxa"/>
              <w:left w:w="113" w:type="dxa"/>
              <w:bottom w:w="113" w:type="dxa"/>
              <w:right w:w="113" w:type="dxa"/>
            </w:tcMar>
            <w:vAlign w:val="center"/>
          </w:tcPr>
          <w:p w14:paraId="43AAA593" w14:textId="77777777" w:rsidR="0089323F" w:rsidRDefault="0089323F" w:rsidP="0089323F">
            <w:pPr>
              <w:pStyle w:val="CDIFigure-Table-BodyTextCentre"/>
            </w:pPr>
            <w:r>
              <w:t>97 (7.4)</w:t>
            </w:r>
          </w:p>
        </w:tc>
      </w:tr>
      <w:tr w:rsidR="0089323F" w14:paraId="42A2F4A0" w14:textId="77777777" w:rsidTr="0089323F">
        <w:trPr>
          <w:divId w:val="935526654"/>
          <w:trHeight w:val="20"/>
        </w:trPr>
        <w:tc>
          <w:tcPr>
            <w:tcW w:w="4082" w:type="dxa"/>
            <w:shd w:val="clear" w:color="auto" w:fill="F2F2F2" w:themeFill="background1" w:themeFillShade="F2"/>
            <w:tcMar>
              <w:top w:w="113" w:type="dxa"/>
              <w:left w:w="113" w:type="dxa"/>
              <w:bottom w:w="113" w:type="dxa"/>
              <w:right w:w="113" w:type="dxa"/>
            </w:tcMar>
            <w:vAlign w:val="center"/>
          </w:tcPr>
          <w:p w14:paraId="5C44E293" w14:textId="77777777" w:rsidR="0089323F" w:rsidRDefault="0089323F" w:rsidP="0089323F">
            <w:pPr>
              <w:pStyle w:val="CDIFigure-Table-BodyTextLeft"/>
            </w:pPr>
            <w:r>
              <w:t>Anaphylactic/anaphylactoid shock conditions</w:t>
            </w:r>
          </w:p>
        </w:tc>
        <w:tc>
          <w:tcPr>
            <w:tcW w:w="1356" w:type="dxa"/>
            <w:shd w:val="clear" w:color="auto" w:fill="F2F2F2" w:themeFill="background1" w:themeFillShade="F2"/>
            <w:tcMar>
              <w:top w:w="113" w:type="dxa"/>
              <w:left w:w="113" w:type="dxa"/>
              <w:bottom w:w="113" w:type="dxa"/>
              <w:right w:w="113" w:type="dxa"/>
            </w:tcMar>
            <w:vAlign w:val="center"/>
          </w:tcPr>
          <w:p w14:paraId="59B4FA7E" w14:textId="77777777" w:rsidR="0089323F" w:rsidRDefault="0089323F" w:rsidP="0089323F">
            <w:pPr>
              <w:pStyle w:val="CDIFigure-Table-BodyTextCentre"/>
            </w:pPr>
            <w:r>
              <w:t>1,196 (1.1)</w:t>
            </w:r>
          </w:p>
        </w:tc>
        <w:tc>
          <w:tcPr>
            <w:tcW w:w="1356" w:type="dxa"/>
            <w:shd w:val="clear" w:color="auto" w:fill="F2F2F2" w:themeFill="background1" w:themeFillShade="F2"/>
            <w:tcMar>
              <w:top w:w="113" w:type="dxa"/>
              <w:left w:w="113" w:type="dxa"/>
              <w:bottom w:w="113" w:type="dxa"/>
              <w:right w:w="113" w:type="dxa"/>
            </w:tcMar>
            <w:vAlign w:val="center"/>
          </w:tcPr>
          <w:p w14:paraId="0EFA8C7E" w14:textId="77777777" w:rsidR="0089323F" w:rsidRDefault="0089323F" w:rsidP="0089323F">
            <w:pPr>
              <w:pStyle w:val="CDIFigure-Table-BodyTextCentre"/>
            </w:pPr>
            <w:r>
              <w:t>884 (73.9)</w:t>
            </w:r>
          </w:p>
        </w:tc>
        <w:tc>
          <w:tcPr>
            <w:tcW w:w="1356" w:type="dxa"/>
            <w:shd w:val="clear" w:color="auto" w:fill="F2F2F2" w:themeFill="background1" w:themeFillShade="F2"/>
            <w:tcMar>
              <w:top w:w="113" w:type="dxa"/>
              <w:left w:w="113" w:type="dxa"/>
              <w:bottom w:w="113" w:type="dxa"/>
              <w:right w:w="113" w:type="dxa"/>
            </w:tcMar>
            <w:vAlign w:val="center"/>
          </w:tcPr>
          <w:p w14:paraId="3CEC73A6" w14:textId="77777777" w:rsidR="0089323F" w:rsidRDefault="0089323F" w:rsidP="0089323F">
            <w:pPr>
              <w:pStyle w:val="CDIFigure-Table-BodyTextCentre"/>
            </w:pPr>
            <w:r>
              <w:t>279 (23.3)</w:t>
            </w:r>
          </w:p>
        </w:tc>
        <w:tc>
          <w:tcPr>
            <w:tcW w:w="1356" w:type="dxa"/>
            <w:shd w:val="clear" w:color="auto" w:fill="F2F2F2" w:themeFill="background1" w:themeFillShade="F2"/>
            <w:tcMar>
              <w:top w:w="113" w:type="dxa"/>
              <w:left w:w="113" w:type="dxa"/>
              <w:bottom w:w="113" w:type="dxa"/>
              <w:right w:w="113" w:type="dxa"/>
            </w:tcMar>
            <w:vAlign w:val="center"/>
          </w:tcPr>
          <w:p w14:paraId="561D71C8" w14:textId="77777777" w:rsidR="0089323F" w:rsidRDefault="0089323F" w:rsidP="0089323F">
            <w:pPr>
              <w:pStyle w:val="CDIFigure-Table-BodyTextCentre"/>
            </w:pPr>
            <w:r>
              <w:t>32 (2.7)</w:t>
            </w:r>
          </w:p>
        </w:tc>
      </w:tr>
      <w:tr w:rsidR="0089323F" w14:paraId="08613576" w14:textId="77777777" w:rsidTr="0089323F">
        <w:trPr>
          <w:divId w:val="935526654"/>
          <w:trHeight w:val="20"/>
        </w:trPr>
        <w:tc>
          <w:tcPr>
            <w:tcW w:w="4082" w:type="dxa"/>
            <w:tcBorders>
              <w:bottom w:val="single" w:sz="4" w:space="0" w:color="033636" w:themeColor="text2"/>
            </w:tcBorders>
            <w:tcMar>
              <w:top w:w="113" w:type="dxa"/>
              <w:left w:w="113" w:type="dxa"/>
              <w:bottom w:w="113" w:type="dxa"/>
              <w:right w:w="113" w:type="dxa"/>
            </w:tcMar>
            <w:vAlign w:val="center"/>
          </w:tcPr>
          <w:p w14:paraId="008F7858" w14:textId="77777777" w:rsidR="0089323F" w:rsidRDefault="0089323F" w:rsidP="0089323F">
            <w:pPr>
              <w:pStyle w:val="CDIFigure-Table-BodyTextLeft"/>
            </w:pPr>
            <w:r>
              <w:t>Herpes zoster</w:t>
            </w:r>
          </w:p>
        </w:tc>
        <w:tc>
          <w:tcPr>
            <w:tcW w:w="1356" w:type="dxa"/>
            <w:tcBorders>
              <w:bottom w:val="single" w:sz="4" w:space="0" w:color="033636" w:themeColor="text2"/>
            </w:tcBorders>
            <w:tcMar>
              <w:top w:w="113" w:type="dxa"/>
              <w:left w:w="113" w:type="dxa"/>
              <w:bottom w:w="113" w:type="dxa"/>
              <w:right w:w="113" w:type="dxa"/>
            </w:tcMar>
            <w:vAlign w:val="center"/>
          </w:tcPr>
          <w:p w14:paraId="1B086FC2" w14:textId="77777777" w:rsidR="0089323F" w:rsidRDefault="0089323F" w:rsidP="0089323F">
            <w:pPr>
              <w:pStyle w:val="CDIFigure-Table-BodyTextCentre"/>
            </w:pPr>
            <w:r>
              <w:t>1,174 (1.1)</w:t>
            </w:r>
          </w:p>
        </w:tc>
        <w:tc>
          <w:tcPr>
            <w:tcW w:w="1356" w:type="dxa"/>
            <w:tcBorders>
              <w:bottom w:val="single" w:sz="4" w:space="0" w:color="033636" w:themeColor="text2"/>
            </w:tcBorders>
            <w:tcMar>
              <w:top w:w="113" w:type="dxa"/>
              <w:left w:w="113" w:type="dxa"/>
              <w:bottom w:w="113" w:type="dxa"/>
              <w:right w:w="113" w:type="dxa"/>
            </w:tcMar>
            <w:vAlign w:val="center"/>
          </w:tcPr>
          <w:p w14:paraId="2DB42A43" w14:textId="77777777" w:rsidR="0089323F" w:rsidRDefault="0089323F" w:rsidP="0089323F">
            <w:pPr>
              <w:pStyle w:val="CDIFigure-Table-BodyTextCentre"/>
            </w:pPr>
            <w:r>
              <w:t>624 (53.2)</w:t>
            </w:r>
          </w:p>
        </w:tc>
        <w:tc>
          <w:tcPr>
            <w:tcW w:w="1356" w:type="dxa"/>
            <w:tcBorders>
              <w:bottom w:val="single" w:sz="4" w:space="0" w:color="033636" w:themeColor="text2"/>
            </w:tcBorders>
            <w:tcMar>
              <w:top w:w="113" w:type="dxa"/>
              <w:left w:w="113" w:type="dxa"/>
              <w:bottom w:w="113" w:type="dxa"/>
              <w:right w:w="113" w:type="dxa"/>
            </w:tcMar>
            <w:vAlign w:val="center"/>
          </w:tcPr>
          <w:p w14:paraId="73C627F0" w14:textId="77777777" w:rsidR="0089323F" w:rsidRDefault="0089323F" w:rsidP="0089323F">
            <w:pPr>
              <w:pStyle w:val="CDIFigure-Table-BodyTextCentre"/>
            </w:pPr>
            <w:r>
              <w:t>525 (44.7)</w:t>
            </w:r>
          </w:p>
        </w:tc>
        <w:tc>
          <w:tcPr>
            <w:tcW w:w="1356" w:type="dxa"/>
            <w:tcBorders>
              <w:bottom w:val="single" w:sz="4" w:space="0" w:color="033636" w:themeColor="text2"/>
            </w:tcBorders>
            <w:tcMar>
              <w:top w:w="113" w:type="dxa"/>
              <w:left w:w="113" w:type="dxa"/>
              <w:bottom w:w="113" w:type="dxa"/>
              <w:right w:w="113" w:type="dxa"/>
            </w:tcMar>
            <w:vAlign w:val="center"/>
          </w:tcPr>
          <w:p w14:paraId="13F71159" w14:textId="77777777" w:rsidR="0089323F" w:rsidRDefault="0089323F" w:rsidP="0089323F">
            <w:pPr>
              <w:pStyle w:val="CDIFigure-Table-BodyTextCentre"/>
            </w:pPr>
            <w:r>
              <w:t>26 (2.2)</w:t>
            </w:r>
          </w:p>
        </w:tc>
      </w:tr>
    </w:tbl>
    <w:p w14:paraId="0E1389EF" w14:textId="77777777" w:rsidR="0089323F" w:rsidRDefault="0089323F" w:rsidP="0089323F">
      <w:pPr>
        <w:pStyle w:val="CDIFigure-Table-FirstFootnote"/>
        <w:divId w:val="935526654"/>
      </w:pPr>
      <w:r>
        <w:t>a</w:t>
      </w:r>
      <w:r>
        <w:tab/>
        <w:t>MedDRA: Medical Dictionary for Regulatory Activities.</w:t>
      </w:r>
    </w:p>
    <w:p w14:paraId="1E9F5B96" w14:textId="77777777" w:rsidR="0089323F" w:rsidRDefault="0089323F" w:rsidP="0089323F">
      <w:pPr>
        <w:pStyle w:val="CDIFigure-Table-Footnote"/>
        <w:divId w:val="935526654"/>
      </w:pPr>
      <w:r>
        <w:t>b</w:t>
      </w:r>
      <w:r>
        <w:tab/>
        <w:t>PT or SMQ: preferred terms or standardised MedDRA queries.</w:t>
      </w:r>
    </w:p>
    <w:p w14:paraId="62894116" w14:textId="77777777" w:rsidR="0089323F" w:rsidRDefault="0089323F" w:rsidP="0089323F">
      <w:pPr>
        <w:pStyle w:val="CDIFigure-Table-Footnote"/>
        <w:divId w:val="935526654"/>
      </w:pPr>
      <w:r>
        <w:t>c</w:t>
      </w:r>
      <w:r>
        <w:tab/>
        <w:t>Number of AEFI reports in which the PT or SMQ was reported. More than one PT/SMQ may be recorded on the same report.</w:t>
      </w:r>
    </w:p>
    <w:p w14:paraId="4692E0A7" w14:textId="77777777" w:rsidR="0089323F" w:rsidRDefault="0089323F" w:rsidP="0089323F">
      <w:pPr>
        <w:pStyle w:val="CDIFigure-Table-Footnote"/>
        <w:divId w:val="935526654"/>
      </w:pPr>
      <w:r>
        <w:t>d</w:t>
      </w:r>
      <w:r>
        <w:tab/>
        <w:t>Includes AEFI reports with the listed vaccine brand; more than one vaccine may be reported on the same report.</w:t>
      </w:r>
    </w:p>
    <w:p w14:paraId="4BD0F6D2" w14:textId="0BC14395" w:rsidR="0089323F" w:rsidRDefault="0089323F" w:rsidP="0089323F">
      <w:pPr>
        <w:pStyle w:val="CDIFigure-Table-Footnote"/>
        <w:divId w:val="935526654"/>
      </w:pPr>
      <w:r>
        <w:t>e</w:t>
      </w:r>
      <w:r>
        <w:tab/>
        <w:t>Percentages are calculated for the number of AEFI reports where the PT or SMQ was reported.</w:t>
      </w:r>
    </w:p>
    <w:p w14:paraId="4B0A4977" w14:textId="537C8073" w:rsidR="004464EC" w:rsidRDefault="004464EC" w:rsidP="004464EC">
      <w:pPr>
        <w:pStyle w:val="Heading2"/>
        <w:divId w:val="935526654"/>
        <w:rPr>
          <w:lang w:val="en-GB"/>
        </w:rPr>
      </w:pPr>
      <w:r>
        <w:rPr>
          <w:lang w:val="en-GB"/>
        </w:rPr>
        <w:lastRenderedPageBreak/>
        <w:t>Serious adverse effects</w:t>
      </w:r>
    </w:p>
    <w:p w14:paraId="1D819BD6" w14:textId="77777777" w:rsidR="004464EC" w:rsidRDefault="004464EC" w:rsidP="004464EC">
      <w:pPr>
        <w:divId w:val="935526654"/>
        <w:rPr>
          <w:lang w:val="en-GB"/>
        </w:rPr>
      </w:pPr>
      <w:r w:rsidRPr="004464EC">
        <w:rPr>
          <w:lang w:val="en-GB"/>
        </w:rPr>
        <w:t>The proportion of AEFI reports where the outcome was categorised as serious was similar across the three vaccine brands: 14.9% for Comirnaty; 14.6% for Vaxzevria; and 16.2% for Spikevax (Table 5).</w:t>
      </w:r>
    </w:p>
    <w:p w14:paraId="29CF6603" w14:textId="282876E8" w:rsidR="000B2A20" w:rsidRDefault="000B2A20" w:rsidP="000B2A20">
      <w:pPr>
        <w:pStyle w:val="CDIFigure-Table-Title"/>
        <w:divId w:val="935526654"/>
      </w:pPr>
      <w:r w:rsidRPr="000B2A20">
        <w:t>Table 5: COVID-19 vaccines listed as ‘suspected’ in reports of adverse events following immunisation (AEFI) in the Adverse Event Management System database in 2021</w:t>
      </w:r>
    </w:p>
    <w:tbl>
      <w:tblPr>
        <w:tblW w:w="9637" w:type="dxa"/>
        <w:tblInd w:w="-8" w:type="dxa"/>
        <w:tblLayout w:type="fixed"/>
        <w:tblCellMar>
          <w:left w:w="0" w:type="dxa"/>
          <w:right w:w="0" w:type="dxa"/>
        </w:tblCellMar>
        <w:tblLook w:val="0000" w:firstRow="0" w:lastRow="0" w:firstColumn="0" w:lastColumn="0" w:noHBand="0" w:noVBand="0"/>
        <w:tblCaption w:val="Table 5: COVID-19 vaccines listed as ‘suspected’ in reports of adverse events following immunisation (AEFI) in the Adverse Event Management System database in 2021"/>
        <w:tblDescription w:val="Table 5 shows, in order of rollout, the COVID-19 vaccine nominated as the “suspected” causative agent in adverse event reports in 2021. For each vaccine, the table gives the number and proportion of reports classified as serious, and the number and proportion of reports for recipients aged 12-15 years, 16-59 years and ≥60 years."/>
      </w:tblPr>
      <w:tblGrid>
        <w:gridCol w:w="1983"/>
        <w:gridCol w:w="1361"/>
        <w:gridCol w:w="1417"/>
        <w:gridCol w:w="1190"/>
        <w:gridCol w:w="1247"/>
        <w:gridCol w:w="1248"/>
        <w:gridCol w:w="1191"/>
      </w:tblGrid>
      <w:tr w:rsidR="003B3665" w14:paraId="577F538E" w14:textId="77777777" w:rsidTr="003B3665">
        <w:trPr>
          <w:divId w:val="935526654"/>
          <w:trHeight w:val="20"/>
          <w:tblHeader/>
        </w:trPr>
        <w:tc>
          <w:tcPr>
            <w:tcW w:w="1983" w:type="dxa"/>
            <w:vMerge w:val="restart"/>
            <w:shd w:val="solid" w:color="033636" w:fill="auto"/>
            <w:tcMar>
              <w:top w:w="113" w:type="dxa"/>
              <w:left w:w="113" w:type="dxa"/>
              <w:bottom w:w="113" w:type="dxa"/>
              <w:right w:w="113" w:type="dxa"/>
            </w:tcMar>
            <w:vAlign w:val="bottom"/>
          </w:tcPr>
          <w:p w14:paraId="126495A6" w14:textId="77777777" w:rsidR="003B3665" w:rsidRDefault="003B3665" w:rsidP="009B2B5F">
            <w:pPr>
              <w:pStyle w:val="CDIFigure-Table-H1Left"/>
            </w:pPr>
            <w:r>
              <w:t>Vaccine</w:t>
            </w:r>
          </w:p>
        </w:tc>
        <w:tc>
          <w:tcPr>
            <w:tcW w:w="1361" w:type="dxa"/>
            <w:vMerge w:val="restart"/>
            <w:shd w:val="solid" w:color="033636" w:fill="auto"/>
            <w:tcMar>
              <w:top w:w="113" w:type="dxa"/>
              <w:left w:w="113" w:type="dxa"/>
              <w:bottom w:w="113" w:type="dxa"/>
              <w:right w:w="113" w:type="dxa"/>
            </w:tcMar>
            <w:vAlign w:val="bottom"/>
          </w:tcPr>
          <w:p w14:paraId="37CDC80A" w14:textId="77777777" w:rsidR="003B3665" w:rsidRDefault="003B3665" w:rsidP="009B2B5F">
            <w:pPr>
              <w:pStyle w:val="CDIFigure-Table-H1"/>
            </w:pPr>
            <w:r>
              <w:t>AEFI reports</w:t>
            </w:r>
            <w:r>
              <w:br/>
              <w:t>n (%)</w:t>
            </w:r>
            <w:r>
              <w:rPr>
                <w:rStyle w:val="Superscript"/>
              </w:rPr>
              <w:t>a</w:t>
            </w:r>
          </w:p>
        </w:tc>
        <w:tc>
          <w:tcPr>
            <w:tcW w:w="1417" w:type="dxa"/>
            <w:vMerge w:val="restart"/>
            <w:tcBorders>
              <w:right w:val="single" w:sz="4" w:space="0" w:color="FFFFFF" w:themeColor="background1"/>
            </w:tcBorders>
            <w:shd w:val="solid" w:color="033636" w:fill="auto"/>
            <w:tcMar>
              <w:top w:w="113" w:type="dxa"/>
              <w:left w:w="113" w:type="dxa"/>
              <w:bottom w:w="113" w:type="dxa"/>
              <w:right w:w="113" w:type="dxa"/>
            </w:tcMar>
            <w:vAlign w:val="bottom"/>
          </w:tcPr>
          <w:p w14:paraId="6C7FED17" w14:textId="77777777" w:rsidR="003B3665" w:rsidRDefault="003B3665" w:rsidP="009B2B5F">
            <w:pPr>
              <w:pStyle w:val="CDIFigure-Table-H1"/>
            </w:pPr>
            <w:r>
              <w:t>One suspected vaccine only</w:t>
            </w:r>
            <w:r>
              <w:br/>
              <w:t>n (%)</w:t>
            </w:r>
            <w:r>
              <w:rPr>
                <w:rStyle w:val="Superscript"/>
              </w:rPr>
              <w:t>b,c</w:t>
            </w:r>
          </w:p>
        </w:tc>
        <w:tc>
          <w:tcPr>
            <w:tcW w:w="3685" w:type="dxa"/>
            <w:gridSpan w:val="3"/>
            <w:tcBorders>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02B773CF" w14:textId="77777777" w:rsidR="003B3665" w:rsidRDefault="003B3665" w:rsidP="009B2B5F">
            <w:pPr>
              <w:pStyle w:val="CDIFigure-Table-H1"/>
            </w:pPr>
            <w:r>
              <w:t>Age group</w:t>
            </w:r>
            <w:r>
              <w:rPr>
                <w:rStyle w:val="Superscript"/>
              </w:rPr>
              <w:t>d</w:t>
            </w:r>
          </w:p>
        </w:tc>
        <w:tc>
          <w:tcPr>
            <w:tcW w:w="1191" w:type="dxa"/>
            <w:vMerge w:val="restart"/>
            <w:tcBorders>
              <w:left w:val="single" w:sz="4" w:space="0" w:color="FFFFFF" w:themeColor="background1"/>
            </w:tcBorders>
            <w:shd w:val="solid" w:color="033636" w:fill="auto"/>
            <w:tcMar>
              <w:top w:w="113" w:type="dxa"/>
              <w:left w:w="113" w:type="dxa"/>
              <w:bottom w:w="113" w:type="dxa"/>
              <w:right w:w="113" w:type="dxa"/>
            </w:tcMar>
            <w:vAlign w:val="bottom"/>
          </w:tcPr>
          <w:p w14:paraId="52E287C4" w14:textId="7BD282CE" w:rsidR="003B3665" w:rsidRDefault="003B3665" w:rsidP="003B3665">
            <w:pPr>
              <w:pStyle w:val="CDIFigure-Table-H1"/>
            </w:pPr>
            <w:r>
              <w:t>Serious</w:t>
            </w:r>
            <w:r>
              <w:br/>
              <w:t>AEFI</w:t>
            </w:r>
            <w:r w:rsidRPr="003B3665">
              <w:rPr>
                <w:vertAlign w:val="superscript"/>
              </w:rPr>
              <w:t>c,e</w:t>
            </w:r>
          </w:p>
        </w:tc>
      </w:tr>
      <w:tr w:rsidR="003B3665" w14:paraId="0D875717" w14:textId="77777777" w:rsidTr="003B3665">
        <w:trPr>
          <w:divId w:val="935526654"/>
          <w:trHeight w:val="20"/>
          <w:tblHeader/>
        </w:trPr>
        <w:tc>
          <w:tcPr>
            <w:tcW w:w="1983" w:type="dxa"/>
            <w:vMerge/>
          </w:tcPr>
          <w:p w14:paraId="4AB547E6" w14:textId="77777777" w:rsidR="003B3665" w:rsidRDefault="003B3665">
            <w:pPr>
              <w:spacing w:line="240" w:lineRule="auto"/>
            </w:pPr>
          </w:p>
        </w:tc>
        <w:tc>
          <w:tcPr>
            <w:tcW w:w="1361" w:type="dxa"/>
            <w:vMerge/>
          </w:tcPr>
          <w:p w14:paraId="2794302D" w14:textId="77777777" w:rsidR="003B3665" w:rsidRDefault="003B3665">
            <w:pPr>
              <w:spacing w:line="240" w:lineRule="auto"/>
            </w:pPr>
          </w:p>
        </w:tc>
        <w:tc>
          <w:tcPr>
            <w:tcW w:w="1417" w:type="dxa"/>
            <w:vMerge/>
            <w:tcBorders>
              <w:right w:val="single" w:sz="4" w:space="0" w:color="FFFFFF" w:themeColor="background1"/>
            </w:tcBorders>
          </w:tcPr>
          <w:p w14:paraId="7B08FE38" w14:textId="77777777" w:rsidR="003B3665" w:rsidRDefault="003B3665">
            <w:pPr>
              <w:spacing w:line="240" w:lineRule="auto"/>
            </w:pPr>
          </w:p>
        </w:tc>
        <w:tc>
          <w:tcPr>
            <w:tcW w:w="1190"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230D9C50" w14:textId="77777777" w:rsidR="003B3665" w:rsidRDefault="003B3665" w:rsidP="009B2B5F">
            <w:pPr>
              <w:pStyle w:val="CDIFigure-Table-H1"/>
            </w:pPr>
            <w:r>
              <w:t>12–15 years</w:t>
            </w:r>
            <w:r>
              <w:br/>
              <w:t>n (%)</w:t>
            </w:r>
            <w:r>
              <w:rPr>
                <w:rStyle w:val="Superscript"/>
              </w:rPr>
              <w:t>c,d</w:t>
            </w:r>
          </w:p>
        </w:tc>
        <w:tc>
          <w:tcPr>
            <w:tcW w:w="1247" w:type="dxa"/>
            <w:tcBorders>
              <w:top w:val="single" w:sz="4" w:space="0" w:color="FFFFFF" w:themeColor="background1"/>
            </w:tcBorders>
            <w:shd w:val="solid" w:color="033636" w:fill="auto"/>
            <w:tcMar>
              <w:top w:w="113" w:type="dxa"/>
              <w:left w:w="113" w:type="dxa"/>
              <w:bottom w:w="113" w:type="dxa"/>
              <w:right w:w="113" w:type="dxa"/>
            </w:tcMar>
            <w:vAlign w:val="bottom"/>
          </w:tcPr>
          <w:p w14:paraId="5C32672D" w14:textId="77777777" w:rsidR="003B3665" w:rsidRDefault="003B3665" w:rsidP="009B2B5F">
            <w:pPr>
              <w:pStyle w:val="CDIFigure-Table-H1"/>
            </w:pPr>
            <w:r>
              <w:t>16–59 years</w:t>
            </w:r>
            <w:r>
              <w:br/>
              <w:t>n (%)</w:t>
            </w:r>
            <w:r>
              <w:rPr>
                <w:rStyle w:val="Superscript"/>
              </w:rPr>
              <w:t>c,d</w:t>
            </w:r>
          </w:p>
        </w:tc>
        <w:tc>
          <w:tcPr>
            <w:tcW w:w="1248"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14AD1971" w14:textId="77777777" w:rsidR="003B3665" w:rsidRDefault="003B3665" w:rsidP="009B2B5F">
            <w:pPr>
              <w:pStyle w:val="CDIFigure-Table-H1"/>
            </w:pPr>
            <w:r>
              <w:t>≥ 60 years</w:t>
            </w:r>
            <w:r>
              <w:br/>
              <w:t>n (%)</w:t>
            </w:r>
            <w:r>
              <w:rPr>
                <w:rStyle w:val="Superscript"/>
              </w:rPr>
              <w:t>c,d</w:t>
            </w:r>
          </w:p>
        </w:tc>
        <w:tc>
          <w:tcPr>
            <w:tcW w:w="1191" w:type="dxa"/>
            <w:vMerge/>
            <w:tcBorders>
              <w:left w:val="single" w:sz="4" w:space="0" w:color="FFFFFF" w:themeColor="background1"/>
            </w:tcBorders>
            <w:shd w:val="clear" w:color="auto" w:fill="033636" w:themeFill="text2"/>
          </w:tcPr>
          <w:p w14:paraId="4FB5D3B3" w14:textId="383246CA" w:rsidR="003B3665" w:rsidRDefault="003B3665" w:rsidP="003B3665">
            <w:pPr>
              <w:pStyle w:val="CDIFigure-Table-H1"/>
            </w:pPr>
          </w:p>
        </w:tc>
      </w:tr>
      <w:tr w:rsidR="003B3665" w14:paraId="2EF8D63D" w14:textId="77777777" w:rsidTr="003B3665">
        <w:trPr>
          <w:divId w:val="935526654"/>
          <w:trHeight w:val="20"/>
        </w:trPr>
        <w:tc>
          <w:tcPr>
            <w:tcW w:w="1983" w:type="dxa"/>
            <w:shd w:val="clear" w:color="auto" w:fill="F2F2F2" w:themeFill="background1" w:themeFillShade="F2"/>
            <w:tcMar>
              <w:top w:w="113" w:type="dxa"/>
              <w:left w:w="113" w:type="dxa"/>
              <w:bottom w:w="113" w:type="dxa"/>
              <w:right w:w="113" w:type="dxa"/>
            </w:tcMar>
            <w:vAlign w:val="center"/>
          </w:tcPr>
          <w:p w14:paraId="1C24D7C3" w14:textId="77777777" w:rsidR="003B3665" w:rsidRDefault="003B3665" w:rsidP="009B2B5F">
            <w:pPr>
              <w:pStyle w:val="CDIFigure-Table-BodyTextLeft"/>
            </w:pPr>
            <w:r>
              <w:t>Comirnaty</w:t>
            </w:r>
          </w:p>
        </w:tc>
        <w:tc>
          <w:tcPr>
            <w:tcW w:w="1361" w:type="dxa"/>
            <w:shd w:val="clear" w:color="auto" w:fill="F2F2F2" w:themeFill="background1" w:themeFillShade="F2"/>
            <w:tcMar>
              <w:top w:w="113" w:type="dxa"/>
              <w:left w:w="113" w:type="dxa"/>
              <w:bottom w:w="113" w:type="dxa"/>
              <w:right w:w="113" w:type="dxa"/>
            </w:tcMar>
            <w:vAlign w:val="center"/>
          </w:tcPr>
          <w:p w14:paraId="4C76157A" w14:textId="77777777" w:rsidR="003B3665" w:rsidRDefault="003B3665" w:rsidP="009B2B5F">
            <w:pPr>
              <w:pStyle w:val="CDIFigure-Table-BodyTextCentre"/>
            </w:pPr>
            <w:r>
              <w:t>61,417 (55.2)</w:t>
            </w:r>
          </w:p>
        </w:tc>
        <w:tc>
          <w:tcPr>
            <w:tcW w:w="1417" w:type="dxa"/>
            <w:shd w:val="clear" w:color="auto" w:fill="F2F2F2" w:themeFill="background1" w:themeFillShade="F2"/>
            <w:tcMar>
              <w:top w:w="113" w:type="dxa"/>
              <w:left w:w="113" w:type="dxa"/>
              <w:bottom w:w="113" w:type="dxa"/>
              <w:right w:w="113" w:type="dxa"/>
            </w:tcMar>
            <w:vAlign w:val="center"/>
          </w:tcPr>
          <w:p w14:paraId="6922C7A7" w14:textId="77777777" w:rsidR="003B3665" w:rsidRDefault="003B3665" w:rsidP="009B2B5F">
            <w:pPr>
              <w:pStyle w:val="CDIFigure-Table-BodyTextCentre"/>
            </w:pPr>
            <w:r>
              <w:t>58,079 (94.6)</w:t>
            </w:r>
          </w:p>
        </w:tc>
        <w:tc>
          <w:tcPr>
            <w:tcW w:w="1190" w:type="dxa"/>
            <w:shd w:val="clear" w:color="auto" w:fill="F2F2F2" w:themeFill="background1" w:themeFillShade="F2"/>
            <w:tcMar>
              <w:top w:w="113" w:type="dxa"/>
              <w:left w:w="113" w:type="dxa"/>
              <w:bottom w:w="113" w:type="dxa"/>
              <w:right w:w="113" w:type="dxa"/>
            </w:tcMar>
            <w:vAlign w:val="center"/>
          </w:tcPr>
          <w:p w14:paraId="765245CE" w14:textId="77777777" w:rsidR="003B3665" w:rsidRDefault="003B3665" w:rsidP="009B2B5F">
            <w:pPr>
              <w:pStyle w:val="CDIFigure-Table-BodyTextCentre"/>
            </w:pPr>
            <w:r>
              <w:t>1,701 (2.8)</w:t>
            </w:r>
          </w:p>
        </w:tc>
        <w:tc>
          <w:tcPr>
            <w:tcW w:w="1247" w:type="dxa"/>
            <w:shd w:val="clear" w:color="auto" w:fill="F2F2F2" w:themeFill="background1" w:themeFillShade="F2"/>
            <w:tcMar>
              <w:top w:w="113" w:type="dxa"/>
              <w:left w:w="113" w:type="dxa"/>
              <w:bottom w:w="113" w:type="dxa"/>
              <w:right w:w="113" w:type="dxa"/>
            </w:tcMar>
            <w:vAlign w:val="center"/>
          </w:tcPr>
          <w:p w14:paraId="4D4CDE81" w14:textId="77777777" w:rsidR="003B3665" w:rsidRDefault="003B3665" w:rsidP="009B2B5F">
            <w:pPr>
              <w:pStyle w:val="CDIFigure-Table-BodyTextCentre"/>
            </w:pPr>
            <w:r>
              <w:t>53,261 (86.7)</w:t>
            </w:r>
          </w:p>
        </w:tc>
        <w:tc>
          <w:tcPr>
            <w:tcW w:w="1248" w:type="dxa"/>
            <w:shd w:val="clear" w:color="auto" w:fill="F2F2F2" w:themeFill="background1" w:themeFillShade="F2"/>
            <w:tcMar>
              <w:top w:w="113" w:type="dxa"/>
              <w:left w:w="113" w:type="dxa"/>
              <w:bottom w:w="113" w:type="dxa"/>
              <w:right w:w="113" w:type="dxa"/>
            </w:tcMar>
            <w:vAlign w:val="center"/>
          </w:tcPr>
          <w:p w14:paraId="1900DFA5" w14:textId="77777777" w:rsidR="003B3665" w:rsidRDefault="003B3665" w:rsidP="009B2B5F">
            <w:pPr>
              <w:pStyle w:val="CDIFigure-Table-BodyTextCentre"/>
            </w:pPr>
            <w:r>
              <w:t>3,995 (6.5)</w:t>
            </w:r>
          </w:p>
        </w:tc>
        <w:tc>
          <w:tcPr>
            <w:tcW w:w="1191" w:type="dxa"/>
            <w:shd w:val="clear" w:color="auto" w:fill="F2F2F2" w:themeFill="background1" w:themeFillShade="F2"/>
            <w:tcMar>
              <w:top w:w="113" w:type="dxa"/>
              <w:left w:w="113" w:type="dxa"/>
              <w:bottom w:w="113" w:type="dxa"/>
              <w:right w:w="113" w:type="dxa"/>
            </w:tcMar>
            <w:vAlign w:val="center"/>
          </w:tcPr>
          <w:p w14:paraId="51907C2E" w14:textId="77777777" w:rsidR="003B3665" w:rsidRDefault="003B3665" w:rsidP="009B2B5F">
            <w:pPr>
              <w:pStyle w:val="CDIFigure-Table-BodyTextCentre"/>
            </w:pPr>
            <w:r>
              <w:t>9,131 (14.9)</w:t>
            </w:r>
          </w:p>
        </w:tc>
      </w:tr>
      <w:tr w:rsidR="003B3665" w14:paraId="1696FB7F" w14:textId="77777777" w:rsidTr="003B3665">
        <w:trPr>
          <w:divId w:val="935526654"/>
          <w:trHeight w:val="20"/>
        </w:trPr>
        <w:tc>
          <w:tcPr>
            <w:tcW w:w="1983" w:type="dxa"/>
            <w:tcMar>
              <w:top w:w="113" w:type="dxa"/>
              <w:left w:w="113" w:type="dxa"/>
              <w:bottom w:w="113" w:type="dxa"/>
              <w:right w:w="113" w:type="dxa"/>
            </w:tcMar>
            <w:vAlign w:val="center"/>
          </w:tcPr>
          <w:p w14:paraId="1B3FC0B9" w14:textId="77777777" w:rsidR="003B3665" w:rsidRDefault="003B3665" w:rsidP="009B2B5F">
            <w:pPr>
              <w:pStyle w:val="CDIFigure-Table-BodyTextLeft"/>
            </w:pPr>
            <w:r>
              <w:t>Vaxzevria</w:t>
            </w:r>
          </w:p>
        </w:tc>
        <w:tc>
          <w:tcPr>
            <w:tcW w:w="1361" w:type="dxa"/>
            <w:tcMar>
              <w:top w:w="113" w:type="dxa"/>
              <w:left w:w="113" w:type="dxa"/>
              <w:bottom w:w="113" w:type="dxa"/>
              <w:right w:w="113" w:type="dxa"/>
            </w:tcMar>
            <w:vAlign w:val="center"/>
          </w:tcPr>
          <w:p w14:paraId="77D13585" w14:textId="77777777" w:rsidR="003B3665" w:rsidRDefault="003B3665" w:rsidP="009B2B5F">
            <w:pPr>
              <w:pStyle w:val="CDIFigure-Table-BodyTextCentre"/>
            </w:pPr>
            <w:r>
              <w:t>45,768 (41.1)</w:t>
            </w:r>
          </w:p>
        </w:tc>
        <w:tc>
          <w:tcPr>
            <w:tcW w:w="1417" w:type="dxa"/>
            <w:tcMar>
              <w:top w:w="113" w:type="dxa"/>
              <w:left w:w="113" w:type="dxa"/>
              <w:bottom w:w="113" w:type="dxa"/>
              <w:right w:w="113" w:type="dxa"/>
            </w:tcMar>
            <w:vAlign w:val="center"/>
          </w:tcPr>
          <w:p w14:paraId="2FFF37FD" w14:textId="77777777" w:rsidR="003B3665" w:rsidRDefault="003B3665" w:rsidP="009B2B5F">
            <w:pPr>
              <w:pStyle w:val="CDIFigure-Table-BodyTextCentre"/>
            </w:pPr>
            <w:r>
              <w:t>44,307 (96.8)</w:t>
            </w:r>
          </w:p>
        </w:tc>
        <w:tc>
          <w:tcPr>
            <w:tcW w:w="1190" w:type="dxa"/>
            <w:tcMar>
              <w:top w:w="113" w:type="dxa"/>
              <w:left w:w="113" w:type="dxa"/>
              <w:bottom w:w="113" w:type="dxa"/>
              <w:right w:w="113" w:type="dxa"/>
            </w:tcMar>
            <w:vAlign w:val="center"/>
          </w:tcPr>
          <w:p w14:paraId="6D13A45F" w14:textId="77777777" w:rsidR="003B3665" w:rsidRDefault="003B3665" w:rsidP="009B2B5F">
            <w:pPr>
              <w:pStyle w:val="CDIFigure-Table-BodyTextCentre"/>
            </w:pPr>
            <w:r>
              <w:t>41 (0.1)</w:t>
            </w:r>
          </w:p>
        </w:tc>
        <w:tc>
          <w:tcPr>
            <w:tcW w:w="1247" w:type="dxa"/>
            <w:tcMar>
              <w:top w:w="113" w:type="dxa"/>
              <w:left w:w="113" w:type="dxa"/>
              <w:bottom w:w="113" w:type="dxa"/>
              <w:right w:w="113" w:type="dxa"/>
            </w:tcMar>
            <w:vAlign w:val="center"/>
          </w:tcPr>
          <w:p w14:paraId="2595CAF2" w14:textId="77777777" w:rsidR="003B3665" w:rsidRDefault="003B3665" w:rsidP="009B2B5F">
            <w:pPr>
              <w:pStyle w:val="CDIFigure-Table-BodyTextCentre"/>
            </w:pPr>
            <w:r>
              <w:t>20,421 (44.6)</w:t>
            </w:r>
          </w:p>
        </w:tc>
        <w:tc>
          <w:tcPr>
            <w:tcW w:w="1248" w:type="dxa"/>
            <w:tcMar>
              <w:top w:w="113" w:type="dxa"/>
              <w:left w:w="113" w:type="dxa"/>
              <w:bottom w:w="113" w:type="dxa"/>
              <w:right w:w="113" w:type="dxa"/>
            </w:tcMar>
            <w:vAlign w:val="center"/>
          </w:tcPr>
          <w:p w14:paraId="7E977842" w14:textId="77777777" w:rsidR="003B3665" w:rsidRDefault="003B3665" w:rsidP="009B2B5F">
            <w:pPr>
              <w:pStyle w:val="CDIFigure-Table-BodyTextCentre"/>
            </w:pPr>
            <w:r>
              <w:t>23,124 (50.5)</w:t>
            </w:r>
          </w:p>
        </w:tc>
        <w:tc>
          <w:tcPr>
            <w:tcW w:w="1191" w:type="dxa"/>
            <w:tcMar>
              <w:top w:w="113" w:type="dxa"/>
              <w:left w:w="113" w:type="dxa"/>
              <w:bottom w:w="113" w:type="dxa"/>
              <w:right w:w="113" w:type="dxa"/>
            </w:tcMar>
            <w:vAlign w:val="center"/>
          </w:tcPr>
          <w:p w14:paraId="13ED6DB9" w14:textId="77777777" w:rsidR="003B3665" w:rsidRDefault="003B3665" w:rsidP="009B2B5F">
            <w:pPr>
              <w:pStyle w:val="CDIFigure-Table-BodyTextCentre"/>
            </w:pPr>
            <w:r>
              <w:t>6,681 (14.6)</w:t>
            </w:r>
          </w:p>
        </w:tc>
      </w:tr>
      <w:tr w:rsidR="003B3665" w14:paraId="494DEAFA" w14:textId="77777777" w:rsidTr="003B3665">
        <w:trPr>
          <w:divId w:val="935526654"/>
          <w:trHeight w:val="20"/>
        </w:trPr>
        <w:tc>
          <w:tcPr>
            <w:tcW w:w="1983" w:type="dxa"/>
            <w:shd w:val="clear" w:color="auto" w:fill="F2F2F2" w:themeFill="background1" w:themeFillShade="F2"/>
            <w:tcMar>
              <w:top w:w="113" w:type="dxa"/>
              <w:left w:w="113" w:type="dxa"/>
              <w:bottom w:w="113" w:type="dxa"/>
              <w:right w:w="113" w:type="dxa"/>
            </w:tcMar>
            <w:vAlign w:val="center"/>
          </w:tcPr>
          <w:p w14:paraId="393AEDD6" w14:textId="77777777" w:rsidR="003B3665" w:rsidRDefault="003B3665" w:rsidP="009B2B5F">
            <w:pPr>
              <w:pStyle w:val="CDIFigure-Table-BodyTextLeft"/>
            </w:pPr>
            <w:r>
              <w:t>Spikevax</w:t>
            </w:r>
          </w:p>
        </w:tc>
        <w:tc>
          <w:tcPr>
            <w:tcW w:w="1361" w:type="dxa"/>
            <w:shd w:val="clear" w:color="auto" w:fill="F2F2F2" w:themeFill="background1" w:themeFillShade="F2"/>
            <w:tcMar>
              <w:top w:w="113" w:type="dxa"/>
              <w:left w:w="113" w:type="dxa"/>
              <w:bottom w:w="113" w:type="dxa"/>
              <w:right w:w="113" w:type="dxa"/>
            </w:tcMar>
            <w:vAlign w:val="center"/>
          </w:tcPr>
          <w:p w14:paraId="24C2F526" w14:textId="77777777" w:rsidR="003B3665" w:rsidRDefault="003B3665" w:rsidP="009B2B5F">
            <w:pPr>
              <w:pStyle w:val="CDIFigure-Table-BodyTextCentre"/>
            </w:pPr>
            <w:r>
              <w:t>3,890 (3.5)</w:t>
            </w:r>
          </w:p>
        </w:tc>
        <w:tc>
          <w:tcPr>
            <w:tcW w:w="1417" w:type="dxa"/>
            <w:shd w:val="clear" w:color="auto" w:fill="F2F2F2" w:themeFill="background1" w:themeFillShade="F2"/>
            <w:tcMar>
              <w:top w:w="113" w:type="dxa"/>
              <w:left w:w="113" w:type="dxa"/>
              <w:bottom w:w="113" w:type="dxa"/>
              <w:right w:w="113" w:type="dxa"/>
            </w:tcMar>
            <w:vAlign w:val="center"/>
          </w:tcPr>
          <w:p w14:paraId="66437471" w14:textId="77777777" w:rsidR="003B3665" w:rsidRDefault="003B3665" w:rsidP="009B2B5F">
            <w:pPr>
              <w:pStyle w:val="CDIFigure-Table-BodyTextCentre"/>
            </w:pPr>
            <w:r>
              <w:t>3,606 (92.7)</w:t>
            </w:r>
          </w:p>
        </w:tc>
        <w:tc>
          <w:tcPr>
            <w:tcW w:w="1190" w:type="dxa"/>
            <w:shd w:val="clear" w:color="auto" w:fill="F2F2F2" w:themeFill="background1" w:themeFillShade="F2"/>
            <w:tcMar>
              <w:top w:w="113" w:type="dxa"/>
              <w:left w:w="113" w:type="dxa"/>
              <w:bottom w:w="113" w:type="dxa"/>
              <w:right w:w="113" w:type="dxa"/>
            </w:tcMar>
            <w:vAlign w:val="center"/>
          </w:tcPr>
          <w:p w14:paraId="44D6F163" w14:textId="77777777" w:rsidR="003B3665" w:rsidRDefault="003B3665" w:rsidP="009B2B5F">
            <w:pPr>
              <w:pStyle w:val="CDIFigure-Table-BodyTextCentre"/>
            </w:pPr>
            <w:r>
              <w:t>261 (6.7)</w:t>
            </w:r>
          </w:p>
        </w:tc>
        <w:tc>
          <w:tcPr>
            <w:tcW w:w="1247" w:type="dxa"/>
            <w:shd w:val="clear" w:color="auto" w:fill="F2F2F2" w:themeFill="background1" w:themeFillShade="F2"/>
            <w:tcMar>
              <w:top w:w="113" w:type="dxa"/>
              <w:left w:w="113" w:type="dxa"/>
              <w:bottom w:w="113" w:type="dxa"/>
              <w:right w:w="113" w:type="dxa"/>
            </w:tcMar>
            <w:vAlign w:val="center"/>
          </w:tcPr>
          <w:p w14:paraId="04F730BF" w14:textId="77777777" w:rsidR="003B3665" w:rsidRDefault="003B3665" w:rsidP="009B2B5F">
            <w:pPr>
              <w:pStyle w:val="CDIFigure-Table-BodyTextCentre"/>
            </w:pPr>
            <w:r>
              <w:t>3,001 (77.1)</w:t>
            </w:r>
          </w:p>
        </w:tc>
        <w:tc>
          <w:tcPr>
            <w:tcW w:w="1248" w:type="dxa"/>
            <w:shd w:val="clear" w:color="auto" w:fill="F2F2F2" w:themeFill="background1" w:themeFillShade="F2"/>
            <w:tcMar>
              <w:top w:w="113" w:type="dxa"/>
              <w:left w:w="113" w:type="dxa"/>
              <w:bottom w:w="113" w:type="dxa"/>
              <w:right w:w="113" w:type="dxa"/>
            </w:tcMar>
            <w:vAlign w:val="center"/>
          </w:tcPr>
          <w:p w14:paraId="1A15B155" w14:textId="77777777" w:rsidR="003B3665" w:rsidRDefault="003B3665" w:rsidP="009B2B5F">
            <w:pPr>
              <w:pStyle w:val="CDIFigure-Table-BodyTextCentre"/>
            </w:pPr>
            <w:r>
              <w:t>408 (10.5)</w:t>
            </w:r>
          </w:p>
        </w:tc>
        <w:tc>
          <w:tcPr>
            <w:tcW w:w="1191" w:type="dxa"/>
            <w:shd w:val="clear" w:color="auto" w:fill="F2F2F2" w:themeFill="background1" w:themeFillShade="F2"/>
            <w:tcMar>
              <w:top w:w="113" w:type="dxa"/>
              <w:left w:w="113" w:type="dxa"/>
              <w:bottom w:w="113" w:type="dxa"/>
              <w:right w:w="113" w:type="dxa"/>
            </w:tcMar>
            <w:vAlign w:val="center"/>
          </w:tcPr>
          <w:p w14:paraId="4D40C838" w14:textId="77777777" w:rsidR="003B3665" w:rsidRDefault="003B3665" w:rsidP="009B2B5F">
            <w:pPr>
              <w:pStyle w:val="CDIFigure-Table-BodyTextCentre"/>
            </w:pPr>
            <w:r>
              <w:t>632 (16.2)</w:t>
            </w:r>
          </w:p>
        </w:tc>
      </w:tr>
      <w:tr w:rsidR="003B3665" w14:paraId="10D382FE" w14:textId="77777777" w:rsidTr="003B3665">
        <w:trPr>
          <w:divId w:val="935526654"/>
          <w:trHeight w:val="20"/>
        </w:trPr>
        <w:tc>
          <w:tcPr>
            <w:tcW w:w="1983" w:type="dxa"/>
            <w:tcBorders>
              <w:bottom w:val="single" w:sz="4" w:space="0" w:color="033636" w:themeColor="text2"/>
            </w:tcBorders>
            <w:tcMar>
              <w:top w:w="113" w:type="dxa"/>
              <w:left w:w="113" w:type="dxa"/>
              <w:bottom w:w="113" w:type="dxa"/>
              <w:right w:w="113" w:type="dxa"/>
            </w:tcMar>
            <w:vAlign w:val="center"/>
          </w:tcPr>
          <w:p w14:paraId="4D3C6278" w14:textId="77777777" w:rsidR="003B3665" w:rsidRDefault="003B3665" w:rsidP="009B2B5F">
            <w:pPr>
              <w:pStyle w:val="CDIFigure-Table-BodyTextLeft"/>
            </w:pPr>
            <w:r>
              <w:t>COVID-19 (unspecified)</w:t>
            </w:r>
          </w:p>
        </w:tc>
        <w:tc>
          <w:tcPr>
            <w:tcW w:w="1361" w:type="dxa"/>
            <w:tcBorders>
              <w:bottom w:val="single" w:sz="4" w:space="0" w:color="033636" w:themeColor="text2"/>
            </w:tcBorders>
            <w:tcMar>
              <w:top w:w="113" w:type="dxa"/>
              <w:left w:w="113" w:type="dxa"/>
              <w:bottom w:w="113" w:type="dxa"/>
              <w:right w:w="113" w:type="dxa"/>
            </w:tcMar>
            <w:vAlign w:val="center"/>
          </w:tcPr>
          <w:p w14:paraId="209A73C8" w14:textId="77777777" w:rsidR="003B3665" w:rsidRDefault="003B3665" w:rsidP="009B2B5F">
            <w:pPr>
              <w:pStyle w:val="CDIFigure-Table-BodyTextCentre"/>
            </w:pPr>
            <w:r>
              <w:t>472 (0.4)</w:t>
            </w:r>
          </w:p>
        </w:tc>
        <w:tc>
          <w:tcPr>
            <w:tcW w:w="1417" w:type="dxa"/>
            <w:tcBorders>
              <w:bottom w:val="single" w:sz="4" w:space="0" w:color="033636" w:themeColor="text2"/>
            </w:tcBorders>
            <w:tcMar>
              <w:top w:w="113" w:type="dxa"/>
              <w:left w:w="113" w:type="dxa"/>
              <w:bottom w:w="113" w:type="dxa"/>
              <w:right w:w="113" w:type="dxa"/>
            </w:tcMar>
            <w:vAlign w:val="center"/>
          </w:tcPr>
          <w:p w14:paraId="60587F7E" w14:textId="77777777" w:rsidR="003B3665" w:rsidRDefault="003B3665" w:rsidP="009B2B5F">
            <w:pPr>
              <w:pStyle w:val="CDIFigure-Table-BodyTextCentre"/>
            </w:pPr>
            <w:r>
              <w:t>457 (96.8)</w:t>
            </w:r>
          </w:p>
        </w:tc>
        <w:tc>
          <w:tcPr>
            <w:tcW w:w="1190" w:type="dxa"/>
            <w:tcBorders>
              <w:bottom w:val="single" w:sz="4" w:space="0" w:color="033636" w:themeColor="text2"/>
            </w:tcBorders>
            <w:tcMar>
              <w:top w:w="113" w:type="dxa"/>
              <w:left w:w="113" w:type="dxa"/>
              <w:bottom w:w="113" w:type="dxa"/>
              <w:right w:w="113" w:type="dxa"/>
            </w:tcMar>
            <w:vAlign w:val="center"/>
          </w:tcPr>
          <w:p w14:paraId="3E1FFBAF" w14:textId="77777777" w:rsidR="003B3665" w:rsidRDefault="003B3665" w:rsidP="009B2B5F">
            <w:pPr>
              <w:pStyle w:val="CDIFigure-Table-BodyTextCentre"/>
            </w:pPr>
            <w:r>
              <w:t>3 (0.6)</w:t>
            </w:r>
          </w:p>
        </w:tc>
        <w:tc>
          <w:tcPr>
            <w:tcW w:w="1247" w:type="dxa"/>
            <w:tcBorders>
              <w:bottom w:val="single" w:sz="4" w:space="0" w:color="033636" w:themeColor="text2"/>
            </w:tcBorders>
            <w:tcMar>
              <w:top w:w="113" w:type="dxa"/>
              <w:left w:w="113" w:type="dxa"/>
              <w:bottom w:w="113" w:type="dxa"/>
              <w:right w:w="113" w:type="dxa"/>
            </w:tcMar>
            <w:vAlign w:val="center"/>
          </w:tcPr>
          <w:p w14:paraId="6C074C87" w14:textId="77777777" w:rsidR="003B3665" w:rsidRDefault="003B3665" w:rsidP="009B2B5F">
            <w:pPr>
              <w:pStyle w:val="CDIFigure-Table-BodyTextCentre"/>
            </w:pPr>
            <w:r>
              <w:t>169 (35.8)</w:t>
            </w:r>
          </w:p>
        </w:tc>
        <w:tc>
          <w:tcPr>
            <w:tcW w:w="1248" w:type="dxa"/>
            <w:tcBorders>
              <w:bottom w:val="single" w:sz="4" w:space="0" w:color="033636" w:themeColor="text2"/>
            </w:tcBorders>
            <w:tcMar>
              <w:top w:w="113" w:type="dxa"/>
              <w:left w:w="113" w:type="dxa"/>
              <w:bottom w:w="113" w:type="dxa"/>
              <w:right w:w="113" w:type="dxa"/>
            </w:tcMar>
            <w:vAlign w:val="center"/>
          </w:tcPr>
          <w:p w14:paraId="6F0FBCB8" w14:textId="77777777" w:rsidR="003B3665" w:rsidRDefault="003B3665" w:rsidP="009B2B5F">
            <w:pPr>
              <w:pStyle w:val="CDIFigure-Table-BodyTextCentre"/>
            </w:pPr>
            <w:r>
              <w:t>142 (30.1)</w:t>
            </w:r>
          </w:p>
        </w:tc>
        <w:tc>
          <w:tcPr>
            <w:tcW w:w="1191" w:type="dxa"/>
            <w:tcBorders>
              <w:bottom w:val="single" w:sz="4" w:space="0" w:color="033636" w:themeColor="text2"/>
            </w:tcBorders>
            <w:tcMar>
              <w:top w:w="113" w:type="dxa"/>
              <w:left w:w="113" w:type="dxa"/>
              <w:bottom w:w="113" w:type="dxa"/>
              <w:right w:w="113" w:type="dxa"/>
            </w:tcMar>
            <w:vAlign w:val="center"/>
          </w:tcPr>
          <w:p w14:paraId="49C7CB6A" w14:textId="77777777" w:rsidR="003B3665" w:rsidRDefault="003B3665" w:rsidP="009B2B5F">
            <w:pPr>
              <w:pStyle w:val="CDIFigure-Table-BodyTextCentre"/>
            </w:pPr>
            <w:r>
              <w:t>86 (18.2)</w:t>
            </w:r>
          </w:p>
        </w:tc>
      </w:tr>
    </w:tbl>
    <w:p w14:paraId="58C3E9E9" w14:textId="77777777" w:rsidR="000B2A20" w:rsidRDefault="000B2A20" w:rsidP="00344114">
      <w:pPr>
        <w:pStyle w:val="CDIFigure-Table-FirstFootnote"/>
        <w:divId w:val="935526654"/>
      </w:pPr>
      <w:r>
        <w:t>a</w:t>
      </w:r>
      <w:r>
        <w:tab/>
        <w:t>Number of AEFI reports in which the vaccine was coded as ‘suspected’ of causal involvement in the reported adverse event and the vaccination was administered between 1 January and 31 December 2021.</w:t>
      </w:r>
    </w:p>
    <w:p w14:paraId="6EF17E03" w14:textId="77777777" w:rsidR="000B2A20" w:rsidRDefault="000B2A20" w:rsidP="000B2A20">
      <w:pPr>
        <w:pStyle w:val="CDIFigure-Table-Footnote"/>
        <w:divId w:val="935526654"/>
      </w:pPr>
      <w:r>
        <w:t>b</w:t>
      </w:r>
      <w:r>
        <w:tab/>
        <w:t>AEFI reports where only one vaccine was suspected of causal involvement in a reported adverse event.</w:t>
      </w:r>
    </w:p>
    <w:p w14:paraId="417C2849" w14:textId="77777777" w:rsidR="000B2A20" w:rsidRDefault="000B2A20" w:rsidP="000B2A20">
      <w:pPr>
        <w:pStyle w:val="CDIFigure-Table-Footnote"/>
        <w:divId w:val="935526654"/>
      </w:pPr>
      <w:r>
        <w:t>c</w:t>
      </w:r>
      <w:r>
        <w:tab/>
        <w:t>Percentages are calculated for the number of AEFI reports where the vaccine was suspected of causal involvement in the event.</w:t>
      </w:r>
    </w:p>
    <w:p w14:paraId="53224146" w14:textId="77777777" w:rsidR="000B2A20" w:rsidRDefault="000B2A20" w:rsidP="000B2A20">
      <w:pPr>
        <w:pStyle w:val="CDIFigure-Table-Footnote"/>
        <w:divId w:val="935526654"/>
      </w:pPr>
      <w:r>
        <w:t>d</w:t>
      </w:r>
      <w:r>
        <w:tab/>
        <w:t>Includes only AEFI reports where an age or date of birth has been reported.</w:t>
      </w:r>
    </w:p>
    <w:p w14:paraId="1909EA2E" w14:textId="0EAD1769" w:rsidR="008322B9" w:rsidRDefault="000B2A20" w:rsidP="000B2A20">
      <w:pPr>
        <w:pStyle w:val="CDIFigure-Table-Footnote"/>
        <w:divId w:val="935526654"/>
      </w:pPr>
      <w:r>
        <w:t>e</w:t>
      </w:r>
      <w:r>
        <w:tab/>
        <w:t>An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 The seriousness classification is applied by Australian sponsors (vaccine companies) to vaccine AEFI reports to ensure they meet legislated requirements. For other AEFI reports submitted to the Therapeutic Goods Administration (TGA), the seriousness classification either reflects the view of the reporter or may have been applied following review by the TGA.</w:t>
      </w:r>
    </w:p>
    <w:p w14:paraId="2167CEF8" w14:textId="77777777" w:rsidR="008322B9" w:rsidRPr="008322B9" w:rsidRDefault="008322B9" w:rsidP="008322B9">
      <w:r w:rsidRPr="008322B9">
        <w:br w:type="page"/>
      </w:r>
    </w:p>
    <w:p w14:paraId="2CAFDEAA" w14:textId="5366AD67" w:rsidR="004464EC" w:rsidRDefault="004464EC" w:rsidP="004464EC">
      <w:pPr>
        <w:pStyle w:val="Heading2"/>
        <w:divId w:val="935526654"/>
        <w:rPr>
          <w:lang w:val="en-GB"/>
        </w:rPr>
      </w:pPr>
      <w:r>
        <w:rPr>
          <w:lang w:val="en-GB"/>
        </w:rPr>
        <w:lastRenderedPageBreak/>
        <w:t>Adverse events of special interest</w:t>
      </w:r>
    </w:p>
    <w:p w14:paraId="1BA88B6D" w14:textId="77777777" w:rsidR="004464EC" w:rsidRPr="004464EC" w:rsidRDefault="004464EC" w:rsidP="004464EC">
      <w:pPr>
        <w:divId w:val="935526654"/>
        <w:rPr>
          <w:lang w:val="en-GB"/>
        </w:rPr>
      </w:pPr>
      <w:r w:rsidRPr="004464EC">
        <w:rPr>
          <w:lang w:val="en-GB"/>
        </w:rPr>
        <w:t xml:space="preserve">The most frequently reported AESI were, in order: myocarditis and/or pericarditis; thrombosis and thromboembolism (including thrombocytosis with thrombocytopenia syndrome: TTS); and anaphylaxis (Table 6). Over 85% of people who reported myocarditis and/or pericarditis and anaphylaxis were aged 16–59 years, while nearly 60% of people who reported thrombosis and thromboembolism were aged ≥ 60 years. Fewer than 5 AESI per 100,000 doses were reported for most events, with three notable exceptions. Reports of myocarditis and/or pericarditis following Comirnaty and Spikevax in adolescents and adults aged 12–15 and 16–59 years ranged from 10.2 to 23.9 per 100,000 doses. For thrombosis and thromboembolism following Vaxzevria in people aged 16–59 and ≥ 60 years, there were 14.7 and 20.9 reports per 100,000 doses respectively; while for thrombocytopenia following Vaxzevria in people aged 16–59 and ≥ 60 years, there were 5.1 and 6.4 reports per 100,000 doses respectively (Figure 5). </w:t>
      </w:r>
    </w:p>
    <w:p w14:paraId="043F0E9B" w14:textId="748EA830" w:rsidR="008322B9" w:rsidRDefault="004464EC" w:rsidP="008322B9">
      <w:pPr>
        <w:rPr>
          <w:lang w:val="en-GB"/>
        </w:rPr>
      </w:pPr>
      <w:r w:rsidRPr="004464EC">
        <w:rPr>
          <w:lang w:val="en-GB"/>
        </w:rPr>
        <w:t>To 31 December 2021, there were 170 cases of TTS classified as confirmed or probable by the TGA. Of these, 147 (83 confirmed, 64 probable) related to a first dose of Vaxzevria and 23 to a second dose (5</w:t>
      </w:r>
      <w:r>
        <w:rPr>
          <w:lang w:val="en-GB"/>
        </w:rPr>
        <w:t> </w:t>
      </w:r>
      <w:r w:rsidRPr="004464EC">
        <w:rPr>
          <w:lang w:val="en-GB"/>
        </w:rPr>
        <w:t>confirmed, 18 probable). Additionally for Vaxzevria, the TGA received, but had not assessed for causality as at 31 December 2021, 170 reports of suspected Guillain-Barré syndrome (GBS), 86 reports of suspected immune thrombocytopenia (ITP) and seven reports of suspected capillary leak syndrome (CLS).</w:t>
      </w:r>
      <w:r w:rsidRPr="004464EC">
        <w:rPr>
          <w:rStyle w:val="Superscript"/>
          <w:lang w:val="en-GB"/>
        </w:rPr>
        <w:t>32</w:t>
      </w:r>
      <w:r w:rsidR="008322B9">
        <w:rPr>
          <w:lang w:val="en-GB"/>
        </w:rPr>
        <w:br w:type="page"/>
      </w:r>
    </w:p>
    <w:p w14:paraId="51D30FB8" w14:textId="5B8C09D8" w:rsidR="006162E7" w:rsidRDefault="006162E7" w:rsidP="006162E7">
      <w:pPr>
        <w:pStyle w:val="CDIFigure-Table-Title"/>
        <w:divId w:val="935526654"/>
      </w:pPr>
      <w:r w:rsidRPr="006162E7">
        <w:lastRenderedPageBreak/>
        <w:t>Table 6: Adverse events of special interest (AESI) reported in reports of adverse events following immunisation with COVID-19 vaccines in the Adverse Event Management System database in 2021</w:t>
      </w:r>
    </w:p>
    <w:tbl>
      <w:tblPr>
        <w:tblW w:w="9695" w:type="dxa"/>
        <w:tblInd w:w="-8" w:type="dxa"/>
        <w:tblLayout w:type="fixed"/>
        <w:tblCellMar>
          <w:left w:w="0" w:type="dxa"/>
          <w:right w:w="0" w:type="dxa"/>
        </w:tblCellMar>
        <w:tblLook w:val="0000" w:firstRow="0" w:lastRow="0" w:firstColumn="0" w:lastColumn="0" w:noHBand="0" w:noVBand="0"/>
        <w:tblCaption w:val="Table 6: Adverse events of special interest (AESI) reported in reports of adverse events following immunisation with COVID-19 vaccines in the Adverse Event Management System database in 2021"/>
        <w:tblDescription w:val="Table 6 lists ten adverse events of special interest associated with COVID-19 vaccines. For each event, the table gives the total number of reports received in 2021, the number and proportion of reports classified as serious, and the number and proportion of reports for three age groups: 12-15 years, 16-59 years, ≥60 years."/>
      </w:tblPr>
      <w:tblGrid>
        <w:gridCol w:w="2494"/>
        <w:gridCol w:w="1248"/>
        <w:gridCol w:w="1247"/>
        <w:gridCol w:w="1191"/>
        <w:gridCol w:w="1190"/>
        <w:gridCol w:w="1191"/>
        <w:gridCol w:w="1134"/>
      </w:tblGrid>
      <w:tr w:rsidR="008322B9" w14:paraId="3F279DEB" w14:textId="77777777" w:rsidTr="008322B9">
        <w:trPr>
          <w:divId w:val="935526654"/>
          <w:trHeight w:val="20"/>
          <w:tblHeader/>
        </w:trPr>
        <w:tc>
          <w:tcPr>
            <w:tcW w:w="2494" w:type="dxa"/>
            <w:vMerge w:val="restart"/>
            <w:shd w:val="clear" w:color="auto" w:fill="033636" w:themeFill="text2"/>
            <w:tcMar>
              <w:top w:w="113" w:type="dxa"/>
              <w:left w:w="113" w:type="dxa"/>
              <w:bottom w:w="113" w:type="dxa"/>
              <w:right w:w="113" w:type="dxa"/>
            </w:tcMar>
            <w:vAlign w:val="bottom"/>
          </w:tcPr>
          <w:p w14:paraId="31D68F6A" w14:textId="77777777" w:rsidR="008322B9" w:rsidRDefault="008322B9" w:rsidP="008322B9">
            <w:pPr>
              <w:pStyle w:val="CDIFigure-Table-H1Left"/>
            </w:pPr>
            <w:r>
              <w:t>AESI</w:t>
            </w:r>
          </w:p>
        </w:tc>
        <w:tc>
          <w:tcPr>
            <w:tcW w:w="1248" w:type="dxa"/>
            <w:vMerge w:val="restart"/>
            <w:shd w:val="clear" w:color="auto" w:fill="033636" w:themeFill="text2"/>
            <w:tcMar>
              <w:top w:w="113" w:type="dxa"/>
              <w:left w:w="113" w:type="dxa"/>
              <w:bottom w:w="113" w:type="dxa"/>
              <w:right w:w="113" w:type="dxa"/>
            </w:tcMar>
            <w:vAlign w:val="bottom"/>
          </w:tcPr>
          <w:p w14:paraId="0F4890DB" w14:textId="77777777" w:rsidR="008322B9" w:rsidRDefault="008322B9" w:rsidP="008322B9">
            <w:pPr>
              <w:pStyle w:val="CDIFigure-Table-H1"/>
            </w:pPr>
            <w:r>
              <w:t>AEFI reports</w:t>
            </w:r>
            <w:r>
              <w:br/>
              <w:t>n (%)</w:t>
            </w:r>
            <w:r>
              <w:rPr>
                <w:rStyle w:val="Superscript"/>
              </w:rPr>
              <w:t>a</w:t>
            </w:r>
          </w:p>
        </w:tc>
        <w:tc>
          <w:tcPr>
            <w:tcW w:w="1247" w:type="dxa"/>
            <w:vMerge w:val="restart"/>
            <w:tcBorders>
              <w:right w:val="single" w:sz="4" w:space="0" w:color="FFFFFF" w:themeColor="background1"/>
            </w:tcBorders>
            <w:shd w:val="clear" w:color="auto" w:fill="033636" w:themeFill="text2"/>
            <w:tcMar>
              <w:top w:w="113" w:type="dxa"/>
              <w:left w:w="113" w:type="dxa"/>
              <w:bottom w:w="113" w:type="dxa"/>
              <w:right w:w="113" w:type="dxa"/>
            </w:tcMar>
            <w:vAlign w:val="bottom"/>
          </w:tcPr>
          <w:p w14:paraId="6DE9CFA3" w14:textId="77777777" w:rsidR="008322B9" w:rsidRDefault="008322B9" w:rsidP="008322B9">
            <w:pPr>
              <w:pStyle w:val="CDIFigure-Table-H1"/>
            </w:pPr>
            <w:r>
              <w:t>One suspected vaccine only</w:t>
            </w:r>
            <w:r>
              <w:br/>
              <w:t>n (%)</w:t>
            </w:r>
            <w:r>
              <w:rPr>
                <w:rStyle w:val="Superscript"/>
              </w:rPr>
              <w:t>b,c</w:t>
            </w:r>
          </w:p>
        </w:tc>
        <w:tc>
          <w:tcPr>
            <w:tcW w:w="3572"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DCF9541" w14:textId="77777777" w:rsidR="008322B9" w:rsidRDefault="008322B9" w:rsidP="008322B9">
            <w:pPr>
              <w:pStyle w:val="CDIFigure-Table-H1"/>
            </w:pPr>
            <w:r>
              <w:t>Age group</w:t>
            </w:r>
            <w:r>
              <w:rPr>
                <w:rStyle w:val="Superscript"/>
              </w:rPr>
              <w:t>d</w:t>
            </w:r>
          </w:p>
        </w:tc>
        <w:tc>
          <w:tcPr>
            <w:tcW w:w="1134" w:type="dxa"/>
            <w:vMerge w:val="restart"/>
            <w:tcBorders>
              <w:left w:val="single" w:sz="4" w:space="0" w:color="FFFFFF" w:themeColor="background1"/>
            </w:tcBorders>
            <w:shd w:val="clear" w:color="auto" w:fill="033636" w:themeFill="text2"/>
            <w:tcMar>
              <w:top w:w="113" w:type="dxa"/>
              <w:left w:w="113" w:type="dxa"/>
              <w:bottom w:w="113" w:type="dxa"/>
              <w:right w:w="113" w:type="dxa"/>
            </w:tcMar>
            <w:vAlign w:val="bottom"/>
          </w:tcPr>
          <w:p w14:paraId="5F9DADF6" w14:textId="77777777" w:rsidR="008322B9" w:rsidRDefault="008322B9" w:rsidP="008322B9">
            <w:pPr>
              <w:pStyle w:val="CDIFigure-Table-H1"/>
            </w:pPr>
            <w:r>
              <w:t>Serious</w:t>
            </w:r>
            <w:r>
              <w:br/>
              <w:t>AEFI</w:t>
            </w:r>
            <w:r>
              <w:rPr>
                <w:rStyle w:val="Superscript"/>
              </w:rPr>
              <w:t>c,e</w:t>
            </w:r>
          </w:p>
        </w:tc>
      </w:tr>
      <w:tr w:rsidR="008322B9" w14:paraId="6DB4DCA6" w14:textId="77777777" w:rsidTr="008322B9">
        <w:trPr>
          <w:divId w:val="935526654"/>
          <w:trHeight w:val="20"/>
          <w:tblHeader/>
        </w:trPr>
        <w:tc>
          <w:tcPr>
            <w:tcW w:w="2494" w:type="dxa"/>
            <w:vMerge/>
            <w:shd w:val="clear" w:color="auto" w:fill="033636" w:themeFill="text2"/>
          </w:tcPr>
          <w:p w14:paraId="6DE21B42" w14:textId="77777777" w:rsidR="008322B9" w:rsidRDefault="008322B9" w:rsidP="008322B9">
            <w:pPr>
              <w:pStyle w:val="CDIFigure-Table-H1"/>
              <w:rPr>
                <w:lang w:val="en-AU"/>
              </w:rPr>
            </w:pPr>
          </w:p>
        </w:tc>
        <w:tc>
          <w:tcPr>
            <w:tcW w:w="1248" w:type="dxa"/>
            <w:vMerge/>
            <w:shd w:val="clear" w:color="auto" w:fill="033636" w:themeFill="text2"/>
          </w:tcPr>
          <w:p w14:paraId="163C997B" w14:textId="77777777" w:rsidR="008322B9" w:rsidRDefault="008322B9" w:rsidP="008322B9">
            <w:pPr>
              <w:pStyle w:val="CDIFigure-Table-H1"/>
              <w:rPr>
                <w:lang w:val="en-AU"/>
              </w:rPr>
            </w:pPr>
          </w:p>
        </w:tc>
        <w:tc>
          <w:tcPr>
            <w:tcW w:w="1247" w:type="dxa"/>
            <w:vMerge/>
            <w:tcBorders>
              <w:right w:val="single" w:sz="4" w:space="0" w:color="FFFFFF" w:themeColor="background1"/>
            </w:tcBorders>
            <w:shd w:val="clear" w:color="auto" w:fill="033636" w:themeFill="text2"/>
          </w:tcPr>
          <w:p w14:paraId="2DD8C9BE" w14:textId="77777777" w:rsidR="008322B9" w:rsidRDefault="008322B9" w:rsidP="008322B9">
            <w:pPr>
              <w:pStyle w:val="CDIFigure-Table-H1"/>
              <w:rPr>
                <w:lang w:val="en-AU"/>
              </w:rPr>
            </w:pPr>
          </w:p>
        </w:tc>
        <w:tc>
          <w:tcPr>
            <w:tcW w:w="119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0C0517E" w14:textId="77777777" w:rsidR="008322B9" w:rsidRDefault="008322B9" w:rsidP="008322B9">
            <w:pPr>
              <w:pStyle w:val="CDIFigure-Table-H1"/>
            </w:pPr>
            <w:r>
              <w:t>12–15 years</w:t>
            </w:r>
            <w:r>
              <w:br/>
              <w:t>n (%)</w:t>
            </w:r>
            <w:r>
              <w:rPr>
                <w:rStyle w:val="Superscript"/>
              </w:rPr>
              <w:t>c,d</w:t>
            </w:r>
          </w:p>
        </w:tc>
        <w:tc>
          <w:tcPr>
            <w:tcW w:w="11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D0335F4" w14:textId="77777777" w:rsidR="008322B9" w:rsidRDefault="008322B9" w:rsidP="008322B9">
            <w:pPr>
              <w:pStyle w:val="CDIFigure-Table-H1"/>
            </w:pPr>
            <w:r>
              <w:t>16–59 years</w:t>
            </w:r>
            <w:r>
              <w:br/>
              <w:t>n (%)</w:t>
            </w:r>
            <w:r>
              <w:rPr>
                <w:rStyle w:val="Superscript"/>
              </w:rPr>
              <w:t>c,d</w:t>
            </w:r>
          </w:p>
        </w:tc>
        <w:tc>
          <w:tcPr>
            <w:tcW w:w="119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F3989C4" w14:textId="77777777" w:rsidR="008322B9" w:rsidRDefault="008322B9" w:rsidP="008322B9">
            <w:pPr>
              <w:pStyle w:val="CDIFigure-Table-H1"/>
            </w:pPr>
            <w:r>
              <w:t>≥ 60 years</w:t>
            </w:r>
            <w:r>
              <w:br/>
              <w:t>n (%)</w:t>
            </w:r>
            <w:r>
              <w:rPr>
                <w:rStyle w:val="Superscript"/>
              </w:rPr>
              <w:t>c,d</w:t>
            </w:r>
          </w:p>
        </w:tc>
        <w:tc>
          <w:tcPr>
            <w:tcW w:w="1134" w:type="dxa"/>
            <w:vMerge/>
            <w:tcBorders>
              <w:left w:val="single" w:sz="4" w:space="0" w:color="FFFFFF" w:themeColor="background1"/>
            </w:tcBorders>
            <w:shd w:val="clear" w:color="auto" w:fill="033636" w:themeFill="text2"/>
          </w:tcPr>
          <w:p w14:paraId="7D66D98C" w14:textId="41D4F40E" w:rsidR="008322B9" w:rsidRDefault="008322B9" w:rsidP="008322B9">
            <w:pPr>
              <w:pStyle w:val="CDIFigure-Table-BodyTextCentre"/>
              <w:rPr>
                <w:lang w:val="en-AU"/>
              </w:rPr>
            </w:pPr>
          </w:p>
        </w:tc>
      </w:tr>
      <w:tr w:rsidR="008322B9" w14:paraId="04FA599A" w14:textId="77777777" w:rsidTr="008322B9">
        <w:trPr>
          <w:divId w:val="935526654"/>
          <w:trHeight w:val="20"/>
        </w:trPr>
        <w:tc>
          <w:tcPr>
            <w:tcW w:w="2494" w:type="dxa"/>
            <w:shd w:val="clear" w:color="auto" w:fill="F2F2F2" w:themeFill="background1" w:themeFillShade="F2"/>
            <w:tcMar>
              <w:top w:w="108" w:type="dxa"/>
              <w:left w:w="113" w:type="dxa"/>
              <w:bottom w:w="108" w:type="dxa"/>
              <w:right w:w="113" w:type="dxa"/>
            </w:tcMar>
            <w:vAlign w:val="center"/>
          </w:tcPr>
          <w:p w14:paraId="4E81B1D5" w14:textId="77777777" w:rsidR="008322B9" w:rsidRDefault="008322B9" w:rsidP="008322B9">
            <w:pPr>
              <w:pStyle w:val="CDIFigure-Table-BodyTextLeft"/>
            </w:pPr>
            <w:r>
              <w:t>Myocarditis and/or pericarditis</w:t>
            </w:r>
          </w:p>
        </w:tc>
        <w:tc>
          <w:tcPr>
            <w:tcW w:w="1248" w:type="dxa"/>
            <w:shd w:val="clear" w:color="auto" w:fill="F2F2F2" w:themeFill="background1" w:themeFillShade="F2"/>
            <w:tcMar>
              <w:top w:w="108" w:type="dxa"/>
              <w:left w:w="113" w:type="dxa"/>
              <w:bottom w:w="108" w:type="dxa"/>
              <w:right w:w="113" w:type="dxa"/>
            </w:tcMar>
            <w:vAlign w:val="center"/>
          </w:tcPr>
          <w:p w14:paraId="60901703" w14:textId="77777777" w:rsidR="008322B9" w:rsidRDefault="008322B9" w:rsidP="008322B9">
            <w:pPr>
              <w:pStyle w:val="CDIFigure-Table-BodyTextCentre"/>
            </w:pPr>
            <w:r>
              <w:t>4,030 (3.6)</w:t>
            </w:r>
          </w:p>
        </w:tc>
        <w:tc>
          <w:tcPr>
            <w:tcW w:w="1247" w:type="dxa"/>
            <w:shd w:val="clear" w:color="auto" w:fill="F2F2F2" w:themeFill="background1" w:themeFillShade="F2"/>
            <w:tcMar>
              <w:top w:w="108" w:type="dxa"/>
              <w:left w:w="113" w:type="dxa"/>
              <w:bottom w:w="108" w:type="dxa"/>
              <w:right w:w="113" w:type="dxa"/>
            </w:tcMar>
            <w:vAlign w:val="center"/>
          </w:tcPr>
          <w:p w14:paraId="12CFB7BE" w14:textId="77777777" w:rsidR="008322B9" w:rsidRDefault="008322B9" w:rsidP="008322B9">
            <w:pPr>
              <w:pStyle w:val="CDIFigure-Table-BodyTextCentre"/>
            </w:pPr>
            <w:r>
              <w:t>3,546 (88)</w:t>
            </w:r>
          </w:p>
        </w:tc>
        <w:tc>
          <w:tcPr>
            <w:tcW w:w="1191" w:type="dxa"/>
            <w:shd w:val="clear" w:color="auto" w:fill="F2F2F2" w:themeFill="background1" w:themeFillShade="F2"/>
            <w:tcMar>
              <w:top w:w="108" w:type="dxa"/>
              <w:left w:w="113" w:type="dxa"/>
              <w:bottom w:w="108" w:type="dxa"/>
              <w:right w:w="113" w:type="dxa"/>
            </w:tcMar>
            <w:vAlign w:val="center"/>
          </w:tcPr>
          <w:p w14:paraId="45C8ABD8" w14:textId="77777777" w:rsidR="008322B9" w:rsidRDefault="008322B9" w:rsidP="008322B9">
            <w:pPr>
              <w:pStyle w:val="CDIFigure-Table-BodyTextCentre"/>
            </w:pPr>
            <w:r>
              <w:t>211 (5.2)</w:t>
            </w:r>
          </w:p>
        </w:tc>
        <w:tc>
          <w:tcPr>
            <w:tcW w:w="1190" w:type="dxa"/>
            <w:shd w:val="clear" w:color="auto" w:fill="F2F2F2" w:themeFill="background1" w:themeFillShade="F2"/>
            <w:tcMar>
              <w:top w:w="108" w:type="dxa"/>
              <w:left w:w="113" w:type="dxa"/>
              <w:bottom w:w="108" w:type="dxa"/>
              <w:right w:w="113" w:type="dxa"/>
            </w:tcMar>
            <w:vAlign w:val="center"/>
          </w:tcPr>
          <w:p w14:paraId="3E7563AC" w14:textId="77777777" w:rsidR="008322B9" w:rsidRDefault="008322B9" w:rsidP="008322B9">
            <w:pPr>
              <w:pStyle w:val="CDIFigure-Table-BodyTextCentre"/>
            </w:pPr>
            <w:r>
              <w:t>3,495 (86.7)</w:t>
            </w:r>
          </w:p>
        </w:tc>
        <w:tc>
          <w:tcPr>
            <w:tcW w:w="1191" w:type="dxa"/>
            <w:shd w:val="clear" w:color="auto" w:fill="F2F2F2" w:themeFill="background1" w:themeFillShade="F2"/>
            <w:tcMar>
              <w:top w:w="108" w:type="dxa"/>
              <w:left w:w="113" w:type="dxa"/>
              <w:bottom w:w="108" w:type="dxa"/>
              <w:right w:w="113" w:type="dxa"/>
            </w:tcMar>
            <w:vAlign w:val="center"/>
          </w:tcPr>
          <w:p w14:paraId="387D8E08" w14:textId="77777777" w:rsidR="008322B9" w:rsidRDefault="008322B9" w:rsidP="008322B9">
            <w:pPr>
              <w:pStyle w:val="CDIFigure-Table-BodyTextCentre"/>
            </w:pPr>
            <w:r>
              <w:t>204 (5.1)</w:t>
            </w:r>
          </w:p>
        </w:tc>
        <w:tc>
          <w:tcPr>
            <w:tcW w:w="1134" w:type="dxa"/>
            <w:shd w:val="clear" w:color="auto" w:fill="F2F2F2" w:themeFill="background1" w:themeFillShade="F2"/>
            <w:tcMar>
              <w:top w:w="108" w:type="dxa"/>
              <w:left w:w="113" w:type="dxa"/>
              <w:bottom w:w="108" w:type="dxa"/>
              <w:right w:w="113" w:type="dxa"/>
            </w:tcMar>
            <w:vAlign w:val="center"/>
          </w:tcPr>
          <w:p w14:paraId="43BEACDC" w14:textId="77777777" w:rsidR="008322B9" w:rsidRDefault="008322B9" w:rsidP="008322B9">
            <w:pPr>
              <w:pStyle w:val="CDIFigure-Table-BodyTextCentre"/>
            </w:pPr>
            <w:r>
              <w:t>1,426 (35.4)</w:t>
            </w:r>
          </w:p>
        </w:tc>
      </w:tr>
      <w:tr w:rsidR="008322B9" w14:paraId="7D74B6DA" w14:textId="77777777" w:rsidTr="008322B9">
        <w:trPr>
          <w:divId w:val="935526654"/>
          <w:trHeight w:val="20"/>
        </w:trPr>
        <w:tc>
          <w:tcPr>
            <w:tcW w:w="2494" w:type="dxa"/>
            <w:tcMar>
              <w:top w:w="108" w:type="dxa"/>
              <w:left w:w="113" w:type="dxa"/>
              <w:bottom w:w="108" w:type="dxa"/>
              <w:right w:w="113" w:type="dxa"/>
            </w:tcMar>
            <w:vAlign w:val="center"/>
          </w:tcPr>
          <w:p w14:paraId="134C2F15" w14:textId="77777777" w:rsidR="008322B9" w:rsidRDefault="008322B9" w:rsidP="008322B9">
            <w:pPr>
              <w:pStyle w:val="CDIFigure-Table-BodyTextLeft"/>
            </w:pPr>
            <w:r>
              <w:t>Thrombosis and thromboembolism</w:t>
            </w:r>
          </w:p>
        </w:tc>
        <w:tc>
          <w:tcPr>
            <w:tcW w:w="1248" w:type="dxa"/>
            <w:tcMar>
              <w:top w:w="108" w:type="dxa"/>
              <w:left w:w="113" w:type="dxa"/>
              <w:bottom w:w="108" w:type="dxa"/>
              <w:right w:w="113" w:type="dxa"/>
            </w:tcMar>
            <w:vAlign w:val="center"/>
          </w:tcPr>
          <w:p w14:paraId="6CB6ECB4" w14:textId="77777777" w:rsidR="008322B9" w:rsidRDefault="008322B9" w:rsidP="008322B9">
            <w:pPr>
              <w:pStyle w:val="CDIFigure-Table-BodyTextCentre"/>
            </w:pPr>
            <w:r>
              <w:t>3,384 (3)</w:t>
            </w:r>
          </w:p>
        </w:tc>
        <w:tc>
          <w:tcPr>
            <w:tcW w:w="1247" w:type="dxa"/>
            <w:tcMar>
              <w:top w:w="108" w:type="dxa"/>
              <w:left w:w="113" w:type="dxa"/>
              <w:bottom w:w="108" w:type="dxa"/>
              <w:right w:w="113" w:type="dxa"/>
            </w:tcMar>
            <w:vAlign w:val="center"/>
          </w:tcPr>
          <w:p w14:paraId="40A39872" w14:textId="77777777" w:rsidR="008322B9" w:rsidRDefault="008322B9" w:rsidP="008322B9">
            <w:pPr>
              <w:pStyle w:val="CDIFigure-Table-BodyTextCentre"/>
            </w:pPr>
            <w:r>
              <w:t>3,116 (92.1)</w:t>
            </w:r>
          </w:p>
        </w:tc>
        <w:tc>
          <w:tcPr>
            <w:tcW w:w="1191" w:type="dxa"/>
            <w:tcMar>
              <w:top w:w="108" w:type="dxa"/>
              <w:left w:w="113" w:type="dxa"/>
              <w:bottom w:w="108" w:type="dxa"/>
              <w:right w:w="113" w:type="dxa"/>
            </w:tcMar>
            <w:vAlign w:val="center"/>
          </w:tcPr>
          <w:p w14:paraId="5F1C2C59" w14:textId="77777777" w:rsidR="008322B9" w:rsidRDefault="008322B9" w:rsidP="008322B9">
            <w:pPr>
              <w:pStyle w:val="CDIFigure-Table-BodyTextCentre"/>
            </w:pPr>
            <w:r>
              <w:t>5 (0.1)</w:t>
            </w:r>
          </w:p>
        </w:tc>
        <w:tc>
          <w:tcPr>
            <w:tcW w:w="1190" w:type="dxa"/>
            <w:tcMar>
              <w:top w:w="108" w:type="dxa"/>
              <w:left w:w="113" w:type="dxa"/>
              <w:bottom w:w="108" w:type="dxa"/>
              <w:right w:w="113" w:type="dxa"/>
            </w:tcMar>
            <w:vAlign w:val="center"/>
          </w:tcPr>
          <w:p w14:paraId="56DE317D" w14:textId="77777777" w:rsidR="008322B9" w:rsidRDefault="008322B9" w:rsidP="008322B9">
            <w:pPr>
              <w:pStyle w:val="CDIFigure-Table-BodyTextCentre"/>
            </w:pPr>
            <w:r>
              <w:t>1,264 (37.4)</w:t>
            </w:r>
          </w:p>
        </w:tc>
        <w:tc>
          <w:tcPr>
            <w:tcW w:w="1191" w:type="dxa"/>
            <w:tcMar>
              <w:top w:w="108" w:type="dxa"/>
              <w:left w:w="113" w:type="dxa"/>
              <w:bottom w:w="108" w:type="dxa"/>
              <w:right w:w="113" w:type="dxa"/>
            </w:tcMar>
            <w:vAlign w:val="center"/>
          </w:tcPr>
          <w:p w14:paraId="251D7C7A" w14:textId="77777777" w:rsidR="008322B9" w:rsidRDefault="008322B9" w:rsidP="008322B9">
            <w:pPr>
              <w:pStyle w:val="CDIFigure-Table-BodyTextCentre"/>
            </w:pPr>
            <w:r>
              <w:t>2,024 (59.8)</w:t>
            </w:r>
          </w:p>
        </w:tc>
        <w:tc>
          <w:tcPr>
            <w:tcW w:w="1134" w:type="dxa"/>
            <w:tcMar>
              <w:top w:w="108" w:type="dxa"/>
              <w:left w:w="113" w:type="dxa"/>
              <w:bottom w:w="108" w:type="dxa"/>
              <w:right w:w="113" w:type="dxa"/>
            </w:tcMar>
            <w:vAlign w:val="center"/>
          </w:tcPr>
          <w:p w14:paraId="773D15A8" w14:textId="77777777" w:rsidR="008322B9" w:rsidRDefault="008322B9" w:rsidP="008322B9">
            <w:pPr>
              <w:pStyle w:val="CDIFigure-Table-BodyTextCentre"/>
            </w:pPr>
            <w:r>
              <w:t>1,340 (39.6)</w:t>
            </w:r>
          </w:p>
        </w:tc>
      </w:tr>
      <w:tr w:rsidR="008322B9" w14:paraId="52B2ACBD" w14:textId="77777777" w:rsidTr="008322B9">
        <w:trPr>
          <w:divId w:val="935526654"/>
          <w:trHeight w:val="20"/>
        </w:trPr>
        <w:tc>
          <w:tcPr>
            <w:tcW w:w="2494" w:type="dxa"/>
            <w:shd w:val="clear" w:color="auto" w:fill="F2F2F2" w:themeFill="background1" w:themeFillShade="F2"/>
            <w:tcMar>
              <w:top w:w="108" w:type="dxa"/>
              <w:left w:w="113" w:type="dxa"/>
              <w:bottom w:w="108" w:type="dxa"/>
              <w:right w:w="113" w:type="dxa"/>
            </w:tcMar>
            <w:vAlign w:val="center"/>
          </w:tcPr>
          <w:p w14:paraId="0197CDE6" w14:textId="77777777" w:rsidR="008322B9" w:rsidRDefault="008322B9" w:rsidP="008322B9">
            <w:pPr>
              <w:pStyle w:val="CDIFigure-Table-BodyTextLeft"/>
            </w:pPr>
            <w:r>
              <w:t>Anaphylaxis</w:t>
            </w:r>
          </w:p>
        </w:tc>
        <w:tc>
          <w:tcPr>
            <w:tcW w:w="1248" w:type="dxa"/>
            <w:shd w:val="clear" w:color="auto" w:fill="F2F2F2" w:themeFill="background1" w:themeFillShade="F2"/>
            <w:tcMar>
              <w:top w:w="108" w:type="dxa"/>
              <w:left w:w="113" w:type="dxa"/>
              <w:bottom w:w="108" w:type="dxa"/>
              <w:right w:w="113" w:type="dxa"/>
            </w:tcMar>
            <w:vAlign w:val="center"/>
          </w:tcPr>
          <w:p w14:paraId="37C2980B" w14:textId="77777777" w:rsidR="008322B9" w:rsidRDefault="008322B9" w:rsidP="008322B9">
            <w:pPr>
              <w:pStyle w:val="CDIFigure-Table-BodyTextCentre"/>
            </w:pPr>
            <w:r>
              <w:t>1,188 (1.1)</w:t>
            </w:r>
          </w:p>
        </w:tc>
        <w:tc>
          <w:tcPr>
            <w:tcW w:w="1247" w:type="dxa"/>
            <w:shd w:val="clear" w:color="auto" w:fill="F2F2F2" w:themeFill="background1" w:themeFillShade="F2"/>
            <w:tcMar>
              <w:top w:w="108" w:type="dxa"/>
              <w:left w:w="113" w:type="dxa"/>
              <w:bottom w:w="108" w:type="dxa"/>
              <w:right w:w="113" w:type="dxa"/>
            </w:tcMar>
            <w:vAlign w:val="center"/>
          </w:tcPr>
          <w:p w14:paraId="3F4FAD46" w14:textId="77777777" w:rsidR="008322B9" w:rsidRDefault="008322B9" w:rsidP="008322B9">
            <w:pPr>
              <w:pStyle w:val="CDIFigure-Table-BodyTextCentre"/>
            </w:pPr>
            <w:r>
              <w:t>1,158 (97.5)</w:t>
            </w:r>
          </w:p>
        </w:tc>
        <w:tc>
          <w:tcPr>
            <w:tcW w:w="1191" w:type="dxa"/>
            <w:shd w:val="clear" w:color="auto" w:fill="F2F2F2" w:themeFill="background1" w:themeFillShade="F2"/>
            <w:tcMar>
              <w:top w:w="108" w:type="dxa"/>
              <w:left w:w="113" w:type="dxa"/>
              <w:bottom w:w="108" w:type="dxa"/>
              <w:right w:w="113" w:type="dxa"/>
            </w:tcMar>
            <w:vAlign w:val="center"/>
          </w:tcPr>
          <w:p w14:paraId="6EB71C1C" w14:textId="77777777" w:rsidR="008322B9" w:rsidRDefault="008322B9" w:rsidP="008322B9">
            <w:pPr>
              <w:pStyle w:val="CDIFigure-Table-BodyTextCentre"/>
            </w:pPr>
            <w:r>
              <w:t>13 (1.1)</w:t>
            </w:r>
          </w:p>
        </w:tc>
        <w:tc>
          <w:tcPr>
            <w:tcW w:w="1190" w:type="dxa"/>
            <w:shd w:val="clear" w:color="auto" w:fill="F2F2F2" w:themeFill="background1" w:themeFillShade="F2"/>
            <w:tcMar>
              <w:top w:w="108" w:type="dxa"/>
              <w:left w:w="113" w:type="dxa"/>
              <w:bottom w:w="108" w:type="dxa"/>
              <w:right w:w="113" w:type="dxa"/>
            </w:tcMar>
            <w:vAlign w:val="center"/>
          </w:tcPr>
          <w:p w14:paraId="01BE5B88" w14:textId="77777777" w:rsidR="008322B9" w:rsidRDefault="008322B9" w:rsidP="008322B9">
            <w:pPr>
              <w:pStyle w:val="CDIFigure-Table-BodyTextCentre"/>
            </w:pPr>
            <w:r>
              <w:t>990 (83.3)</w:t>
            </w:r>
          </w:p>
        </w:tc>
        <w:tc>
          <w:tcPr>
            <w:tcW w:w="1191" w:type="dxa"/>
            <w:shd w:val="clear" w:color="auto" w:fill="F2F2F2" w:themeFill="background1" w:themeFillShade="F2"/>
            <w:tcMar>
              <w:top w:w="108" w:type="dxa"/>
              <w:left w:w="113" w:type="dxa"/>
              <w:bottom w:w="108" w:type="dxa"/>
              <w:right w:w="113" w:type="dxa"/>
            </w:tcMar>
            <w:vAlign w:val="center"/>
          </w:tcPr>
          <w:p w14:paraId="7ECA1F88" w14:textId="77777777" w:rsidR="008322B9" w:rsidRDefault="008322B9" w:rsidP="008322B9">
            <w:pPr>
              <w:pStyle w:val="CDIFigure-Table-BodyTextCentre"/>
            </w:pPr>
            <w:r>
              <w:t>153 (12.9)</w:t>
            </w:r>
          </w:p>
        </w:tc>
        <w:tc>
          <w:tcPr>
            <w:tcW w:w="1134" w:type="dxa"/>
            <w:shd w:val="clear" w:color="auto" w:fill="F2F2F2" w:themeFill="background1" w:themeFillShade="F2"/>
            <w:tcMar>
              <w:top w:w="108" w:type="dxa"/>
              <w:left w:w="113" w:type="dxa"/>
              <w:bottom w:w="108" w:type="dxa"/>
              <w:right w:w="113" w:type="dxa"/>
            </w:tcMar>
            <w:vAlign w:val="center"/>
          </w:tcPr>
          <w:p w14:paraId="2B28AE47" w14:textId="77777777" w:rsidR="008322B9" w:rsidRDefault="008322B9" w:rsidP="008322B9">
            <w:pPr>
              <w:pStyle w:val="CDIFigure-Table-BodyTextCentre"/>
            </w:pPr>
            <w:r>
              <w:t>333 (28)</w:t>
            </w:r>
          </w:p>
        </w:tc>
      </w:tr>
      <w:tr w:rsidR="008322B9" w14:paraId="07EDD7E9" w14:textId="77777777" w:rsidTr="008322B9">
        <w:trPr>
          <w:divId w:val="935526654"/>
          <w:trHeight w:val="20"/>
        </w:trPr>
        <w:tc>
          <w:tcPr>
            <w:tcW w:w="2494" w:type="dxa"/>
            <w:tcMar>
              <w:top w:w="108" w:type="dxa"/>
              <w:left w:w="113" w:type="dxa"/>
              <w:bottom w:w="108" w:type="dxa"/>
              <w:right w:w="113" w:type="dxa"/>
            </w:tcMar>
            <w:vAlign w:val="center"/>
          </w:tcPr>
          <w:p w14:paraId="2B99AB6C" w14:textId="77777777" w:rsidR="008322B9" w:rsidRDefault="008322B9" w:rsidP="008322B9">
            <w:pPr>
              <w:pStyle w:val="CDIFigure-Table-BodyTextLeft"/>
            </w:pPr>
            <w:r>
              <w:t>Bell's palsy and facial nerve palsy</w:t>
            </w:r>
          </w:p>
        </w:tc>
        <w:tc>
          <w:tcPr>
            <w:tcW w:w="1248" w:type="dxa"/>
            <w:tcMar>
              <w:top w:w="108" w:type="dxa"/>
              <w:left w:w="113" w:type="dxa"/>
              <w:bottom w:w="108" w:type="dxa"/>
              <w:right w:w="113" w:type="dxa"/>
            </w:tcMar>
            <w:vAlign w:val="center"/>
          </w:tcPr>
          <w:p w14:paraId="41522321" w14:textId="77777777" w:rsidR="008322B9" w:rsidRDefault="008322B9" w:rsidP="008322B9">
            <w:pPr>
              <w:pStyle w:val="CDIFigure-Table-BodyTextCentre"/>
            </w:pPr>
            <w:r>
              <w:t>1,017 (0.9)</w:t>
            </w:r>
          </w:p>
        </w:tc>
        <w:tc>
          <w:tcPr>
            <w:tcW w:w="1247" w:type="dxa"/>
            <w:tcMar>
              <w:top w:w="108" w:type="dxa"/>
              <w:left w:w="113" w:type="dxa"/>
              <w:bottom w:w="108" w:type="dxa"/>
              <w:right w:w="113" w:type="dxa"/>
            </w:tcMar>
            <w:vAlign w:val="center"/>
          </w:tcPr>
          <w:p w14:paraId="071A7B1D" w14:textId="77777777" w:rsidR="008322B9" w:rsidRDefault="008322B9" w:rsidP="008322B9">
            <w:pPr>
              <w:pStyle w:val="CDIFigure-Table-BodyTextCentre"/>
            </w:pPr>
            <w:r>
              <w:t>958 (94.2)</w:t>
            </w:r>
          </w:p>
        </w:tc>
        <w:tc>
          <w:tcPr>
            <w:tcW w:w="1191" w:type="dxa"/>
            <w:tcMar>
              <w:top w:w="108" w:type="dxa"/>
              <w:left w:w="113" w:type="dxa"/>
              <w:bottom w:w="108" w:type="dxa"/>
              <w:right w:w="113" w:type="dxa"/>
            </w:tcMar>
            <w:vAlign w:val="center"/>
          </w:tcPr>
          <w:p w14:paraId="1DF1BE03" w14:textId="77777777" w:rsidR="008322B9" w:rsidRDefault="008322B9" w:rsidP="008322B9">
            <w:pPr>
              <w:pStyle w:val="CDIFigure-Table-BodyTextCentre"/>
            </w:pPr>
            <w:r>
              <w:t>8 (0.8)</w:t>
            </w:r>
          </w:p>
        </w:tc>
        <w:tc>
          <w:tcPr>
            <w:tcW w:w="1190" w:type="dxa"/>
            <w:tcMar>
              <w:top w:w="108" w:type="dxa"/>
              <w:left w:w="113" w:type="dxa"/>
              <w:bottom w:w="108" w:type="dxa"/>
              <w:right w:w="113" w:type="dxa"/>
            </w:tcMar>
            <w:vAlign w:val="center"/>
          </w:tcPr>
          <w:p w14:paraId="5E132E96" w14:textId="77777777" w:rsidR="008322B9" w:rsidRDefault="008322B9" w:rsidP="008322B9">
            <w:pPr>
              <w:pStyle w:val="CDIFigure-Table-BodyTextCentre"/>
            </w:pPr>
            <w:r>
              <w:t>737 (72.5)</w:t>
            </w:r>
          </w:p>
        </w:tc>
        <w:tc>
          <w:tcPr>
            <w:tcW w:w="1191" w:type="dxa"/>
            <w:tcMar>
              <w:top w:w="108" w:type="dxa"/>
              <w:left w:w="113" w:type="dxa"/>
              <w:bottom w:w="108" w:type="dxa"/>
              <w:right w:w="113" w:type="dxa"/>
            </w:tcMar>
            <w:vAlign w:val="center"/>
          </w:tcPr>
          <w:p w14:paraId="20EF24DC" w14:textId="77777777" w:rsidR="008322B9" w:rsidRDefault="008322B9" w:rsidP="008322B9">
            <w:pPr>
              <w:pStyle w:val="CDIFigure-Table-BodyTextCentre"/>
            </w:pPr>
            <w:r>
              <w:t>245 (24.1)</w:t>
            </w:r>
          </w:p>
        </w:tc>
        <w:tc>
          <w:tcPr>
            <w:tcW w:w="1134" w:type="dxa"/>
            <w:tcMar>
              <w:top w:w="108" w:type="dxa"/>
              <w:left w:w="113" w:type="dxa"/>
              <w:bottom w:w="108" w:type="dxa"/>
              <w:right w:w="113" w:type="dxa"/>
            </w:tcMar>
            <w:vAlign w:val="center"/>
          </w:tcPr>
          <w:p w14:paraId="1165C2C6" w14:textId="77777777" w:rsidR="008322B9" w:rsidRDefault="008322B9" w:rsidP="008322B9">
            <w:pPr>
              <w:pStyle w:val="CDIFigure-Table-BodyTextCentre"/>
            </w:pPr>
            <w:r>
              <w:t>229 (22.5)</w:t>
            </w:r>
          </w:p>
        </w:tc>
      </w:tr>
      <w:tr w:rsidR="008322B9" w14:paraId="5FF64ADF" w14:textId="77777777" w:rsidTr="008322B9">
        <w:trPr>
          <w:divId w:val="935526654"/>
          <w:trHeight w:val="20"/>
        </w:trPr>
        <w:tc>
          <w:tcPr>
            <w:tcW w:w="2494" w:type="dxa"/>
            <w:shd w:val="clear" w:color="auto" w:fill="F2F2F2" w:themeFill="background1" w:themeFillShade="F2"/>
            <w:tcMar>
              <w:top w:w="108" w:type="dxa"/>
              <w:left w:w="113" w:type="dxa"/>
              <w:bottom w:w="108" w:type="dxa"/>
              <w:right w:w="113" w:type="dxa"/>
            </w:tcMar>
            <w:vAlign w:val="center"/>
          </w:tcPr>
          <w:p w14:paraId="4A80BF0A" w14:textId="77777777" w:rsidR="008322B9" w:rsidRDefault="008322B9" w:rsidP="008322B9">
            <w:pPr>
              <w:pStyle w:val="CDIFigure-Table-BodyTextLeft"/>
            </w:pPr>
            <w:r>
              <w:t>Thrombocytopenia</w:t>
            </w:r>
          </w:p>
        </w:tc>
        <w:tc>
          <w:tcPr>
            <w:tcW w:w="1248" w:type="dxa"/>
            <w:shd w:val="clear" w:color="auto" w:fill="F2F2F2" w:themeFill="background1" w:themeFillShade="F2"/>
            <w:tcMar>
              <w:top w:w="108" w:type="dxa"/>
              <w:left w:w="113" w:type="dxa"/>
              <w:bottom w:w="108" w:type="dxa"/>
              <w:right w:w="113" w:type="dxa"/>
            </w:tcMar>
            <w:vAlign w:val="center"/>
          </w:tcPr>
          <w:p w14:paraId="482DC1B7" w14:textId="77777777" w:rsidR="008322B9" w:rsidRDefault="008322B9" w:rsidP="008322B9">
            <w:pPr>
              <w:pStyle w:val="CDIFigure-Table-BodyTextCentre"/>
            </w:pPr>
            <w:r>
              <w:t>990 (0.9)</w:t>
            </w:r>
          </w:p>
        </w:tc>
        <w:tc>
          <w:tcPr>
            <w:tcW w:w="1247" w:type="dxa"/>
            <w:shd w:val="clear" w:color="auto" w:fill="F2F2F2" w:themeFill="background1" w:themeFillShade="F2"/>
            <w:tcMar>
              <w:top w:w="108" w:type="dxa"/>
              <w:left w:w="113" w:type="dxa"/>
              <w:bottom w:w="108" w:type="dxa"/>
              <w:right w:w="113" w:type="dxa"/>
            </w:tcMar>
            <w:vAlign w:val="center"/>
          </w:tcPr>
          <w:p w14:paraId="1E6D7694" w14:textId="77777777" w:rsidR="008322B9" w:rsidRDefault="008322B9" w:rsidP="008322B9">
            <w:pPr>
              <w:pStyle w:val="CDIFigure-Table-BodyTextCentre"/>
            </w:pPr>
            <w:r>
              <w:t>876 (88.5)</w:t>
            </w:r>
          </w:p>
        </w:tc>
        <w:tc>
          <w:tcPr>
            <w:tcW w:w="1191" w:type="dxa"/>
            <w:shd w:val="clear" w:color="auto" w:fill="F2F2F2" w:themeFill="background1" w:themeFillShade="F2"/>
            <w:tcMar>
              <w:top w:w="108" w:type="dxa"/>
              <w:left w:w="113" w:type="dxa"/>
              <w:bottom w:w="108" w:type="dxa"/>
              <w:right w:w="113" w:type="dxa"/>
            </w:tcMar>
            <w:vAlign w:val="center"/>
          </w:tcPr>
          <w:p w14:paraId="686AD139" w14:textId="77777777" w:rsidR="008322B9" w:rsidRDefault="008322B9" w:rsidP="008322B9">
            <w:pPr>
              <w:pStyle w:val="CDIFigure-Table-BodyTextCentre"/>
            </w:pPr>
            <w:r>
              <w:t>8 (0.8)</w:t>
            </w:r>
          </w:p>
        </w:tc>
        <w:tc>
          <w:tcPr>
            <w:tcW w:w="1190" w:type="dxa"/>
            <w:shd w:val="clear" w:color="auto" w:fill="F2F2F2" w:themeFill="background1" w:themeFillShade="F2"/>
            <w:tcMar>
              <w:top w:w="108" w:type="dxa"/>
              <w:left w:w="113" w:type="dxa"/>
              <w:bottom w:w="108" w:type="dxa"/>
              <w:right w:w="113" w:type="dxa"/>
            </w:tcMar>
            <w:vAlign w:val="center"/>
          </w:tcPr>
          <w:p w14:paraId="64E96028" w14:textId="77777777" w:rsidR="008322B9" w:rsidRDefault="008322B9" w:rsidP="008322B9">
            <w:pPr>
              <w:pStyle w:val="CDIFigure-Table-BodyTextCentre"/>
            </w:pPr>
            <w:r>
              <w:t>358 (36.2)</w:t>
            </w:r>
          </w:p>
        </w:tc>
        <w:tc>
          <w:tcPr>
            <w:tcW w:w="1191" w:type="dxa"/>
            <w:shd w:val="clear" w:color="auto" w:fill="F2F2F2" w:themeFill="background1" w:themeFillShade="F2"/>
            <w:tcMar>
              <w:top w:w="108" w:type="dxa"/>
              <w:left w:w="113" w:type="dxa"/>
              <w:bottom w:w="108" w:type="dxa"/>
              <w:right w:w="113" w:type="dxa"/>
            </w:tcMar>
            <w:vAlign w:val="center"/>
          </w:tcPr>
          <w:p w14:paraId="681AC050" w14:textId="77777777" w:rsidR="008322B9" w:rsidRDefault="008322B9" w:rsidP="008322B9">
            <w:pPr>
              <w:pStyle w:val="CDIFigure-Table-BodyTextCentre"/>
            </w:pPr>
            <w:r>
              <w:t>598 (60.4)</w:t>
            </w:r>
          </w:p>
        </w:tc>
        <w:tc>
          <w:tcPr>
            <w:tcW w:w="1134" w:type="dxa"/>
            <w:shd w:val="clear" w:color="auto" w:fill="F2F2F2" w:themeFill="background1" w:themeFillShade="F2"/>
            <w:tcMar>
              <w:top w:w="108" w:type="dxa"/>
              <w:left w:w="113" w:type="dxa"/>
              <w:bottom w:w="108" w:type="dxa"/>
              <w:right w:w="113" w:type="dxa"/>
            </w:tcMar>
            <w:vAlign w:val="center"/>
          </w:tcPr>
          <w:p w14:paraId="65509879" w14:textId="77777777" w:rsidR="008322B9" w:rsidRDefault="008322B9" w:rsidP="008322B9">
            <w:pPr>
              <w:pStyle w:val="CDIFigure-Table-BodyTextCentre"/>
            </w:pPr>
            <w:r>
              <w:t>608 (61.4)</w:t>
            </w:r>
          </w:p>
        </w:tc>
      </w:tr>
      <w:tr w:rsidR="008322B9" w14:paraId="0B6DD8A0" w14:textId="77777777" w:rsidTr="008322B9">
        <w:trPr>
          <w:divId w:val="935526654"/>
          <w:trHeight w:val="20"/>
        </w:trPr>
        <w:tc>
          <w:tcPr>
            <w:tcW w:w="2494" w:type="dxa"/>
            <w:tcMar>
              <w:top w:w="108" w:type="dxa"/>
              <w:left w:w="113" w:type="dxa"/>
              <w:bottom w:w="108" w:type="dxa"/>
              <w:right w:w="113" w:type="dxa"/>
            </w:tcMar>
            <w:vAlign w:val="center"/>
          </w:tcPr>
          <w:p w14:paraId="06A342F4" w14:textId="77777777" w:rsidR="008322B9" w:rsidRDefault="008322B9" w:rsidP="008322B9">
            <w:pPr>
              <w:pStyle w:val="CDIFigure-Table-BodyTextLeft"/>
            </w:pPr>
            <w:r>
              <w:t>Generalised convulsion</w:t>
            </w:r>
          </w:p>
        </w:tc>
        <w:tc>
          <w:tcPr>
            <w:tcW w:w="1248" w:type="dxa"/>
            <w:tcMar>
              <w:top w:w="108" w:type="dxa"/>
              <w:left w:w="113" w:type="dxa"/>
              <w:bottom w:w="108" w:type="dxa"/>
              <w:right w:w="113" w:type="dxa"/>
            </w:tcMar>
            <w:vAlign w:val="center"/>
          </w:tcPr>
          <w:p w14:paraId="404C3A5F" w14:textId="77777777" w:rsidR="008322B9" w:rsidRDefault="008322B9" w:rsidP="008322B9">
            <w:pPr>
              <w:pStyle w:val="CDIFigure-Table-BodyTextCentre"/>
            </w:pPr>
            <w:r>
              <w:t>822 (0.7)</w:t>
            </w:r>
          </w:p>
        </w:tc>
        <w:tc>
          <w:tcPr>
            <w:tcW w:w="1247" w:type="dxa"/>
            <w:tcMar>
              <w:top w:w="108" w:type="dxa"/>
              <w:left w:w="113" w:type="dxa"/>
              <w:bottom w:w="108" w:type="dxa"/>
              <w:right w:w="113" w:type="dxa"/>
            </w:tcMar>
            <w:vAlign w:val="center"/>
          </w:tcPr>
          <w:p w14:paraId="47681D09" w14:textId="77777777" w:rsidR="008322B9" w:rsidRDefault="008322B9" w:rsidP="008322B9">
            <w:pPr>
              <w:pStyle w:val="CDIFigure-Table-BodyTextCentre"/>
            </w:pPr>
            <w:r>
              <w:t>782 (95.1)</w:t>
            </w:r>
          </w:p>
        </w:tc>
        <w:tc>
          <w:tcPr>
            <w:tcW w:w="1191" w:type="dxa"/>
            <w:tcMar>
              <w:top w:w="108" w:type="dxa"/>
              <w:left w:w="113" w:type="dxa"/>
              <w:bottom w:w="108" w:type="dxa"/>
              <w:right w:w="113" w:type="dxa"/>
            </w:tcMar>
            <w:vAlign w:val="center"/>
          </w:tcPr>
          <w:p w14:paraId="002EC9E6" w14:textId="77777777" w:rsidR="008322B9" w:rsidRDefault="008322B9" w:rsidP="008322B9">
            <w:pPr>
              <w:pStyle w:val="CDIFigure-Table-BodyTextCentre"/>
            </w:pPr>
            <w:r>
              <w:t>35 (4.3)</w:t>
            </w:r>
          </w:p>
        </w:tc>
        <w:tc>
          <w:tcPr>
            <w:tcW w:w="1190" w:type="dxa"/>
            <w:tcMar>
              <w:top w:w="108" w:type="dxa"/>
              <w:left w:w="113" w:type="dxa"/>
              <w:bottom w:w="108" w:type="dxa"/>
              <w:right w:w="113" w:type="dxa"/>
            </w:tcMar>
            <w:vAlign w:val="center"/>
          </w:tcPr>
          <w:p w14:paraId="1E04380D" w14:textId="77777777" w:rsidR="008322B9" w:rsidRDefault="008322B9" w:rsidP="008322B9">
            <w:pPr>
              <w:pStyle w:val="CDIFigure-Table-BodyTextCentre"/>
            </w:pPr>
            <w:r>
              <w:t>631 (76.8)</w:t>
            </w:r>
          </w:p>
        </w:tc>
        <w:tc>
          <w:tcPr>
            <w:tcW w:w="1191" w:type="dxa"/>
            <w:tcMar>
              <w:top w:w="108" w:type="dxa"/>
              <w:left w:w="113" w:type="dxa"/>
              <w:bottom w:w="108" w:type="dxa"/>
              <w:right w:w="113" w:type="dxa"/>
            </w:tcMar>
            <w:vAlign w:val="center"/>
          </w:tcPr>
          <w:p w14:paraId="22E706BE" w14:textId="77777777" w:rsidR="008322B9" w:rsidRDefault="008322B9" w:rsidP="008322B9">
            <w:pPr>
              <w:pStyle w:val="CDIFigure-Table-BodyTextCentre"/>
            </w:pPr>
            <w:r>
              <w:t>131 (15.9)</w:t>
            </w:r>
          </w:p>
        </w:tc>
        <w:tc>
          <w:tcPr>
            <w:tcW w:w="1134" w:type="dxa"/>
            <w:tcMar>
              <w:top w:w="108" w:type="dxa"/>
              <w:left w:w="113" w:type="dxa"/>
              <w:bottom w:w="108" w:type="dxa"/>
              <w:right w:w="113" w:type="dxa"/>
            </w:tcMar>
            <w:vAlign w:val="center"/>
          </w:tcPr>
          <w:p w14:paraId="13FA7BD8" w14:textId="77777777" w:rsidR="008322B9" w:rsidRDefault="008322B9" w:rsidP="008322B9">
            <w:pPr>
              <w:pStyle w:val="CDIFigure-Table-BodyTextCentre"/>
            </w:pPr>
            <w:r>
              <w:t>239 (29.1)</w:t>
            </w:r>
          </w:p>
        </w:tc>
      </w:tr>
      <w:tr w:rsidR="008322B9" w14:paraId="2DAB031F" w14:textId="77777777" w:rsidTr="008322B9">
        <w:trPr>
          <w:divId w:val="935526654"/>
          <w:trHeight w:val="20"/>
        </w:trPr>
        <w:tc>
          <w:tcPr>
            <w:tcW w:w="2494" w:type="dxa"/>
            <w:shd w:val="clear" w:color="auto" w:fill="F2F2F2" w:themeFill="background1" w:themeFillShade="F2"/>
            <w:tcMar>
              <w:top w:w="108" w:type="dxa"/>
              <w:left w:w="113" w:type="dxa"/>
              <w:bottom w:w="108" w:type="dxa"/>
              <w:right w:w="113" w:type="dxa"/>
            </w:tcMar>
            <w:vAlign w:val="center"/>
          </w:tcPr>
          <w:p w14:paraId="101C2CB9" w14:textId="77777777" w:rsidR="008322B9" w:rsidRDefault="008322B9" w:rsidP="008322B9">
            <w:pPr>
              <w:pStyle w:val="CDIFigure-Table-BodyTextLeft"/>
            </w:pPr>
            <w:r>
              <w:t>Guillain-Barré Syndrome</w:t>
            </w:r>
          </w:p>
        </w:tc>
        <w:tc>
          <w:tcPr>
            <w:tcW w:w="1248" w:type="dxa"/>
            <w:shd w:val="clear" w:color="auto" w:fill="F2F2F2" w:themeFill="background1" w:themeFillShade="F2"/>
            <w:tcMar>
              <w:top w:w="108" w:type="dxa"/>
              <w:left w:w="113" w:type="dxa"/>
              <w:bottom w:w="108" w:type="dxa"/>
              <w:right w:w="113" w:type="dxa"/>
            </w:tcMar>
            <w:vAlign w:val="center"/>
          </w:tcPr>
          <w:p w14:paraId="23EC6A55" w14:textId="77777777" w:rsidR="008322B9" w:rsidRDefault="008322B9" w:rsidP="008322B9">
            <w:pPr>
              <w:pStyle w:val="CDIFigure-Table-BodyTextCentre"/>
            </w:pPr>
            <w:r>
              <w:t>218 (0.2)</w:t>
            </w:r>
          </w:p>
        </w:tc>
        <w:tc>
          <w:tcPr>
            <w:tcW w:w="1247" w:type="dxa"/>
            <w:shd w:val="clear" w:color="auto" w:fill="F2F2F2" w:themeFill="background1" w:themeFillShade="F2"/>
            <w:tcMar>
              <w:top w:w="108" w:type="dxa"/>
              <w:left w:w="113" w:type="dxa"/>
              <w:bottom w:w="108" w:type="dxa"/>
              <w:right w:w="113" w:type="dxa"/>
            </w:tcMar>
            <w:vAlign w:val="center"/>
          </w:tcPr>
          <w:p w14:paraId="3FB81067" w14:textId="77777777" w:rsidR="008322B9" w:rsidRDefault="008322B9" w:rsidP="008322B9">
            <w:pPr>
              <w:pStyle w:val="CDIFigure-Table-BodyTextCentre"/>
            </w:pPr>
            <w:r>
              <w:t>185 (84.9)</w:t>
            </w:r>
          </w:p>
        </w:tc>
        <w:tc>
          <w:tcPr>
            <w:tcW w:w="1191" w:type="dxa"/>
            <w:shd w:val="clear" w:color="auto" w:fill="F2F2F2" w:themeFill="background1" w:themeFillShade="F2"/>
            <w:tcMar>
              <w:top w:w="108" w:type="dxa"/>
              <w:left w:w="113" w:type="dxa"/>
              <w:bottom w:w="108" w:type="dxa"/>
              <w:right w:w="113" w:type="dxa"/>
            </w:tcMar>
            <w:vAlign w:val="center"/>
          </w:tcPr>
          <w:p w14:paraId="135A0AE0" w14:textId="77777777" w:rsidR="008322B9" w:rsidRDefault="008322B9" w:rsidP="008322B9">
            <w:pPr>
              <w:pStyle w:val="CDIFigure-Table-BodyTextCentre"/>
            </w:pPr>
            <w:r>
              <w:t>0 (0)</w:t>
            </w:r>
          </w:p>
        </w:tc>
        <w:tc>
          <w:tcPr>
            <w:tcW w:w="1190" w:type="dxa"/>
            <w:shd w:val="clear" w:color="auto" w:fill="F2F2F2" w:themeFill="background1" w:themeFillShade="F2"/>
            <w:tcMar>
              <w:top w:w="108" w:type="dxa"/>
              <w:left w:w="113" w:type="dxa"/>
              <w:bottom w:w="108" w:type="dxa"/>
              <w:right w:w="113" w:type="dxa"/>
            </w:tcMar>
            <w:vAlign w:val="center"/>
          </w:tcPr>
          <w:p w14:paraId="005FE37C" w14:textId="77777777" w:rsidR="008322B9" w:rsidRDefault="008322B9" w:rsidP="008322B9">
            <w:pPr>
              <w:pStyle w:val="CDIFigure-Table-BodyTextCentre"/>
            </w:pPr>
            <w:r>
              <w:t>94 (43.1)</w:t>
            </w:r>
          </w:p>
        </w:tc>
        <w:tc>
          <w:tcPr>
            <w:tcW w:w="1191" w:type="dxa"/>
            <w:shd w:val="clear" w:color="auto" w:fill="F2F2F2" w:themeFill="background1" w:themeFillShade="F2"/>
            <w:tcMar>
              <w:top w:w="108" w:type="dxa"/>
              <w:left w:w="113" w:type="dxa"/>
              <w:bottom w:w="108" w:type="dxa"/>
              <w:right w:w="113" w:type="dxa"/>
            </w:tcMar>
            <w:vAlign w:val="center"/>
          </w:tcPr>
          <w:p w14:paraId="79A6B0AF" w14:textId="77777777" w:rsidR="008322B9" w:rsidRDefault="008322B9" w:rsidP="008322B9">
            <w:pPr>
              <w:pStyle w:val="CDIFigure-Table-BodyTextCentre"/>
            </w:pPr>
            <w:r>
              <w:t>113 (51.8)</w:t>
            </w:r>
          </w:p>
        </w:tc>
        <w:tc>
          <w:tcPr>
            <w:tcW w:w="1134" w:type="dxa"/>
            <w:shd w:val="clear" w:color="auto" w:fill="F2F2F2" w:themeFill="background1" w:themeFillShade="F2"/>
            <w:tcMar>
              <w:top w:w="108" w:type="dxa"/>
              <w:left w:w="113" w:type="dxa"/>
              <w:bottom w:w="108" w:type="dxa"/>
              <w:right w:w="113" w:type="dxa"/>
            </w:tcMar>
            <w:vAlign w:val="center"/>
          </w:tcPr>
          <w:p w14:paraId="0AD522F7" w14:textId="77777777" w:rsidR="008322B9" w:rsidRDefault="008322B9" w:rsidP="008322B9">
            <w:pPr>
              <w:pStyle w:val="CDIFigure-Table-BodyTextCentre"/>
            </w:pPr>
            <w:r>
              <w:t>147 (67.4)</w:t>
            </w:r>
          </w:p>
        </w:tc>
      </w:tr>
      <w:tr w:rsidR="008322B9" w14:paraId="7F598CC3" w14:textId="77777777" w:rsidTr="008322B9">
        <w:trPr>
          <w:divId w:val="935526654"/>
          <w:trHeight w:val="20"/>
        </w:trPr>
        <w:tc>
          <w:tcPr>
            <w:tcW w:w="2494" w:type="dxa"/>
            <w:tcMar>
              <w:top w:w="108" w:type="dxa"/>
              <w:left w:w="113" w:type="dxa"/>
              <w:bottom w:w="108" w:type="dxa"/>
              <w:right w:w="113" w:type="dxa"/>
            </w:tcMar>
            <w:vAlign w:val="center"/>
          </w:tcPr>
          <w:p w14:paraId="14A3883E" w14:textId="33864B16" w:rsidR="008322B9" w:rsidRDefault="008322B9" w:rsidP="008322B9">
            <w:pPr>
              <w:pStyle w:val="CDIFigure-Table-BodyTextLeft"/>
            </w:pPr>
            <w:r>
              <w:t>Encephalitis/</w:t>
            </w:r>
            <w:r>
              <w:br/>
              <w:t>encephalomyelitis</w:t>
            </w:r>
          </w:p>
        </w:tc>
        <w:tc>
          <w:tcPr>
            <w:tcW w:w="1248" w:type="dxa"/>
            <w:tcMar>
              <w:top w:w="108" w:type="dxa"/>
              <w:left w:w="113" w:type="dxa"/>
              <w:bottom w:w="108" w:type="dxa"/>
              <w:right w:w="113" w:type="dxa"/>
            </w:tcMar>
            <w:vAlign w:val="center"/>
          </w:tcPr>
          <w:p w14:paraId="60AE6D0A" w14:textId="77777777" w:rsidR="008322B9" w:rsidRDefault="008322B9" w:rsidP="008322B9">
            <w:pPr>
              <w:pStyle w:val="CDIFigure-Table-BodyTextCentre"/>
            </w:pPr>
            <w:r>
              <w:t>23 (0.02)</w:t>
            </w:r>
          </w:p>
        </w:tc>
        <w:tc>
          <w:tcPr>
            <w:tcW w:w="1247" w:type="dxa"/>
            <w:tcMar>
              <w:top w:w="108" w:type="dxa"/>
              <w:left w:w="113" w:type="dxa"/>
              <w:bottom w:w="108" w:type="dxa"/>
              <w:right w:w="113" w:type="dxa"/>
            </w:tcMar>
            <w:vAlign w:val="center"/>
          </w:tcPr>
          <w:p w14:paraId="1E9A1384" w14:textId="77777777" w:rsidR="008322B9" w:rsidRDefault="008322B9" w:rsidP="008322B9">
            <w:pPr>
              <w:pStyle w:val="CDIFigure-Table-BodyTextCentre"/>
            </w:pPr>
            <w:r>
              <w:t>23 (100)</w:t>
            </w:r>
          </w:p>
        </w:tc>
        <w:tc>
          <w:tcPr>
            <w:tcW w:w="1191" w:type="dxa"/>
            <w:tcMar>
              <w:top w:w="108" w:type="dxa"/>
              <w:left w:w="113" w:type="dxa"/>
              <w:bottom w:w="108" w:type="dxa"/>
              <w:right w:w="113" w:type="dxa"/>
            </w:tcMar>
            <w:vAlign w:val="center"/>
          </w:tcPr>
          <w:p w14:paraId="17EB8499" w14:textId="77777777" w:rsidR="008322B9" w:rsidRDefault="008322B9" w:rsidP="008322B9">
            <w:pPr>
              <w:pStyle w:val="CDIFigure-Table-BodyTextCentre"/>
            </w:pPr>
            <w:r>
              <w:t>0 (0)</w:t>
            </w:r>
          </w:p>
        </w:tc>
        <w:tc>
          <w:tcPr>
            <w:tcW w:w="1190" w:type="dxa"/>
            <w:tcMar>
              <w:top w:w="108" w:type="dxa"/>
              <w:left w:w="113" w:type="dxa"/>
              <w:bottom w:w="108" w:type="dxa"/>
              <w:right w:w="113" w:type="dxa"/>
            </w:tcMar>
            <w:vAlign w:val="center"/>
          </w:tcPr>
          <w:p w14:paraId="414AACA9" w14:textId="77777777" w:rsidR="008322B9" w:rsidRDefault="008322B9" w:rsidP="008322B9">
            <w:pPr>
              <w:pStyle w:val="CDIFigure-Table-BodyTextCentre"/>
            </w:pPr>
            <w:r>
              <w:t>8 (34.8)</w:t>
            </w:r>
          </w:p>
        </w:tc>
        <w:tc>
          <w:tcPr>
            <w:tcW w:w="1191" w:type="dxa"/>
            <w:tcMar>
              <w:top w:w="108" w:type="dxa"/>
              <w:left w:w="113" w:type="dxa"/>
              <w:bottom w:w="108" w:type="dxa"/>
              <w:right w:w="113" w:type="dxa"/>
            </w:tcMar>
            <w:vAlign w:val="center"/>
          </w:tcPr>
          <w:p w14:paraId="68CEA962" w14:textId="77777777" w:rsidR="008322B9" w:rsidRDefault="008322B9" w:rsidP="008322B9">
            <w:pPr>
              <w:pStyle w:val="CDIFigure-Table-BodyTextCentre"/>
            </w:pPr>
            <w:r>
              <w:t>15 (65.2)</w:t>
            </w:r>
          </w:p>
        </w:tc>
        <w:tc>
          <w:tcPr>
            <w:tcW w:w="1134" w:type="dxa"/>
            <w:tcMar>
              <w:top w:w="108" w:type="dxa"/>
              <w:left w:w="113" w:type="dxa"/>
              <w:bottom w:w="108" w:type="dxa"/>
              <w:right w:w="113" w:type="dxa"/>
            </w:tcMar>
            <w:vAlign w:val="center"/>
          </w:tcPr>
          <w:p w14:paraId="5B44F435" w14:textId="77777777" w:rsidR="008322B9" w:rsidRDefault="008322B9" w:rsidP="008322B9">
            <w:pPr>
              <w:pStyle w:val="CDIFigure-Table-BodyTextCentre"/>
            </w:pPr>
            <w:r>
              <w:t>19 (82.6)</w:t>
            </w:r>
          </w:p>
        </w:tc>
      </w:tr>
      <w:tr w:rsidR="008322B9" w14:paraId="2B872AF9" w14:textId="77777777" w:rsidTr="008322B9">
        <w:trPr>
          <w:divId w:val="935526654"/>
          <w:trHeight w:val="20"/>
        </w:trPr>
        <w:tc>
          <w:tcPr>
            <w:tcW w:w="2494" w:type="dxa"/>
            <w:shd w:val="clear" w:color="auto" w:fill="F2F2F2" w:themeFill="background1" w:themeFillShade="F2"/>
            <w:tcMar>
              <w:top w:w="108" w:type="dxa"/>
              <w:left w:w="113" w:type="dxa"/>
              <w:bottom w:w="108" w:type="dxa"/>
              <w:right w:w="113" w:type="dxa"/>
            </w:tcMar>
            <w:vAlign w:val="center"/>
          </w:tcPr>
          <w:p w14:paraId="297A0A2E" w14:textId="77777777" w:rsidR="008322B9" w:rsidRDefault="008322B9" w:rsidP="008322B9">
            <w:pPr>
              <w:pStyle w:val="CDIFigure-Table-BodyTextLeft"/>
            </w:pPr>
            <w:r>
              <w:t>Aseptic meningitis</w:t>
            </w:r>
          </w:p>
        </w:tc>
        <w:tc>
          <w:tcPr>
            <w:tcW w:w="1248" w:type="dxa"/>
            <w:shd w:val="clear" w:color="auto" w:fill="F2F2F2" w:themeFill="background1" w:themeFillShade="F2"/>
            <w:tcMar>
              <w:top w:w="108" w:type="dxa"/>
              <w:left w:w="113" w:type="dxa"/>
              <w:bottom w:w="108" w:type="dxa"/>
              <w:right w:w="113" w:type="dxa"/>
            </w:tcMar>
            <w:vAlign w:val="center"/>
          </w:tcPr>
          <w:p w14:paraId="49E54B92" w14:textId="77777777" w:rsidR="008322B9" w:rsidRDefault="008322B9" w:rsidP="008322B9">
            <w:pPr>
              <w:pStyle w:val="CDIFigure-Table-BodyTextCentre"/>
            </w:pPr>
            <w:r>
              <w:t>22 (0.02)</w:t>
            </w:r>
          </w:p>
        </w:tc>
        <w:tc>
          <w:tcPr>
            <w:tcW w:w="1247" w:type="dxa"/>
            <w:shd w:val="clear" w:color="auto" w:fill="F2F2F2" w:themeFill="background1" w:themeFillShade="F2"/>
            <w:tcMar>
              <w:top w:w="108" w:type="dxa"/>
              <w:left w:w="113" w:type="dxa"/>
              <w:bottom w:w="108" w:type="dxa"/>
              <w:right w:w="113" w:type="dxa"/>
            </w:tcMar>
            <w:vAlign w:val="center"/>
          </w:tcPr>
          <w:p w14:paraId="7C90F71A" w14:textId="77777777" w:rsidR="008322B9" w:rsidRDefault="008322B9" w:rsidP="008322B9">
            <w:pPr>
              <w:pStyle w:val="CDIFigure-Table-BodyTextCentre"/>
            </w:pPr>
            <w:r>
              <w:t>20 (90.9)</w:t>
            </w:r>
          </w:p>
        </w:tc>
        <w:tc>
          <w:tcPr>
            <w:tcW w:w="1191" w:type="dxa"/>
            <w:shd w:val="clear" w:color="auto" w:fill="F2F2F2" w:themeFill="background1" w:themeFillShade="F2"/>
            <w:tcMar>
              <w:top w:w="108" w:type="dxa"/>
              <w:left w:w="113" w:type="dxa"/>
              <w:bottom w:w="108" w:type="dxa"/>
              <w:right w:w="113" w:type="dxa"/>
            </w:tcMar>
            <w:vAlign w:val="center"/>
          </w:tcPr>
          <w:p w14:paraId="6064A332" w14:textId="77777777" w:rsidR="008322B9" w:rsidRDefault="008322B9" w:rsidP="008322B9">
            <w:pPr>
              <w:pStyle w:val="CDIFigure-Table-BodyTextCentre"/>
            </w:pPr>
            <w:r>
              <w:t>0 (0)</w:t>
            </w:r>
          </w:p>
        </w:tc>
        <w:tc>
          <w:tcPr>
            <w:tcW w:w="1190" w:type="dxa"/>
            <w:shd w:val="clear" w:color="auto" w:fill="F2F2F2" w:themeFill="background1" w:themeFillShade="F2"/>
            <w:tcMar>
              <w:top w:w="108" w:type="dxa"/>
              <w:left w:w="113" w:type="dxa"/>
              <w:bottom w:w="108" w:type="dxa"/>
              <w:right w:w="113" w:type="dxa"/>
            </w:tcMar>
            <w:vAlign w:val="center"/>
          </w:tcPr>
          <w:p w14:paraId="0FD58DA8" w14:textId="77777777" w:rsidR="008322B9" w:rsidRDefault="008322B9" w:rsidP="008322B9">
            <w:pPr>
              <w:pStyle w:val="CDIFigure-Table-BodyTextCentre"/>
            </w:pPr>
            <w:r>
              <w:t>21 (95.5)</w:t>
            </w:r>
          </w:p>
        </w:tc>
        <w:tc>
          <w:tcPr>
            <w:tcW w:w="1191" w:type="dxa"/>
            <w:shd w:val="clear" w:color="auto" w:fill="F2F2F2" w:themeFill="background1" w:themeFillShade="F2"/>
            <w:tcMar>
              <w:top w:w="108" w:type="dxa"/>
              <w:left w:w="113" w:type="dxa"/>
              <w:bottom w:w="108" w:type="dxa"/>
              <w:right w:w="113" w:type="dxa"/>
            </w:tcMar>
            <w:vAlign w:val="center"/>
          </w:tcPr>
          <w:p w14:paraId="0EA82D5E" w14:textId="77777777" w:rsidR="008322B9" w:rsidRDefault="008322B9" w:rsidP="008322B9">
            <w:pPr>
              <w:pStyle w:val="CDIFigure-Table-BodyTextCentre"/>
            </w:pPr>
            <w:r>
              <w:t>1 (4.5)</w:t>
            </w:r>
          </w:p>
        </w:tc>
        <w:tc>
          <w:tcPr>
            <w:tcW w:w="1134" w:type="dxa"/>
            <w:shd w:val="clear" w:color="auto" w:fill="F2F2F2" w:themeFill="background1" w:themeFillShade="F2"/>
            <w:tcMar>
              <w:top w:w="108" w:type="dxa"/>
              <w:left w:w="113" w:type="dxa"/>
              <w:bottom w:w="108" w:type="dxa"/>
              <w:right w:w="113" w:type="dxa"/>
            </w:tcMar>
            <w:vAlign w:val="center"/>
          </w:tcPr>
          <w:p w14:paraId="64E11FA0" w14:textId="77777777" w:rsidR="008322B9" w:rsidRDefault="008322B9" w:rsidP="008322B9">
            <w:pPr>
              <w:pStyle w:val="CDIFigure-Table-BodyTextCentre"/>
            </w:pPr>
            <w:r>
              <w:t>6 (27.3)</w:t>
            </w:r>
          </w:p>
        </w:tc>
      </w:tr>
      <w:tr w:rsidR="008322B9" w14:paraId="0569B3AE" w14:textId="77777777" w:rsidTr="008322B9">
        <w:trPr>
          <w:divId w:val="935526654"/>
          <w:trHeight w:val="20"/>
        </w:trPr>
        <w:tc>
          <w:tcPr>
            <w:tcW w:w="2494" w:type="dxa"/>
            <w:tcBorders>
              <w:bottom w:val="single" w:sz="4" w:space="0" w:color="033636" w:themeColor="text2"/>
            </w:tcBorders>
            <w:tcMar>
              <w:top w:w="108" w:type="dxa"/>
              <w:left w:w="113" w:type="dxa"/>
              <w:bottom w:w="108" w:type="dxa"/>
              <w:right w:w="113" w:type="dxa"/>
            </w:tcMar>
            <w:vAlign w:val="center"/>
          </w:tcPr>
          <w:p w14:paraId="7B8850DE" w14:textId="77777777" w:rsidR="008322B9" w:rsidRDefault="008322B9" w:rsidP="008322B9">
            <w:pPr>
              <w:pStyle w:val="CDIFigure-Table-BodyTextLeft"/>
            </w:pPr>
            <w:r>
              <w:t>Acute disseminated encephalomyelitis</w:t>
            </w:r>
          </w:p>
        </w:tc>
        <w:tc>
          <w:tcPr>
            <w:tcW w:w="1248" w:type="dxa"/>
            <w:tcBorders>
              <w:bottom w:val="single" w:sz="4" w:space="0" w:color="033636" w:themeColor="text2"/>
            </w:tcBorders>
            <w:tcMar>
              <w:top w:w="108" w:type="dxa"/>
              <w:left w:w="113" w:type="dxa"/>
              <w:bottom w:w="108" w:type="dxa"/>
              <w:right w:w="113" w:type="dxa"/>
            </w:tcMar>
            <w:vAlign w:val="center"/>
          </w:tcPr>
          <w:p w14:paraId="3793609E" w14:textId="77777777" w:rsidR="008322B9" w:rsidRDefault="008322B9" w:rsidP="008322B9">
            <w:pPr>
              <w:pStyle w:val="CDIFigure-Table-BodyTextCentre"/>
            </w:pPr>
            <w:r>
              <w:t>11 (0.01)</w:t>
            </w:r>
          </w:p>
        </w:tc>
        <w:tc>
          <w:tcPr>
            <w:tcW w:w="1247" w:type="dxa"/>
            <w:tcBorders>
              <w:bottom w:val="single" w:sz="4" w:space="0" w:color="033636" w:themeColor="text2"/>
            </w:tcBorders>
            <w:tcMar>
              <w:top w:w="108" w:type="dxa"/>
              <w:left w:w="113" w:type="dxa"/>
              <w:bottom w:w="108" w:type="dxa"/>
              <w:right w:w="113" w:type="dxa"/>
            </w:tcMar>
            <w:vAlign w:val="center"/>
          </w:tcPr>
          <w:p w14:paraId="2BEE4C91" w14:textId="77777777" w:rsidR="008322B9" w:rsidRDefault="008322B9" w:rsidP="008322B9">
            <w:pPr>
              <w:pStyle w:val="CDIFigure-Table-BodyTextCentre"/>
            </w:pPr>
            <w:r>
              <w:t>8 (72.7)</w:t>
            </w:r>
          </w:p>
        </w:tc>
        <w:tc>
          <w:tcPr>
            <w:tcW w:w="1191" w:type="dxa"/>
            <w:tcBorders>
              <w:bottom w:val="single" w:sz="4" w:space="0" w:color="033636" w:themeColor="text2"/>
            </w:tcBorders>
            <w:tcMar>
              <w:top w:w="108" w:type="dxa"/>
              <w:left w:w="113" w:type="dxa"/>
              <w:bottom w:w="108" w:type="dxa"/>
              <w:right w:w="113" w:type="dxa"/>
            </w:tcMar>
            <w:vAlign w:val="center"/>
          </w:tcPr>
          <w:p w14:paraId="6FFC0EDF" w14:textId="77777777" w:rsidR="008322B9" w:rsidRDefault="008322B9" w:rsidP="008322B9">
            <w:pPr>
              <w:pStyle w:val="CDIFigure-Table-BodyTextCentre"/>
            </w:pPr>
            <w:r>
              <w:t>0 (0)</w:t>
            </w:r>
          </w:p>
        </w:tc>
        <w:tc>
          <w:tcPr>
            <w:tcW w:w="1190" w:type="dxa"/>
            <w:tcBorders>
              <w:bottom w:val="single" w:sz="4" w:space="0" w:color="033636" w:themeColor="text2"/>
            </w:tcBorders>
            <w:tcMar>
              <w:top w:w="108" w:type="dxa"/>
              <w:left w:w="113" w:type="dxa"/>
              <w:bottom w:w="108" w:type="dxa"/>
              <w:right w:w="113" w:type="dxa"/>
            </w:tcMar>
            <w:vAlign w:val="center"/>
          </w:tcPr>
          <w:p w14:paraId="33D363B1" w14:textId="77777777" w:rsidR="008322B9" w:rsidRDefault="008322B9" w:rsidP="008322B9">
            <w:pPr>
              <w:pStyle w:val="CDIFigure-Table-BodyTextCentre"/>
            </w:pPr>
            <w:r>
              <w:t>2 (18.2)</w:t>
            </w:r>
          </w:p>
        </w:tc>
        <w:tc>
          <w:tcPr>
            <w:tcW w:w="1191" w:type="dxa"/>
            <w:tcBorders>
              <w:bottom w:val="single" w:sz="4" w:space="0" w:color="033636" w:themeColor="text2"/>
            </w:tcBorders>
            <w:tcMar>
              <w:top w:w="108" w:type="dxa"/>
              <w:left w:w="113" w:type="dxa"/>
              <w:bottom w:w="108" w:type="dxa"/>
              <w:right w:w="113" w:type="dxa"/>
            </w:tcMar>
            <w:vAlign w:val="center"/>
          </w:tcPr>
          <w:p w14:paraId="4FA45FAE" w14:textId="77777777" w:rsidR="008322B9" w:rsidRDefault="008322B9" w:rsidP="008322B9">
            <w:pPr>
              <w:pStyle w:val="CDIFigure-Table-BodyTextCentre"/>
            </w:pPr>
            <w:r>
              <w:t>9 (81.8)</w:t>
            </w:r>
          </w:p>
        </w:tc>
        <w:tc>
          <w:tcPr>
            <w:tcW w:w="1134" w:type="dxa"/>
            <w:tcBorders>
              <w:bottom w:val="single" w:sz="4" w:space="0" w:color="033636" w:themeColor="text2"/>
            </w:tcBorders>
            <w:tcMar>
              <w:top w:w="108" w:type="dxa"/>
              <w:left w:w="113" w:type="dxa"/>
              <w:bottom w:w="108" w:type="dxa"/>
              <w:right w:w="113" w:type="dxa"/>
            </w:tcMar>
            <w:vAlign w:val="center"/>
          </w:tcPr>
          <w:p w14:paraId="6FF78301" w14:textId="77777777" w:rsidR="008322B9" w:rsidRDefault="008322B9" w:rsidP="008322B9">
            <w:pPr>
              <w:pStyle w:val="CDIFigure-Table-BodyTextCentre"/>
            </w:pPr>
            <w:r>
              <w:t>9 (81.8)</w:t>
            </w:r>
          </w:p>
        </w:tc>
      </w:tr>
    </w:tbl>
    <w:p w14:paraId="0A39A7E7" w14:textId="77777777" w:rsidR="006162E7" w:rsidRDefault="006162E7" w:rsidP="006162E7">
      <w:pPr>
        <w:pStyle w:val="CDIFigure-Table-FirstFootnote"/>
        <w:divId w:val="935526654"/>
      </w:pPr>
      <w:r>
        <w:t>a</w:t>
      </w:r>
      <w:r>
        <w:tab/>
        <w:t>Number of AEFI reports in which the vaccine was coded as ‘suspected’ of causal involvement in the reported adverse event and the vaccination was administered between 1 January and 31 December 2021.</w:t>
      </w:r>
    </w:p>
    <w:p w14:paraId="60EB11F9" w14:textId="77777777" w:rsidR="006162E7" w:rsidRDefault="006162E7" w:rsidP="006162E7">
      <w:pPr>
        <w:pStyle w:val="CDIFigure-Table-Footnote"/>
        <w:divId w:val="935526654"/>
      </w:pPr>
      <w:r>
        <w:t>b</w:t>
      </w:r>
      <w:r>
        <w:tab/>
        <w:t>AEFI reports where only one vaccine was suspected of causal involvement in a reported adverse event.</w:t>
      </w:r>
    </w:p>
    <w:p w14:paraId="351D5B1E" w14:textId="77777777" w:rsidR="006162E7" w:rsidRDefault="006162E7" w:rsidP="006162E7">
      <w:pPr>
        <w:pStyle w:val="CDIFigure-Table-Footnote"/>
        <w:divId w:val="935526654"/>
      </w:pPr>
      <w:r>
        <w:t>c</w:t>
      </w:r>
      <w:r>
        <w:tab/>
        <w:t>Percentages are calculated for the number of AEFI reports where the vaccine was suspected of causal involvement in the event.</w:t>
      </w:r>
    </w:p>
    <w:p w14:paraId="423D69B0" w14:textId="77777777" w:rsidR="006162E7" w:rsidRDefault="006162E7" w:rsidP="006162E7">
      <w:pPr>
        <w:pStyle w:val="CDIFigure-Table-Footnote"/>
        <w:divId w:val="935526654"/>
      </w:pPr>
      <w:r>
        <w:t>d</w:t>
      </w:r>
      <w:r>
        <w:tab/>
        <w:t>Includes only AEFI reports where an age or date of birth has been reported.</w:t>
      </w:r>
    </w:p>
    <w:p w14:paraId="55D89E98" w14:textId="77777777" w:rsidR="008322B9" w:rsidRDefault="006162E7" w:rsidP="008322B9">
      <w:pPr>
        <w:pStyle w:val="CDIFigure-Table-Footnote"/>
      </w:pPr>
      <w:r>
        <w:t>e</w:t>
      </w:r>
      <w:r>
        <w:tab/>
        <w:t>An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 The seriousness classification is applied by Australian sponsors (vaccine companies) to vaccine AEFI reports to ensure they meet legislated requirements. For other AEFI reports submitted to the Therapeutic Goods Administration (TGA), the seriousness classification either reflects the view of the reporter or may have been applied following review by the TGA.</w:t>
      </w:r>
    </w:p>
    <w:p w14:paraId="6C95708F" w14:textId="77777777" w:rsidR="008322B9" w:rsidRDefault="008322B9" w:rsidP="008322B9">
      <w:pPr>
        <w:pStyle w:val="CDIFigure-Table-Footnote"/>
        <w:sectPr w:rsidR="008322B9" w:rsidSect="001A26DD">
          <w:footerReference w:type="default" r:id="rId22"/>
          <w:pgSz w:w="11907" w:h="16840" w:code="9"/>
          <w:pgMar w:top="1304" w:right="1134" w:bottom="1304" w:left="1134" w:header="709" w:footer="527" w:gutter="0"/>
          <w:cols w:space="708"/>
          <w:docGrid w:linePitch="360"/>
        </w:sectPr>
      </w:pPr>
    </w:p>
    <w:p w14:paraId="79527D14" w14:textId="201B5E8A" w:rsidR="008322B9" w:rsidRDefault="00463A6D" w:rsidP="00463A6D">
      <w:pPr>
        <w:pStyle w:val="CDIFigure-Table-Title"/>
      </w:pPr>
      <w:r w:rsidRPr="00463A6D">
        <w:lastRenderedPageBreak/>
        <w:t>Figure 5: Adverse event of special interest (AESI) rates per 100,000 doses following immunisation with COVID-19 vaccines in the Adverse Event Management System database in 2021, by age group and brand</w:t>
      </w:r>
    </w:p>
    <w:p w14:paraId="585EB302" w14:textId="7F384F40" w:rsidR="006162E7" w:rsidRDefault="00463A6D" w:rsidP="00463A6D">
      <w:pPr>
        <w:pStyle w:val="CDIFigure-Table-ImagePlaceholder"/>
        <w:divId w:val="935526654"/>
      </w:pPr>
      <w:r>
        <w:rPr>
          <w:noProof/>
          <w14:ligatures w14:val="none"/>
        </w:rPr>
        <w:drawing>
          <wp:inline distT="0" distB="0" distL="0" distR="0" wp14:anchorId="1EF1CBCE" wp14:editId="2C40543E">
            <wp:extent cx="7380000" cy="5246822"/>
            <wp:effectExtent l="0" t="0" r="0" b="0"/>
            <wp:docPr id="8" name="Picture 8" descr="Figure 5 are panelled bar charts describing the adverse event of special interest reporting rate per 100,000 COVID-19 vaccine doses administered. Each of the ten panels corresponds to a selected adverse event of special interest, and displays reporting rates for three age groups, across the three vaccine brands in use in Australia in 2021. The highest reporting rates were for myocarditis and/or pericarditis after both mRNA vaccines, and thrombosis and thromboembolism after Vaxzev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5 are panelled bar charts describing the adverse event of special interest reporting rate per 100,000 COVID-19 vaccine doses administered. Each of the ten panels corresponds to a selected adverse event of special interest, and displays reporting rates for three age groups, across the three vaccine brands in use in Australia in 2021. The highest reporting rates were for myocarditis and/or pericarditis after both mRNA vaccines, and thrombosis and thromboembolism after Vaxzevria."/>
                    <pic:cNvPicPr/>
                  </pic:nvPicPr>
                  <pic:blipFill>
                    <a:blip r:embed="rId23">
                      <a:extLst>
                        <a:ext uri="{28A0092B-C50C-407E-A947-70E740481C1C}">
                          <a14:useLocalDpi xmlns:a14="http://schemas.microsoft.com/office/drawing/2010/main" val="0"/>
                        </a:ext>
                      </a:extLst>
                    </a:blip>
                    <a:stretch>
                      <a:fillRect/>
                    </a:stretch>
                  </pic:blipFill>
                  <pic:spPr>
                    <a:xfrm>
                      <a:off x="0" y="0"/>
                      <a:ext cx="7380000" cy="5246822"/>
                    </a:xfrm>
                    <a:prstGeom prst="rect">
                      <a:avLst/>
                    </a:prstGeom>
                  </pic:spPr>
                </pic:pic>
              </a:graphicData>
            </a:graphic>
          </wp:inline>
        </w:drawing>
      </w:r>
    </w:p>
    <w:p w14:paraId="2BC4769D" w14:textId="77777777" w:rsidR="008322B9" w:rsidRDefault="008322B9" w:rsidP="008322B9">
      <w:pPr>
        <w:divId w:val="935526654"/>
        <w:sectPr w:rsidR="008322B9" w:rsidSect="008322B9">
          <w:footerReference w:type="default" r:id="rId24"/>
          <w:pgSz w:w="16840" w:h="11907" w:orient="landscape" w:code="9"/>
          <w:pgMar w:top="1134" w:right="1304" w:bottom="1134" w:left="1304" w:header="709" w:footer="527" w:gutter="0"/>
          <w:cols w:space="708"/>
          <w:docGrid w:linePitch="360"/>
        </w:sectPr>
      </w:pPr>
    </w:p>
    <w:p w14:paraId="0F8C0DCE" w14:textId="49FC853A" w:rsidR="004464EC" w:rsidRDefault="004464EC" w:rsidP="004464EC">
      <w:pPr>
        <w:pStyle w:val="Heading2"/>
        <w:divId w:val="935526654"/>
        <w:rPr>
          <w:lang w:val="en-GB"/>
        </w:rPr>
      </w:pPr>
      <w:r>
        <w:rPr>
          <w:lang w:val="en-GB"/>
        </w:rPr>
        <w:lastRenderedPageBreak/>
        <w:t>VSIG meetings</w:t>
      </w:r>
    </w:p>
    <w:p w14:paraId="5CC27150" w14:textId="77777777" w:rsidR="004464EC" w:rsidRPr="004464EC" w:rsidRDefault="004464EC" w:rsidP="004464EC">
      <w:pPr>
        <w:divId w:val="935526654"/>
        <w:rPr>
          <w:lang w:val="en-GB"/>
        </w:rPr>
      </w:pPr>
      <w:r w:rsidRPr="004464EC">
        <w:rPr>
          <w:lang w:val="en-GB"/>
        </w:rPr>
        <w:t>In addition to detailed review of many cases by the TGA, eleven VSIG meetings were convened to assess 31 AEFI cases following COVID-19 vaccinations in 2021. The first VSIG meetings were convened in April 2021 in response to emerging information regarding TTS following vaccination with Vaxzevria. A total of 23 suspected TTS cases following vaccination with Vaxzevria were reviewed by the VSIG, of which 11 were found likely to be related to vaccination (one of which was fatal) and 12 were either unlikely to be related to vaccination or medical evidence was insufficient to confirm a link with vaccination (of which three cases were fatal). A further seven fatal cases of TTS (six confirmed and one probable) following Vaxzevria were reported by the TGA in its COVID-19 vaccine weekly safety reports but were not reviewed by a VSIG, given the established causal link between TTS and Vaxzevria, and the cases were classified as probable or confirmed TTS.</w:t>
      </w:r>
    </w:p>
    <w:p w14:paraId="6183708D" w14:textId="77777777" w:rsidR="004464EC" w:rsidRDefault="004464EC" w:rsidP="004464EC">
      <w:pPr>
        <w:divId w:val="935526654"/>
        <w:rPr>
          <w:lang w:val="en-GB"/>
        </w:rPr>
      </w:pPr>
      <w:r w:rsidRPr="004464EC">
        <w:rPr>
          <w:lang w:val="en-GB"/>
        </w:rPr>
        <w:t xml:space="preserve">Seven of the remaining eight cases reviewed by a VSIG were fatal: two cases of GBS and one case of ITP following Vaxzevria were considered likely to be related to vaccination, while two cases of myocarditis following Comirnaty and one case of CLS following Vaxzevria were inconsistent with being caused by vaccination; and a VSIG could not conclusively determine if a fatal case of pulmonary embolism without thrombocytopenia was related to Vaxzevria vaccination. The final case reviewed by a VSIG was suspected multisystem inflammatory syndrome following Comirnaty, but the VSIG concluded that there was insufficient medical information to determine if it was related to the vaccine. </w:t>
      </w:r>
    </w:p>
    <w:p w14:paraId="2F66FFFB" w14:textId="5A3539F5" w:rsidR="004464EC" w:rsidRPr="004464EC" w:rsidRDefault="004464EC" w:rsidP="004464EC">
      <w:pPr>
        <w:pStyle w:val="Heading2"/>
        <w:divId w:val="935526654"/>
        <w:rPr>
          <w:lang w:val="en-GB"/>
        </w:rPr>
      </w:pPr>
      <w:r>
        <w:rPr>
          <w:lang w:val="en-GB"/>
        </w:rPr>
        <w:t>Death following vaccination</w:t>
      </w:r>
    </w:p>
    <w:p w14:paraId="58BDAB85" w14:textId="77777777" w:rsidR="004464EC" w:rsidRDefault="004464EC" w:rsidP="004464EC">
      <w:pPr>
        <w:divId w:val="935526654"/>
        <w:rPr>
          <w:lang w:val="en-GB"/>
        </w:rPr>
      </w:pPr>
      <w:r w:rsidRPr="004464EC">
        <w:rPr>
          <w:lang w:val="en-GB"/>
        </w:rPr>
        <w:t xml:space="preserve">Of the 111,348 AEFI reports following a COVID-19 vaccination in 2021, there were 762 (0.7%) which reported an outcome of death following vaccination, of which 13 were assessed by medical specialists, including VSIG, as likely to be linked to vaccination. More than 80% of these 762 reports were in people aged ≥ 60 years (Table 7). The median age at death was 76 years and the median time between the most recent COVID-19 vaccination and death was 10 days (range: 0–261 days). </w:t>
      </w:r>
    </w:p>
    <w:p w14:paraId="7F69EB59" w14:textId="77777777" w:rsidR="004464EC" w:rsidRPr="004464EC" w:rsidRDefault="004464EC" w:rsidP="004464EC">
      <w:pPr>
        <w:divId w:val="935526654"/>
        <w:rPr>
          <w:lang w:val="en-GB"/>
        </w:rPr>
      </w:pPr>
      <w:r w:rsidRPr="004464EC">
        <w:rPr>
          <w:lang w:val="en-GB"/>
        </w:rPr>
        <w:t>The majority of the reports of death were sent to the TGA by jurisdictional health departments (N = 473; 62.1%), followed by health professionals directly (N = 109; 14.3%). Eighty-five reports (11.2%) were sent by other sender types (e.g. distributor or other organisation), of which the majority (71) were coroners courts. There were 79 reports sent by consumers (10.4%) and 16 reports sent by pharmaceutical companies (2.1%). Reporting of a death to the TGA does not mean that the vaccine caused the death or that the reporting doctor/individual considers that it was caused by a vaccine. The TGA strongly encourages consumers and health professionals to report suspected adverse events, particularly serious events, even if there is only a very small chance a vaccine was the cause.</w:t>
      </w:r>
    </w:p>
    <w:p w14:paraId="1D76B3F7" w14:textId="77777777" w:rsidR="004464EC" w:rsidRPr="004464EC" w:rsidRDefault="004464EC" w:rsidP="004464EC">
      <w:pPr>
        <w:divId w:val="935526654"/>
        <w:rPr>
          <w:lang w:val="en-GB"/>
        </w:rPr>
      </w:pPr>
      <w:r w:rsidRPr="004464EC">
        <w:rPr>
          <w:lang w:val="en-GB"/>
        </w:rPr>
        <w:t>Where dose information was recorded, the majority of deaths were reported following a first dose of a COVID-19 vaccine (N = 383; 66.1%), while 183 reports (31.6%) were reported after a second dose of a COVID-19 vaccine, and 13 reports (2.2%) were reported after a third or booster dose of a COVID-19 vaccine. Dose information was not recorded for 183 reports (24% of total reports of death).</w:t>
      </w:r>
    </w:p>
    <w:p w14:paraId="6DE2BD4E" w14:textId="77777777" w:rsidR="004464EC" w:rsidRPr="004464EC" w:rsidRDefault="004464EC" w:rsidP="004464EC">
      <w:pPr>
        <w:divId w:val="935526654"/>
        <w:rPr>
          <w:lang w:val="en-GB"/>
        </w:rPr>
      </w:pPr>
      <w:r w:rsidRPr="004464EC">
        <w:rPr>
          <w:lang w:val="en-GB"/>
        </w:rPr>
        <w:t xml:space="preserve">The five most commonly reported PT/SMQ with a fatal outcome for people aged &lt; 60 years were: adverse event following immunisation; embolic and thrombotic events, venous; shock-associated circulatory or </w:t>
      </w:r>
      <w:r w:rsidRPr="004464EC">
        <w:rPr>
          <w:lang w:val="en-GB"/>
        </w:rPr>
        <w:lastRenderedPageBreak/>
        <w:t>cardiac conditions (excluding torsade de pointes); haemorrhagic central nervous system vascular conditions; and other ischaemic heart disease. The five most commonly reported PT/SMQ with a fatal outcome for people aged ≥ 60 years were adverse event following immunisation; shock-associated circulatory or cardiac conditions (excluding torsade de pointes); concomitant disease progression; embolic and thrombotic events, venous; and cerebrovascular accident. If death was the only reported information without accompanying clinical details, then the MedDRA term ‘adverse event following immunisation’ was used by the TGA to capture that there was an adverse event, albeit unidentified, that had a fatal outcome.</w:t>
      </w:r>
    </w:p>
    <w:p w14:paraId="2E854A7B" w14:textId="77777777" w:rsidR="004464EC" w:rsidRDefault="004464EC" w:rsidP="004464EC">
      <w:pPr>
        <w:divId w:val="935526654"/>
        <w:rPr>
          <w:lang w:val="en-GB"/>
        </w:rPr>
      </w:pPr>
      <w:r w:rsidRPr="004464EC">
        <w:rPr>
          <w:lang w:val="en-GB"/>
        </w:rPr>
        <w:t>Of the 13 deaths that were assessed as likely to be linked to vaccination, eight were associated with TTS cases, two were linked to GBS, two were related to very rare conditions involving the nervous system, and one was a case of ITP.</w:t>
      </w:r>
    </w:p>
    <w:p w14:paraId="2C9ED565" w14:textId="77777777" w:rsidR="008A39B2" w:rsidRDefault="008A39B2" w:rsidP="008A39B2">
      <w:pPr>
        <w:pStyle w:val="CDIFigure-Table-Title"/>
        <w:divId w:val="935526654"/>
      </w:pPr>
      <w:r w:rsidRPr="00463A6D">
        <w:t>Table 7: Age distribution and median time to death for reports of death following immunisation with COVID-19 vaccines in the Adverse Event Management System database in 2021</w:t>
      </w:r>
    </w:p>
    <w:tbl>
      <w:tblPr>
        <w:tblW w:w="0" w:type="auto"/>
        <w:tblInd w:w="-8" w:type="dxa"/>
        <w:tblLayout w:type="fixed"/>
        <w:tblCellMar>
          <w:left w:w="0" w:type="dxa"/>
          <w:right w:w="0" w:type="dxa"/>
        </w:tblCellMar>
        <w:tblLook w:val="0000" w:firstRow="0" w:lastRow="0" w:firstColumn="0" w:lastColumn="0" w:noHBand="0" w:noVBand="0"/>
        <w:tblCaption w:val="Table 7: Age distribution and median time to death for reports of death following immunisation with COVID-19 vaccines in the Adverse Event Management System database in 2021"/>
        <w:tblDescription w:val="Table 7 relates specifically to adverse event reports following COVID-19 vaccines in 2021 where death is listed as the outcome. The table shows the number of fatal reports in each 10-year age band, and the median interval between the reported day of vaccination and reported day of death for each age band."/>
      </w:tblPr>
      <w:tblGrid>
        <w:gridCol w:w="3213"/>
        <w:gridCol w:w="3212"/>
        <w:gridCol w:w="3213"/>
      </w:tblGrid>
      <w:tr w:rsidR="008A39B2" w14:paraId="5C0E11B0" w14:textId="77777777" w:rsidTr="008A39B2">
        <w:trPr>
          <w:divId w:val="935526654"/>
          <w:trHeight w:val="20"/>
          <w:tblHeader/>
        </w:trPr>
        <w:tc>
          <w:tcPr>
            <w:tcW w:w="3213" w:type="dxa"/>
            <w:shd w:val="clear" w:color="auto" w:fill="033636" w:themeFill="text2"/>
            <w:tcMar>
              <w:top w:w="113" w:type="dxa"/>
              <w:left w:w="113" w:type="dxa"/>
              <w:bottom w:w="113" w:type="dxa"/>
              <w:right w:w="113" w:type="dxa"/>
            </w:tcMar>
            <w:vAlign w:val="center"/>
          </w:tcPr>
          <w:p w14:paraId="646D5E6D" w14:textId="77777777" w:rsidR="008A39B2" w:rsidRDefault="008A39B2" w:rsidP="00BF11DC">
            <w:pPr>
              <w:pStyle w:val="CDIFigure-Table-H1Left"/>
            </w:pPr>
            <w:r>
              <w:t>Age at death (years)</w:t>
            </w:r>
          </w:p>
        </w:tc>
        <w:tc>
          <w:tcPr>
            <w:tcW w:w="3212" w:type="dxa"/>
            <w:shd w:val="clear" w:color="auto" w:fill="033636" w:themeFill="text2"/>
            <w:tcMar>
              <w:top w:w="113" w:type="dxa"/>
              <w:left w:w="113" w:type="dxa"/>
              <w:bottom w:w="113" w:type="dxa"/>
              <w:right w:w="113" w:type="dxa"/>
            </w:tcMar>
            <w:vAlign w:val="center"/>
          </w:tcPr>
          <w:p w14:paraId="52CC7A86" w14:textId="77777777" w:rsidR="008A39B2" w:rsidRDefault="008A39B2" w:rsidP="00BF11DC">
            <w:pPr>
              <w:pStyle w:val="CDIFigure-Table-H1"/>
            </w:pPr>
            <w:r>
              <w:t>AEFI reports n (%)</w:t>
            </w:r>
            <w:r>
              <w:rPr>
                <w:rStyle w:val="Superscript"/>
              </w:rPr>
              <w:t>a</w:t>
            </w:r>
          </w:p>
        </w:tc>
        <w:tc>
          <w:tcPr>
            <w:tcW w:w="3213" w:type="dxa"/>
            <w:shd w:val="clear" w:color="auto" w:fill="033636" w:themeFill="text2"/>
            <w:tcMar>
              <w:top w:w="113" w:type="dxa"/>
              <w:left w:w="113" w:type="dxa"/>
              <w:bottom w:w="113" w:type="dxa"/>
              <w:right w:w="113" w:type="dxa"/>
            </w:tcMar>
            <w:vAlign w:val="center"/>
          </w:tcPr>
          <w:p w14:paraId="09855B59" w14:textId="77777777" w:rsidR="008A39B2" w:rsidRDefault="008A39B2" w:rsidP="00BF11DC">
            <w:pPr>
              <w:pStyle w:val="CDIFigure-Table-H1"/>
            </w:pPr>
            <w:r>
              <w:t>Median time to death (days)</w:t>
            </w:r>
          </w:p>
        </w:tc>
      </w:tr>
      <w:tr w:rsidR="008A39B2" w14:paraId="6781ECA3" w14:textId="77777777" w:rsidTr="008A39B2">
        <w:trPr>
          <w:divId w:val="935526654"/>
          <w:trHeight w:val="20"/>
        </w:trPr>
        <w:tc>
          <w:tcPr>
            <w:tcW w:w="3213" w:type="dxa"/>
            <w:shd w:val="clear" w:color="auto" w:fill="F2F2F2" w:themeFill="background1" w:themeFillShade="F2"/>
            <w:tcMar>
              <w:top w:w="108" w:type="dxa"/>
              <w:left w:w="113" w:type="dxa"/>
              <w:bottom w:w="108" w:type="dxa"/>
              <w:right w:w="113" w:type="dxa"/>
            </w:tcMar>
            <w:vAlign w:val="center"/>
          </w:tcPr>
          <w:p w14:paraId="22C97B29" w14:textId="77777777" w:rsidR="008A39B2" w:rsidRDefault="008A39B2" w:rsidP="00BF11DC">
            <w:pPr>
              <w:pStyle w:val="CDIFigure-Table-BodyTextLeft"/>
            </w:pPr>
            <w:r>
              <w:t>10–19</w:t>
            </w:r>
          </w:p>
        </w:tc>
        <w:tc>
          <w:tcPr>
            <w:tcW w:w="3212" w:type="dxa"/>
            <w:shd w:val="clear" w:color="auto" w:fill="F2F2F2" w:themeFill="background1" w:themeFillShade="F2"/>
            <w:tcMar>
              <w:top w:w="108" w:type="dxa"/>
              <w:left w:w="113" w:type="dxa"/>
              <w:bottom w:w="108" w:type="dxa"/>
              <w:right w:w="113" w:type="dxa"/>
            </w:tcMar>
            <w:vAlign w:val="center"/>
          </w:tcPr>
          <w:p w14:paraId="26868ECA" w14:textId="77777777" w:rsidR="008A39B2" w:rsidRDefault="008A39B2" w:rsidP="00BF11DC">
            <w:pPr>
              <w:pStyle w:val="CDIFigure-Table-BodyTextCentre"/>
            </w:pPr>
            <w:r>
              <w:t>5 (0.7%)</w:t>
            </w:r>
          </w:p>
        </w:tc>
        <w:tc>
          <w:tcPr>
            <w:tcW w:w="3213" w:type="dxa"/>
            <w:shd w:val="clear" w:color="auto" w:fill="F2F2F2" w:themeFill="background1" w:themeFillShade="F2"/>
            <w:tcMar>
              <w:top w:w="108" w:type="dxa"/>
              <w:left w:w="113" w:type="dxa"/>
              <w:bottom w:w="108" w:type="dxa"/>
              <w:right w:w="113" w:type="dxa"/>
            </w:tcMar>
            <w:vAlign w:val="center"/>
          </w:tcPr>
          <w:p w14:paraId="1320AC62" w14:textId="77777777" w:rsidR="008A39B2" w:rsidRDefault="008A39B2" w:rsidP="00BF11DC">
            <w:pPr>
              <w:pStyle w:val="CDIFigure-Table-BodyTextCentre"/>
            </w:pPr>
            <w:r>
              <w:t>16</w:t>
            </w:r>
          </w:p>
        </w:tc>
      </w:tr>
      <w:tr w:rsidR="008A39B2" w14:paraId="5E5A7F8E" w14:textId="77777777" w:rsidTr="008A39B2">
        <w:trPr>
          <w:divId w:val="935526654"/>
          <w:trHeight w:val="20"/>
        </w:trPr>
        <w:tc>
          <w:tcPr>
            <w:tcW w:w="3213" w:type="dxa"/>
            <w:tcMar>
              <w:top w:w="108" w:type="dxa"/>
              <w:left w:w="113" w:type="dxa"/>
              <w:bottom w:w="108" w:type="dxa"/>
              <w:right w:w="113" w:type="dxa"/>
            </w:tcMar>
            <w:vAlign w:val="center"/>
          </w:tcPr>
          <w:p w14:paraId="7E601C87" w14:textId="77777777" w:rsidR="008A39B2" w:rsidRDefault="008A39B2" w:rsidP="00BF11DC">
            <w:pPr>
              <w:pStyle w:val="CDIFigure-Table-BodyTextLeft"/>
            </w:pPr>
            <w:r>
              <w:t>20–29</w:t>
            </w:r>
          </w:p>
        </w:tc>
        <w:tc>
          <w:tcPr>
            <w:tcW w:w="3212" w:type="dxa"/>
            <w:tcMar>
              <w:top w:w="108" w:type="dxa"/>
              <w:left w:w="113" w:type="dxa"/>
              <w:bottom w:w="108" w:type="dxa"/>
              <w:right w:w="113" w:type="dxa"/>
            </w:tcMar>
            <w:vAlign w:val="center"/>
          </w:tcPr>
          <w:p w14:paraId="483355C9" w14:textId="77777777" w:rsidR="008A39B2" w:rsidRDefault="008A39B2" w:rsidP="00BF11DC">
            <w:pPr>
              <w:pStyle w:val="CDIFigure-Table-BodyTextCentre"/>
            </w:pPr>
            <w:r>
              <w:t>5 (0.7%)</w:t>
            </w:r>
          </w:p>
        </w:tc>
        <w:tc>
          <w:tcPr>
            <w:tcW w:w="3213" w:type="dxa"/>
            <w:tcMar>
              <w:top w:w="108" w:type="dxa"/>
              <w:left w:w="113" w:type="dxa"/>
              <w:bottom w:w="108" w:type="dxa"/>
              <w:right w:w="113" w:type="dxa"/>
            </w:tcMar>
            <w:vAlign w:val="center"/>
          </w:tcPr>
          <w:p w14:paraId="746EEBD7" w14:textId="77777777" w:rsidR="008A39B2" w:rsidRDefault="008A39B2" w:rsidP="00BF11DC">
            <w:pPr>
              <w:pStyle w:val="CDIFigure-Table-BodyTextCentre"/>
            </w:pPr>
            <w:r>
              <w:t>10.5</w:t>
            </w:r>
          </w:p>
        </w:tc>
      </w:tr>
      <w:tr w:rsidR="008A39B2" w14:paraId="65F88FA0" w14:textId="77777777" w:rsidTr="008A39B2">
        <w:trPr>
          <w:divId w:val="935526654"/>
          <w:trHeight w:val="20"/>
        </w:trPr>
        <w:tc>
          <w:tcPr>
            <w:tcW w:w="3213" w:type="dxa"/>
            <w:shd w:val="clear" w:color="auto" w:fill="F2F2F2" w:themeFill="background1" w:themeFillShade="F2"/>
            <w:tcMar>
              <w:top w:w="108" w:type="dxa"/>
              <w:left w:w="113" w:type="dxa"/>
              <w:bottom w:w="108" w:type="dxa"/>
              <w:right w:w="113" w:type="dxa"/>
            </w:tcMar>
            <w:vAlign w:val="center"/>
          </w:tcPr>
          <w:p w14:paraId="50DC4C84" w14:textId="77777777" w:rsidR="008A39B2" w:rsidRDefault="008A39B2" w:rsidP="00BF11DC">
            <w:pPr>
              <w:pStyle w:val="CDIFigure-Table-BodyTextLeft"/>
            </w:pPr>
            <w:r>
              <w:t>30–39</w:t>
            </w:r>
          </w:p>
        </w:tc>
        <w:tc>
          <w:tcPr>
            <w:tcW w:w="3212" w:type="dxa"/>
            <w:shd w:val="clear" w:color="auto" w:fill="F2F2F2" w:themeFill="background1" w:themeFillShade="F2"/>
            <w:tcMar>
              <w:top w:w="108" w:type="dxa"/>
              <w:left w:w="113" w:type="dxa"/>
              <w:bottom w:w="108" w:type="dxa"/>
              <w:right w:w="113" w:type="dxa"/>
            </w:tcMar>
            <w:vAlign w:val="center"/>
          </w:tcPr>
          <w:p w14:paraId="2E704D4E" w14:textId="77777777" w:rsidR="008A39B2" w:rsidRDefault="008A39B2" w:rsidP="00BF11DC">
            <w:pPr>
              <w:pStyle w:val="CDIFigure-Table-BodyTextCentre"/>
            </w:pPr>
            <w:r>
              <w:t>11 (1.5%)</w:t>
            </w:r>
          </w:p>
        </w:tc>
        <w:tc>
          <w:tcPr>
            <w:tcW w:w="3213" w:type="dxa"/>
            <w:shd w:val="clear" w:color="auto" w:fill="F2F2F2" w:themeFill="background1" w:themeFillShade="F2"/>
            <w:tcMar>
              <w:top w:w="108" w:type="dxa"/>
              <w:left w:w="113" w:type="dxa"/>
              <w:bottom w:w="108" w:type="dxa"/>
              <w:right w:w="113" w:type="dxa"/>
            </w:tcMar>
            <w:vAlign w:val="center"/>
          </w:tcPr>
          <w:p w14:paraId="25526BA6" w14:textId="77777777" w:rsidR="008A39B2" w:rsidRDefault="008A39B2" w:rsidP="00BF11DC">
            <w:pPr>
              <w:pStyle w:val="CDIFigure-Table-BodyTextCentre"/>
            </w:pPr>
            <w:r>
              <w:t>4.5</w:t>
            </w:r>
          </w:p>
        </w:tc>
      </w:tr>
      <w:tr w:rsidR="008A39B2" w14:paraId="4B3C610B" w14:textId="77777777" w:rsidTr="008A39B2">
        <w:trPr>
          <w:divId w:val="935526654"/>
          <w:trHeight w:val="20"/>
        </w:trPr>
        <w:tc>
          <w:tcPr>
            <w:tcW w:w="3213" w:type="dxa"/>
            <w:tcMar>
              <w:top w:w="108" w:type="dxa"/>
              <w:left w:w="113" w:type="dxa"/>
              <w:bottom w:w="108" w:type="dxa"/>
              <w:right w:w="113" w:type="dxa"/>
            </w:tcMar>
            <w:vAlign w:val="center"/>
          </w:tcPr>
          <w:p w14:paraId="0BAAE28B" w14:textId="77777777" w:rsidR="008A39B2" w:rsidRDefault="008A39B2" w:rsidP="00BF11DC">
            <w:pPr>
              <w:pStyle w:val="CDIFigure-Table-BodyTextLeft"/>
            </w:pPr>
            <w:r>
              <w:t>40–49</w:t>
            </w:r>
          </w:p>
        </w:tc>
        <w:tc>
          <w:tcPr>
            <w:tcW w:w="3212" w:type="dxa"/>
            <w:tcMar>
              <w:top w:w="108" w:type="dxa"/>
              <w:left w:w="113" w:type="dxa"/>
              <w:bottom w:w="108" w:type="dxa"/>
              <w:right w:w="113" w:type="dxa"/>
            </w:tcMar>
            <w:vAlign w:val="center"/>
          </w:tcPr>
          <w:p w14:paraId="35C193D0" w14:textId="77777777" w:rsidR="008A39B2" w:rsidRDefault="008A39B2" w:rsidP="00BF11DC">
            <w:pPr>
              <w:pStyle w:val="CDIFigure-Table-BodyTextCentre"/>
            </w:pPr>
            <w:r>
              <w:t>33 (4.5%)</w:t>
            </w:r>
          </w:p>
        </w:tc>
        <w:tc>
          <w:tcPr>
            <w:tcW w:w="3213" w:type="dxa"/>
            <w:tcMar>
              <w:top w:w="108" w:type="dxa"/>
              <w:left w:w="113" w:type="dxa"/>
              <w:bottom w:w="108" w:type="dxa"/>
              <w:right w:w="113" w:type="dxa"/>
            </w:tcMar>
            <w:vAlign w:val="center"/>
          </w:tcPr>
          <w:p w14:paraId="5E505792" w14:textId="77777777" w:rsidR="008A39B2" w:rsidRDefault="008A39B2" w:rsidP="00BF11DC">
            <w:pPr>
              <w:pStyle w:val="CDIFigure-Table-BodyTextCentre"/>
            </w:pPr>
            <w:r>
              <w:t>13</w:t>
            </w:r>
          </w:p>
        </w:tc>
      </w:tr>
      <w:tr w:rsidR="008A39B2" w14:paraId="73614C5E" w14:textId="77777777" w:rsidTr="008A39B2">
        <w:trPr>
          <w:divId w:val="935526654"/>
          <w:trHeight w:val="20"/>
        </w:trPr>
        <w:tc>
          <w:tcPr>
            <w:tcW w:w="3213" w:type="dxa"/>
            <w:shd w:val="clear" w:color="auto" w:fill="F2F2F2" w:themeFill="background1" w:themeFillShade="F2"/>
            <w:tcMar>
              <w:top w:w="108" w:type="dxa"/>
              <w:left w:w="113" w:type="dxa"/>
              <w:bottom w:w="108" w:type="dxa"/>
              <w:right w:w="113" w:type="dxa"/>
            </w:tcMar>
            <w:vAlign w:val="center"/>
          </w:tcPr>
          <w:p w14:paraId="6663B723" w14:textId="77777777" w:rsidR="008A39B2" w:rsidRDefault="008A39B2" w:rsidP="00BF11DC">
            <w:pPr>
              <w:pStyle w:val="CDIFigure-Table-BodyTextLeft"/>
            </w:pPr>
            <w:r>
              <w:t>50–59</w:t>
            </w:r>
          </w:p>
        </w:tc>
        <w:tc>
          <w:tcPr>
            <w:tcW w:w="3212" w:type="dxa"/>
            <w:shd w:val="clear" w:color="auto" w:fill="F2F2F2" w:themeFill="background1" w:themeFillShade="F2"/>
            <w:tcMar>
              <w:top w:w="108" w:type="dxa"/>
              <w:left w:w="113" w:type="dxa"/>
              <w:bottom w:w="108" w:type="dxa"/>
              <w:right w:w="113" w:type="dxa"/>
            </w:tcMar>
            <w:vAlign w:val="center"/>
          </w:tcPr>
          <w:p w14:paraId="1A75B93F" w14:textId="77777777" w:rsidR="008A39B2" w:rsidRDefault="008A39B2" w:rsidP="00BF11DC">
            <w:pPr>
              <w:pStyle w:val="CDIFigure-Table-BodyTextCentre"/>
            </w:pPr>
            <w:r>
              <w:t>66 (9.0%)</w:t>
            </w:r>
          </w:p>
        </w:tc>
        <w:tc>
          <w:tcPr>
            <w:tcW w:w="3213" w:type="dxa"/>
            <w:shd w:val="clear" w:color="auto" w:fill="F2F2F2" w:themeFill="background1" w:themeFillShade="F2"/>
            <w:tcMar>
              <w:top w:w="108" w:type="dxa"/>
              <w:left w:w="113" w:type="dxa"/>
              <w:bottom w:w="108" w:type="dxa"/>
              <w:right w:w="113" w:type="dxa"/>
            </w:tcMar>
            <w:vAlign w:val="center"/>
          </w:tcPr>
          <w:p w14:paraId="31505F35" w14:textId="77777777" w:rsidR="008A39B2" w:rsidRDefault="008A39B2" w:rsidP="00BF11DC">
            <w:pPr>
              <w:pStyle w:val="CDIFigure-Table-BodyTextCentre"/>
            </w:pPr>
            <w:r>
              <w:t>8</w:t>
            </w:r>
          </w:p>
        </w:tc>
      </w:tr>
      <w:tr w:rsidR="008A39B2" w14:paraId="5E06A891" w14:textId="77777777" w:rsidTr="008A39B2">
        <w:trPr>
          <w:divId w:val="935526654"/>
          <w:trHeight w:val="20"/>
        </w:trPr>
        <w:tc>
          <w:tcPr>
            <w:tcW w:w="3213" w:type="dxa"/>
            <w:tcMar>
              <w:top w:w="108" w:type="dxa"/>
              <w:left w:w="113" w:type="dxa"/>
              <w:bottom w:w="108" w:type="dxa"/>
              <w:right w:w="113" w:type="dxa"/>
            </w:tcMar>
            <w:vAlign w:val="center"/>
          </w:tcPr>
          <w:p w14:paraId="76BBA35D" w14:textId="77777777" w:rsidR="008A39B2" w:rsidRDefault="008A39B2" w:rsidP="00BF11DC">
            <w:pPr>
              <w:pStyle w:val="CDIFigure-Table-BodyTextLeft"/>
            </w:pPr>
            <w:r>
              <w:t>60–69</w:t>
            </w:r>
          </w:p>
        </w:tc>
        <w:tc>
          <w:tcPr>
            <w:tcW w:w="3212" w:type="dxa"/>
            <w:tcMar>
              <w:top w:w="108" w:type="dxa"/>
              <w:left w:w="113" w:type="dxa"/>
              <w:bottom w:w="108" w:type="dxa"/>
              <w:right w:w="113" w:type="dxa"/>
            </w:tcMar>
            <w:vAlign w:val="center"/>
          </w:tcPr>
          <w:p w14:paraId="1777124F" w14:textId="77777777" w:rsidR="008A39B2" w:rsidRDefault="008A39B2" w:rsidP="00BF11DC">
            <w:pPr>
              <w:pStyle w:val="CDIFigure-Table-BodyTextCentre"/>
            </w:pPr>
            <w:r>
              <w:t>118 (16.1%)</w:t>
            </w:r>
          </w:p>
        </w:tc>
        <w:tc>
          <w:tcPr>
            <w:tcW w:w="3213" w:type="dxa"/>
            <w:tcMar>
              <w:top w:w="108" w:type="dxa"/>
              <w:left w:w="113" w:type="dxa"/>
              <w:bottom w:w="108" w:type="dxa"/>
              <w:right w:w="113" w:type="dxa"/>
            </w:tcMar>
            <w:vAlign w:val="center"/>
          </w:tcPr>
          <w:p w14:paraId="4E062D5A" w14:textId="77777777" w:rsidR="008A39B2" w:rsidRDefault="008A39B2" w:rsidP="00BF11DC">
            <w:pPr>
              <w:pStyle w:val="CDIFigure-Table-BodyTextCentre"/>
            </w:pPr>
            <w:r>
              <w:t>12</w:t>
            </w:r>
          </w:p>
        </w:tc>
      </w:tr>
      <w:tr w:rsidR="008A39B2" w14:paraId="399B7F3B" w14:textId="77777777" w:rsidTr="008A39B2">
        <w:trPr>
          <w:divId w:val="935526654"/>
          <w:trHeight w:val="20"/>
        </w:trPr>
        <w:tc>
          <w:tcPr>
            <w:tcW w:w="3213" w:type="dxa"/>
            <w:shd w:val="clear" w:color="auto" w:fill="F2F2F2" w:themeFill="background1" w:themeFillShade="F2"/>
            <w:tcMar>
              <w:top w:w="108" w:type="dxa"/>
              <w:left w:w="113" w:type="dxa"/>
              <w:bottom w:w="108" w:type="dxa"/>
              <w:right w:w="113" w:type="dxa"/>
            </w:tcMar>
            <w:vAlign w:val="center"/>
          </w:tcPr>
          <w:p w14:paraId="407D9878" w14:textId="77777777" w:rsidR="008A39B2" w:rsidRDefault="008A39B2" w:rsidP="00BF11DC">
            <w:pPr>
              <w:pStyle w:val="CDIFigure-Table-BodyTextLeft"/>
            </w:pPr>
            <w:r>
              <w:t>70–79</w:t>
            </w:r>
          </w:p>
        </w:tc>
        <w:tc>
          <w:tcPr>
            <w:tcW w:w="3212" w:type="dxa"/>
            <w:shd w:val="clear" w:color="auto" w:fill="F2F2F2" w:themeFill="background1" w:themeFillShade="F2"/>
            <w:tcMar>
              <w:top w:w="108" w:type="dxa"/>
              <w:left w:w="113" w:type="dxa"/>
              <w:bottom w:w="108" w:type="dxa"/>
              <w:right w:w="113" w:type="dxa"/>
            </w:tcMar>
            <w:vAlign w:val="center"/>
          </w:tcPr>
          <w:p w14:paraId="2D4F0C9C" w14:textId="77777777" w:rsidR="008A39B2" w:rsidRDefault="008A39B2" w:rsidP="00BF11DC">
            <w:pPr>
              <w:pStyle w:val="CDIFigure-Table-BodyTextCentre"/>
            </w:pPr>
            <w:r>
              <w:t>192 (26.2%)</w:t>
            </w:r>
          </w:p>
        </w:tc>
        <w:tc>
          <w:tcPr>
            <w:tcW w:w="3213" w:type="dxa"/>
            <w:shd w:val="clear" w:color="auto" w:fill="F2F2F2" w:themeFill="background1" w:themeFillShade="F2"/>
            <w:tcMar>
              <w:top w:w="108" w:type="dxa"/>
              <w:left w:w="113" w:type="dxa"/>
              <w:bottom w:w="108" w:type="dxa"/>
              <w:right w:w="113" w:type="dxa"/>
            </w:tcMar>
            <w:vAlign w:val="center"/>
          </w:tcPr>
          <w:p w14:paraId="4CA38E6B" w14:textId="77777777" w:rsidR="008A39B2" w:rsidRDefault="008A39B2" w:rsidP="00BF11DC">
            <w:pPr>
              <w:pStyle w:val="CDIFigure-Table-BodyTextCentre"/>
            </w:pPr>
            <w:r>
              <w:t>10</w:t>
            </w:r>
          </w:p>
        </w:tc>
      </w:tr>
      <w:tr w:rsidR="008A39B2" w14:paraId="783C4675" w14:textId="77777777" w:rsidTr="008A39B2">
        <w:trPr>
          <w:divId w:val="935526654"/>
          <w:trHeight w:val="20"/>
        </w:trPr>
        <w:tc>
          <w:tcPr>
            <w:tcW w:w="3213" w:type="dxa"/>
            <w:tcMar>
              <w:top w:w="108" w:type="dxa"/>
              <w:left w:w="113" w:type="dxa"/>
              <w:bottom w:w="108" w:type="dxa"/>
              <w:right w:w="113" w:type="dxa"/>
            </w:tcMar>
            <w:vAlign w:val="center"/>
          </w:tcPr>
          <w:p w14:paraId="1D6CC48A" w14:textId="77777777" w:rsidR="008A39B2" w:rsidRDefault="008A39B2" w:rsidP="00BF11DC">
            <w:pPr>
              <w:pStyle w:val="CDIFigure-Table-BodyTextLeft"/>
            </w:pPr>
            <w:r>
              <w:t>80–89</w:t>
            </w:r>
          </w:p>
        </w:tc>
        <w:tc>
          <w:tcPr>
            <w:tcW w:w="3212" w:type="dxa"/>
            <w:tcMar>
              <w:top w:w="108" w:type="dxa"/>
              <w:left w:w="113" w:type="dxa"/>
              <w:bottom w:w="108" w:type="dxa"/>
              <w:right w:w="113" w:type="dxa"/>
            </w:tcMar>
            <w:vAlign w:val="center"/>
          </w:tcPr>
          <w:p w14:paraId="70BCAE42" w14:textId="77777777" w:rsidR="008A39B2" w:rsidRDefault="008A39B2" w:rsidP="00BF11DC">
            <w:pPr>
              <w:pStyle w:val="CDIFigure-Table-BodyTextCentre"/>
            </w:pPr>
            <w:r>
              <w:t>174 (23.8%)</w:t>
            </w:r>
          </w:p>
        </w:tc>
        <w:tc>
          <w:tcPr>
            <w:tcW w:w="3213" w:type="dxa"/>
            <w:tcMar>
              <w:top w:w="108" w:type="dxa"/>
              <w:left w:w="113" w:type="dxa"/>
              <w:bottom w:w="108" w:type="dxa"/>
              <w:right w:w="113" w:type="dxa"/>
            </w:tcMar>
            <w:vAlign w:val="center"/>
          </w:tcPr>
          <w:p w14:paraId="117608CC" w14:textId="77777777" w:rsidR="008A39B2" w:rsidRDefault="008A39B2" w:rsidP="00BF11DC">
            <w:pPr>
              <w:pStyle w:val="CDIFigure-Table-BodyTextCentre"/>
            </w:pPr>
            <w:r>
              <w:t>10</w:t>
            </w:r>
          </w:p>
        </w:tc>
      </w:tr>
      <w:tr w:rsidR="008A39B2" w14:paraId="02B10273" w14:textId="77777777" w:rsidTr="008A39B2">
        <w:trPr>
          <w:divId w:val="935526654"/>
          <w:trHeight w:val="20"/>
        </w:trPr>
        <w:tc>
          <w:tcPr>
            <w:tcW w:w="3213" w:type="dxa"/>
            <w:shd w:val="clear" w:color="auto" w:fill="F2F2F2" w:themeFill="background1" w:themeFillShade="F2"/>
            <w:tcMar>
              <w:top w:w="108" w:type="dxa"/>
              <w:left w:w="113" w:type="dxa"/>
              <w:bottom w:w="108" w:type="dxa"/>
              <w:right w:w="113" w:type="dxa"/>
            </w:tcMar>
            <w:vAlign w:val="center"/>
          </w:tcPr>
          <w:p w14:paraId="3B67FA3A" w14:textId="77777777" w:rsidR="008A39B2" w:rsidRDefault="008A39B2" w:rsidP="00BF11DC">
            <w:pPr>
              <w:pStyle w:val="CDIFigure-Table-BodyTextLeft"/>
            </w:pPr>
            <w:r>
              <w:t>90–99</w:t>
            </w:r>
          </w:p>
        </w:tc>
        <w:tc>
          <w:tcPr>
            <w:tcW w:w="3212" w:type="dxa"/>
            <w:shd w:val="clear" w:color="auto" w:fill="F2F2F2" w:themeFill="background1" w:themeFillShade="F2"/>
            <w:tcMar>
              <w:top w:w="108" w:type="dxa"/>
              <w:left w:w="113" w:type="dxa"/>
              <w:bottom w:w="108" w:type="dxa"/>
              <w:right w:w="113" w:type="dxa"/>
            </w:tcMar>
            <w:vAlign w:val="center"/>
          </w:tcPr>
          <w:p w14:paraId="1EF76980" w14:textId="77777777" w:rsidR="008A39B2" w:rsidRDefault="008A39B2" w:rsidP="00BF11DC">
            <w:pPr>
              <w:pStyle w:val="CDIFigure-Table-BodyTextCentre"/>
            </w:pPr>
            <w:r>
              <w:t>124 (16.9%)</w:t>
            </w:r>
          </w:p>
        </w:tc>
        <w:tc>
          <w:tcPr>
            <w:tcW w:w="3213" w:type="dxa"/>
            <w:shd w:val="clear" w:color="auto" w:fill="F2F2F2" w:themeFill="background1" w:themeFillShade="F2"/>
            <w:tcMar>
              <w:top w:w="108" w:type="dxa"/>
              <w:left w:w="113" w:type="dxa"/>
              <w:bottom w:w="108" w:type="dxa"/>
              <w:right w:w="113" w:type="dxa"/>
            </w:tcMar>
            <w:vAlign w:val="center"/>
          </w:tcPr>
          <w:p w14:paraId="14971298" w14:textId="77777777" w:rsidR="008A39B2" w:rsidRDefault="008A39B2" w:rsidP="00BF11DC">
            <w:pPr>
              <w:pStyle w:val="CDIFigure-Table-BodyTextCentre"/>
            </w:pPr>
            <w:r>
              <w:t>6.5</w:t>
            </w:r>
          </w:p>
        </w:tc>
      </w:tr>
      <w:tr w:rsidR="008A39B2" w14:paraId="6795FD3E" w14:textId="77777777" w:rsidTr="008A39B2">
        <w:trPr>
          <w:divId w:val="935526654"/>
          <w:trHeight w:val="20"/>
        </w:trPr>
        <w:tc>
          <w:tcPr>
            <w:tcW w:w="3213" w:type="dxa"/>
            <w:tcMar>
              <w:top w:w="108" w:type="dxa"/>
              <w:left w:w="113" w:type="dxa"/>
              <w:bottom w:w="108" w:type="dxa"/>
              <w:right w:w="113" w:type="dxa"/>
            </w:tcMar>
            <w:vAlign w:val="center"/>
          </w:tcPr>
          <w:p w14:paraId="5BB7B637" w14:textId="77777777" w:rsidR="008A39B2" w:rsidRDefault="008A39B2" w:rsidP="00BF11DC">
            <w:pPr>
              <w:pStyle w:val="CDIFigure-Table-BodyTextLeft"/>
            </w:pPr>
            <w:r>
              <w:t>100+</w:t>
            </w:r>
          </w:p>
        </w:tc>
        <w:tc>
          <w:tcPr>
            <w:tcW w:w="3212" w:type="dxa"/>
            <w:tcMar>
              <w:top w:w="108" w:type="dxa"/>
              <w:left w:w="113" w:type="dxa"/>
              <w:bottom w:w="108" w:type="dxa"/>
              <w:right w:w="113" w:type="dxa"/>
            </w:tcMar>
            <w:vAlign w:val="center"/>
          </w:tcPr>
          <w:p w14:paraId="31D63DEA" w14:textId="77777777" w:rsidR="008A39B2" w:rsidRDefault="008A39B2" w:rsidP="00BF11DC">
            <w:pPr>
              <w:pStyle w:val="CDIFigure-Table-BodyTextCentre"/>
            </w:pPr>
            <w:r>
              <w:t>4 (0.5%)</w:t>
            </w:r>
          </w:p>
        </w:tc>
        <w:tc>
          <w:tcPr>
            <w:tcW w:w="3213" w:type="dxa"/>
            <w:tcMar>
              <w:top w:w="108" w:type="dxa"/>
              <w:left w:w="113" w:type="dxa"/>
              <w:bottom w:w="108" w:type="dxa"/>
              <w:right w:w="113" w:type="dxa"/>
            </w:tcMar>
            <w:vAlign w:val="center"/>
          </w:tcPr>
          <w:p w14:paraId="03121400" w14:textId="77777777" w:rsidR="008A39B2" w:rsidRDefault="008A39B2" w:rsidP="00BF11DC">
            <w:pPr>
              <w:pStyle w:val="CDIFigure-Table-BodyTextCentre"/>
            </w:pPr>
            <w:r>
              <w:t>4</w:t>
            </w:r>
          </w:p>
        </w:tc>
      </w:tr>
      <w:tr w:rsidR="008A39B2" w14:paraId="61674183" w14:textId="77777777" w:rsidTr="008A39B2">
        <w:trPr>
          <w:divId w:val="935526654"/>
          <w:trHeight w:val="20"/>
        </w:trPr>
        <w:tc>
          <w:tcPr>
            <w:tcW w:w="3213" w:type="dxa"/>
            <w:tcBorders>
              <w:bottom w:val="single" w:sz="4" w:space="0" w:color="033636" w:themeColor="text2"/>
            </w:tcBorders>
            <w:shd w:val="clear" w:color="auto" w:fill="F2F2F2" w:themeFill="background1" w:themeFillShade="F2"/>
            <w:tcMar>
              <w:top w:w="108" w:type="dxa"/>
              <w:left w:w="113" w:type="dxa"/>
              <w:bottom w:w="108" w:type="dxa"/>
              <w:right w:w="113" w:type="dxa"/>
            </w:tcMar>
            <w:vAlign w:val="center"/>
          </w:tcPr>
          <w:p w14:paraId="00212B0A" w14:textId="77777777" w:rsidR="008A39B2" w:rsidRDefault="008A39B2" w:rsidP="00BF11DC">
            <w:pPr>
              <w:pStyle w:val="CDIFigure-Table-BodyTextLeft"/>
            </w:pPr>
            <w:r>
              <w:t>Unknown</w:t>
            </w:r>
          </w:p>
        </w:tc>
        <w:tc>
          <w:tcPr>
            <w:tcW w:w="3212" w:type="dxa"/>
            <w:tcBorders>
              <w:bottom w:val="single" w:sz="4" w:space="0" w:color="033636" w:themeColor="text2"/>
            </w:tcBorders>
            <w:shd w:val="clear" w:color="auto" w:fill="F2F2F2" w:themeFill="background1" w:themeFillShade="F2"/>
            <w:tcMar>
              <w:top w:w="108" w:type="dxa"/>
              <w:left w:w="113" w:type="dxa"/>
              <w:bottom w:w="108" w:type="dxa"/>
              <w:right w:w="113" w:type="dxa"/>
            </w:tcMar>
            <w:vAlign w:val="center"/>
          </w:tcPr>
          <w:p w14:paraId="137CDE40" w14:textId="77777777" w:rsidR="008A39B2" w:rsidRDefault="008A39B2" w:rsidP="00BF11DC">
            <w:pPr>
              <w:pStyle w:val="CDIFigure-Table-BodyTextCentre"/>
            </w:pPr>
            <w:r>
              <w:t>30</w:t>
            </w:r>
          </w:p>
        </w:tc>
        <w:tc>
          <w:tcPr>
            <w:tcW w:w="3213" w:type="dxa"/>
            <w:tcBorders>
              <w:bottom w:val="single" w:sz="4" w:space="0" w:color="033636" w:themeColor="text2"/>
            </w:tcBorders>
            <w:shd w:val="clear" w:color="auto" w:fill="F2F2F2" w:themeFill="background1" w:themeFillShade="F2"/>
            <w:tcMar>
              <w:top w:w="108" w:type="dxa"/>
              <w:left w:w="113" w:type="dxa"/>
              <w:bottom w:w="108" w:type="dxa"/>
              <w:right w:w="113" w:type="dxa"/>
            </w:tcMar>
            <w:vAlign w:val="center"/>
          </w:tcPr>
          <w:p w14:paraId="3866F8E5" w14:textId="77777777" w:rsidR="008A39B2" w:rsidRDefault="008A39B2" w:rsidP="00BF11DC">
            <w:pPr>
              <w:pStyle w:val="CDIFigure-Table-BodyTextCentre"/>
            </w:pPr>
            <w:r>
              <w:t>17</w:t>
            </w:r>
          </w:p>
        </w:tc>
      </w:tr>
    </w:tbl>
    <w:p w14:paraId="51492637" w14:textId="77777777" w:rsidR="008A39B2" w:rsidRPr="004464EC" w:rsidRDefault="008A39B2" w:rsidP="008A39B2">
      <w:pPr>
        <w:pStyle w:val="CDIFigure-Table-FirstFootnote"/>
        <w:divId w:val="935526654"/>
      </w:pPr>
      <w:r w:rsidRPr="00463A6D">
        <w:t>a</w:t>
      </w:r>
      <w:r w:rsidRPr="00463A6D">
        <w:tab/>
        <w:t>Percentages are calculated from the 732 reports for which age at death was recorded.</w:t>
      </w:r>
    </w:p>
    <w:p w14:paraId="347811A6" w14:textId="34D2F5EF" w:rsidR="004464EC" w:rsidRDefault="004464EC" w:rsidP="004464EC">
      <w:pPr>
        <w:pStyle w:val="Heading2"/>
        <w:divId w:val="935526654"/>
        <w:rPr>
          <w:lang w:val="en-GB"/>
        </w:rPr>
      </w:pPr>
      <w:r>
        <w:rPr>
          <w:lang w:val="en-GB"/>
        </w:rPr>
        <w:t>Safety monitoring</w:t>
      </w:r>
    </w:p>
    <w:p w14:paraId="57A46F5B" w14:textId="77777777" w:rsidR="004464EC" w:rsidRPr="004464EC" w:rsidRDefault="004464EC" w:rsidP="004464EC">
      <w:pPr>
        <w:divId w:val="935526654"/>
        <w:rPr>
          <w:lang w:val="en-GB"/>
        </w:rPr>
      </w:pPr>
      <w:r w:rsidRPr="004464EC">
        <w:rPr>
          <w:lang w:val="en-GB"/>
        </w:rPr>
        <w:t>Table 8 summarises the safety topics that were subject to TGA-initiated safety investigations on COVID-19 vaccines in 2021 and some of the respective actions taken as a result of these investigations. In the context of rapidly emerging data and evidence, each topic listed in Table 8 may represent multiple separate and iterative investigations performed over time as new evidence came to light. This ensured that the TGA safety monitoring was responsive and adaptive to current issues. Vaccine product information and national COVID-19 vaccine program guidance for Comirnaty and Vaxzevria were updated following these investigations to provide more information on twelve separate safety issues in 2021. Table 8 captures data until the end of 2021 and does not capture the number of investigations, all regulatory or program actions undertaken, or actions that occurred for these safety topics after this time.</w:t>
      </w:r>
    </w:p>
    <w:p w14:paraId="6E3175A7" w14:textId="13FCDDCF" w:rsidR="004464EC" w:rsidRDefault="008A39B2" w:rsidP="008A39B2">
      <w:pPr>
        <w:pStyle w:val="CDIFigure-Table-Title"/>
        <w:divId w:val="935526654"/>
      </w:pPr>
      <w:r w:rsidRPr="008A39B2">
        <w:lastRenderedPageBreak/>
        <w:t>Table 8: Safety topics investigated for COVID-19 vaccines undertaken by the Therapeutic Goods Administration (TGA) in 2021</w:t>
      </w:r>
      <w:r w:rsidRPr="008A39B2">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8: Safety topics investigated for COVID-19 vaccines undertaken by the Therapeutic Goods Administration (TGA) in 2021a"/>
        <w:tblDescription w:val="Table 8 lists the investigations undertaken by the Therapeutic Goods Administration in 2021 by topic (usually a specific adverse event or a group of related adverse events) and COVID-19 vaccine potentially implicated. The outcome of each investigation is also listed in the table."/>
      </w:tblPr>
      <w:tblGrid>
        <w:gridCol w:w="1757"/>
        <w:gridCol w:w="4365"/>
        <w:gridCol w:w="3515"/>
      </w:tblGrid>
      <w:tr w:rsidR="000149CB" w14:paraId="40A9D576" w14:textId="77777777" w:rsidTr="000149CB">
        <w:trPr>
          <w:divId w:val="935526654"/>
          <w:trHeight w:val="20"/>
          <w:tblHeader/>
        </w:trPr>
        <w:tc>
          <w:tcPr>
            <w:tcW w:w="1757" w:type="dxa"/>
            <w:shd w:val="clear" w:color="auto" w:fill="033636" w:themeFill="text2"/>
            <w:tcMar>
              <w:top w:w="113" w:type="dxa"/>
              <w:left w:w="113" w:type="dxa"/>
              <w:bottom w:w="113" w:type="dxa"/>
              <w:right w:w="113" w:type="dxa"/>
            </w:tcMar>
            <w:vAlign w:val="center"/>
          </w:tcPr>
          <w:p w14:paraId="5FD237A7" w14:textId="77777777" w:rsidR="008A39B2" w:rsidRDefault="008A39B2" w:rsidP="000149CB">
            <w:pPr>
              <w:pStyle w:val="CDIFigure-Table-H1Left"/>
            </w:pPr>
            <w:r>
              <w:t>Vaccine(s)</w:t>
            </w:r>
          </w:p>
        </w:tc>
        <w:tc>
          <w:tcPr>
            <w:tcW w:w="4365" w:type="dxa"/>
            <w:shd w:val="clear" w:color="auto" w:fill="033636" w:themeFill="text2"/>
            <w:tcMar>
              <w:top w:w="113" w:type="dxa"/>
              <w:left w:w="113" w:type="dxa"/>
              <w:bottom w:w="113" w:type="dxa"/>
              <w:right w:w="113" w:type="dxa"/>
            </w:tcMar>
            <w:vAlign w:val="center"/>
          </w:tcPr>
          <w:p w14:paraId="1EADDE95" w14:textId="77777777" w:rsidR="008A39B2" w:rsidRDefault="008A39B2" w:rsidP="000149CB">
            <w:pPr>
              <w:pStyle w:val="CDIFigure-Table-H1Left"/>
            </w:pPr>
            <w:r>
              <w:t>Potential adverse event investigated</w:t>
            </w:r>
          </w:p>
        </w:tc>
        <w:tc>
          <w:tcPr>
            <w:tcW w:w="3515" w:type="dxa"/>
            <w:shd w:val="clear" w:color="auto" w:fill="033636" w:themeFill="text2"/>
            <w:tcMar>
              <w:top w:w="113" w:type="dxa"/>
              <w:left w:w="113" w:type="dxa"/>
              <w:bottom w:w="113" w:type="dxa"/>
              <w:right w:w="113" w:type="dxa"/>
            </w:tcMar>
            <w:vAlign w:val="center"/>
          </w:tcPr>
          <w:p w14:paraId="0F40B699" w14:textId="77777777" w:rsidR="008A39B2" w:rsidRDefault="008A39B2" w:rsidP="000149CB">
            <w:pPr>
              <w:pStyle w:val="CDIFigure-Table-H1Left"/>
            </w:pPr>
            <w:r>
              <w:t>Outcome/status at the end of 2021</w:t>
            </w:r>
          </w:p>
        </w:tc>
      </w:tr>
      <w:tr w:rsidR="000149CB" w14:paraId="4603DE46" w14:textId="77777777" w:rsidTr="000149CB">
        <w:trPr>
          <w:divId w:val="935526654"/>
          <w:trHeight w:val="20"/>
        </w:trPr>
        <w:tc>
          <w:tcPr>
            <w:tcW w:w="1757" w:type="dxa"/>
            <w:vMerge w:val="restart"/>
            <w:shd w:val="clear" w:color="auto" w:fill="C5FFEF" w:themeFill="background2" w:themeFillTint="33"/>
            <w:tcMar>
              <w:top w:w="108" w:type="dxa"/>
              <w:left w:w="113" w:type="dxa"/>
              <w:bottom w:w="108" w:type="dxa"/>
              <w:right w:w="113" w:type="dxa"/>
            </w:tcMar>
            <w:vAlign w:val="center"/>
          </w:tcPr>
          <w:p w14:paraId="4E6EED74" w14:textId="77777777" w:rsidR="008A39B2" w:rsidRDefault="008A39B2" w:rsidP="000149CB">
            <w:pPr>
              <w:pStyle w:val="CDIFigure-Table-BodyTextLeft"/>
            </w:pPr>
            <w:r>
              <w:t>Comirnaty</w:t>
            </w:r>
          </w:p>
        </w:tc>
        <w:tc>
          <w:tcPr>
            <w:tcW w:w="4365" w:type="dxa"/>
            <w:shd w:val="clear" w:color="auto" w:fill="F2F2F2" w:themeFill="background1" w:themeFillShade="F2"/>
            <w:tcMar>
              <w:top w:w="113" w:type="dxa"/>
              <w:left w:w="113" w:type="dxa"/>
              <w:bottom w:w="113" w:type="dxa"/>
              <w:right w:w="113" w:type="dxa"/>
            </w:tcMar>
            <w:vAlign w:val="center"/>
          </w:tcPr>
          <w:p w14:paraId="10984FF6" w14:textId="77777777" w:rsidR="008A39B2" w:rsidRDefault="008A39B2" w:rsidP="000149CB">
            <w:pPr>
              <w:pStyle w:val="CDIFigure-Table-BodyTextLeft"/>
            </w:pPr>
            <w:r>
              <w:t>Myocarditis/pericarditis</w:t>
            </w:r>
          </w:p>
        </w:tc>
        <w:tc>
          <w:tcPr>
            <w:tcW w:w="3515" w:type="dxa"/>
            <w:shd w:val="clear" w:color="auto" w:fill="F2F2F2" w:themeFill="background1" w:themeFillShade="F2"/>
            <w:tcMar>
              <w:top w:w="113" w:type="dxa"/>
              <w:left w:w="113" w:type="dxa"/>
              <w:bottom w:w="113" w:type="dxa"/>
              <w:right w:w="113" w:type="dxa"/>
            </w:tcMar>
            <w:vAlign w:val="center"/>
          </w:tcPr>
          <w:p w14:paraId="3E405B85" w14:textId="77777777" w:rsidR="008A39B2" w:rsidRDefault="008A39B2" w:rsidP="000149CB">
            <w:pPr>
              <w:pStyle w:val="CDIFigure-Table-BodyTextLeft"/>
            </w:pPr>
            <w:r>
              <w:t>Product information updated (Section 4.4 and 4.8)</w:t>
            </w:r>
            <w:r>
              <w:rPr>
                <w:rStyle w:val="Superscript"/>
              </w:rPr>
              <w:t>b</w:t>
            </w:r>
          </w:p>
        </w:tc>
      </w:tr>
      <w:tr w:rsidR="000149CB" w14:paraId="03B7FA6A" w14:textId="77777777" w:rsidTr="000149CB">
        <w:trPr>
          <w:divId w:val="935526654"/>
          <w:trHeight w:val="20"/>
        </w:trPr>
        <w:tc>
          <w:tcPr>
            <w:tcW w:w="1757" w:type="dxa"/>
            <w:vMerge/>
            <w:shd w:val="clear" w:color="auto" w:fill="C5FFEF" w:themeFill="background2" w:themeFillTint="33"/>
          </w:tcPr>
          <w:p w14:paraId="1D72FEEB" w14:textId="77777777" w:rsidR="008A39B2" w:rsidRDefault="008A39B2">
            <w:pPr>
              <w:spacing w:line="240" w:lineRule="auto"/>
            </w:pPr>
          </w:p>
        </w:tc>
        <w:tc>
          <w:tcPr>
            <w:tcW w:w="4365" w:type="dxa"/>
            <w:tcMar>
              <w:top w:w="113" w:type="dxa"/>
              <w:left w:w="113" w:type="dxa"/>
              <w:bottom w:w="113" w:type="dxa"/>
              <w:right w:w="113" w:type="dxa"/>
            </w:tcMar>
            <w:vAlign w:val="center"/>
          </w:tcPr>
          <w:p w14:paraId="5FAA4EE4" w14:textId="77777777" w:rsidR="008A39B2" w:rsidRDefault="008A39B2" w:rsidP="000149CB">
            <w:pPr>
              <w:pStyle w:val="CDIFigure-Table-BodyTextLeft"/>
            </w:pPr>
            <w:r>
              <w:t>Lymphadenopathy</w:t>
            </w:r>
          </w:p>
        </w:tc>
        <w:tc>
          <w:tcPr>
            <w:tcW w:w="3515" w:type="dxa"/>
            <w:tcMar>
              <w:top w:w="113" w:type="dxa"/>
              <w:left w:w="113" w:type="dxa"/>
              <w:bottom w:w="113" w:type="dxa"/>
              <w:right w:w="113" w:type="dxa"/>
            </w:tcMar>
            <w:vAlign w:val="center"/>
          </w:tcPr>
          <w:p w14:paraId="23A172A5" w14:textId="77777777" w:rsidR="008A39B2" w:rsidRDefault="008A39B2" w:rsidP="000149CB">
            <w:pPr>
              <w:pStyle w:val="CDIFigure-Table-BodyTextLeft"/>
            </w:pPr>
            <w:r>
              <w:t>Ongoing monitoring</w:t>
            </w:r>
            <w:r>
              <w:rPr>
                <w:rStyle w:val="Superscript"/>
              </w:rPr>
              <w:t>c</w:t>
            </w:r>
          </w:p>
        </w:tc>
      </w:tr>
      <w:tr w:rsidR="000149CB" w14:paraId="63601B73" w14:textId="77777777" w:rsidTr="000149CB">
        <w:trPr>
          <w:divId w:val="935526654"/>
          <w:trHeight w:val="20"/>
        </w:trPr>
        <w:tc>
          <w:tcPr>
            <w:tcW w:w="1757" w:type="dxa"/>
            <w:vMerge/>
            <w:shd w:val="clear" w:color="auto" w:fill="C5FFEF" w:themeFill="background2" w:themeFillTint="33"/>
          </w:tcPr>
          <w:p w14:paraId="440E5926"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757ED9D3" w14:textId="77777777" w:rsidR="008A39B2" w:rsidRDefault="008A39B2" w:rsidP="000149CB">
            <w:pPr>
              <w:pStyle w:val="CDIFigure-Table-BodyTextLeft"/>
            </w:pPr>
            <w:r>
              <w:t>Risk of facial swelling in people with a history of injections with dermal fillers</w:t>
            </w:r>
          </w:p>
        </w:tc>
        <w:tc>
          <w:tcPr>
            <w:tcW w:w="3515" w:type="dxa"/>
            <w:shd w:val="clear" w:color="auto" w:fill="F2F2F2" w:themeFill="background1" w:themeFillShade="F2"/>
            <w:tcMar>
              <w:top w:w="113" w:type="dxa"/>
              <w:left w:w="113" w:type="dxa"/>
              <w:bottom w:w="113" w:type="dxa"/>
              <w:right w:w="113" w:type="dxa"/>
            </w:tcMar>
            <w:vAlign w:val="center"/>
          </w:tcPr>
          <w:p w14:paraId="1E775762" w14:textId="77777777" w:rsidR="008A39B2" w:rsidRDefault="008A39B2" w:rsidP="000149CB">
            <w:pPr>
              <w:pStyle w:val="CDIFigure-Table-BodyTextLeft"/>
            </w:pPr>
            <w:r>
              <w:t>Ongoing monitoring</w:t>
            </w:r>
            <w:r>
              <w:rPr>
                <w:rStyle w:val="Superscript"/>
              </w:rPr>
              <w:t>d</w:t>
            </w:r>
          </w:p>
        </w:tc>
      </w:tr>
      <w:tr w:rsidR="000149CB" w14:paraId="33B9718B" w14:textId="77777777" w:rsidTr="000149CB">
        <w:trPr>
          <w:divId w:val="935526654"/>
          <w:trHeight w:val="20"/>
        </w:trPr>
        <w:tc>
          <w:tcPr>
            <w:tcW w:w="1757" w:type="dxa"/>
            <w:vMerge/>
            <w:shd w:val="clear" w:color="auto" w:fill="C5FFEF" w:themeFill="background2" w:themeFillTint="33"/>
          </w:tcPr>
          <w:p w14:paraId="7909E43D" w14:textId="77777777" w:rsidR="008A39B2" w:rsidRDefault="008A39B2">
            <w:pPr>
              <w:spacing w:line="240" w:lineRule="auto"/>
            </w:pPr>
          </w:p>
        </w:tc>
        <w:tc>
          <w:tcPr>
            <w:tcW w:w="4365" w:type="dxa"/>
            <w:tcMar>
              <w:top w:w="113" w:type="dxa"/>
              <w:left w:w="113" w:type="dxa"/>
              <w:bottom w:w="113" w:type="dxa"/>
              <w:right w:w="113" w:type="dxa"/>
            </w:tcMar>
            <w:vAlign w:val="center"/>
          </w:tcPr>
          <w:p w14:paraId="0B85F3B8" w14:textId="77777777" w:rsidR="008A39B2" w:rsidRDefault="008A39B2" w:rsidP="000149CB">
            <w:pPr>
              <w:pStyle w:val="CDIFigure-Table-BodyTextLeft"/>
            </w:pPr>
            <w:r>
              <w:t>Anxiety related reaction/syncope</w:t>
            </w:r>
          </w:p>
        </w:tc>
        <w:tc>
          <w:tcPr>
            <w:tcW w:w="3515" w:type="dxa"/>
            <w:tcMar>
              <w:top w:w="113" w:type="dxa"/>
              <w:left w:w="113" w:type="dxa"/>
              <w:bottom w:w="113" w:type="dxa"/>
              <w:right w:w="113" w:type="dxa"/>
            </w:tcMar>
            <w:vAlign w:val="center"/>
          </w:tcPr>
          <w:p w14:paraId="2CE3A18D" w14:textId="77777777" w:rsidR="008A39B2" w:rsidRDefault="008A39B2" w:rsidP="000149CB">
            <w:pPr>
              <w:pStyle w:val="CDIFigure-Table-BodyTextLeft"/>
            </w:pPr>
            <w:r>
              <w:t>Product information updated (Section 4.4)</w:t>
            </w:r>
            <w:r>
              <w:rPr>
                <w:rStyle w:val="Superscript"/>
              </w:rPr>
              <w:t>e</w:t>
            </w:r>
          </w:p>
        </w:tc>
      </w:tr>
      <w:tr w:rsidR="000149CB" w14:paraId="436A5266" w14:textId="77777777" w:rsidTr="000149CB">
        <w:trPr>
          <w:divId w:val="935526654"/>
          <w:trHeight w:val="20"/>
        </w:trPr>
        <w:tc>
          <w:tcPr>
            <w:tcW w:w="1757" w:type="dxa"/>
            <w:vMerge/>
            <w:shd w:val="clear" w:color="auto" w:fill="C5FFEF" w:themeFill="background2" w:themeFillTint="33"/>
          </w:tcPr>
          <w:p w14:paraId="6C45BABC"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4A19A4F3" w14:textId="77777777" w:rsidR="008A39B2" w:rsidRDefault="008A39B2" w:rsidP="000149CB">
            <w:pPr>
              <w:pStyle w:val="CDIFigure-Table-BodyTextLeft"/>
            </w:pPr>
            <w:r>
              <w:t>Erythema multiforme</w:t>
            </w:r>
          </w:p>
        </w:tc>
        <w:tc>
          <w:tcPr>
            <w:tcW w:w="3515" w:type="dxa"/>
            <w:shd w:val="clear" w:color="auto" w:fill="F2F2F2" w:themeFill="background1" w:themeFillShade="F2"/>
            <w:tcMar>
              <w:top w:w="113" w:type="dxa"/>
              <w:left w:w="113" w:type="dxa"/>
              <w:bottom w:w="113" w:type="dxa"/>
              <w:right w:w="113" w:type="dxa"/>
            </w:tcMar>
            <w:vAlign w:val="center"/>
          </w:tcPr>
          <w:p w14:paraId="54D9D26C" w14:textId="77777777" w:rsidR="008A39B2" w:rsidRDefault="008A39B2" w:rsidP="000149CB">
            <w:pPr>
              <w:pStyle w:val="CDIFigure-Table-BodyTextLeft"/>
            </w:pPr>
            <w:r>
              <w:t>Product information updated (Section 4.8)</w:t>
            </w:r>
            <w:r>
              <w:rPr>
                <w:rStyle w:val="Superscript"/>
              </w:rPr>
              <w:t>f</w:t>
            </w:r>
          </w:p>
        </w:tc>
      </w:tr>
      <w:tr w:rsidR="000149CB" w14:paraId="69C733E3" w14:textId="77777777" w:rsidTr="000149CB">
        <w:trPr>
          <w:divId w:val="935526654"/>
          <w:trHeight w:val="20"/>
        </w:trPr>
        <w:tc>
          <w:tcPr>
            <w:tcW w:w="1757" w:type="dxa"/>
            <w:vMerge/>
            <w:shd w:val="clear" w:color="auto" w:fill="C5FFEF" w:themeFill="background2" w:themeFillTint="33"/>
          </w:tcPr>
          <w:p w14:paraId="60E7F2BD" w14:textId="77777777" w:rsidR="008A39B2" w:rsidRDefault="008A39B2">
            <w:pPr>
              <w:spacing w:line="240" w:lineRule="auto"/>
            </w:pPr>
          </w:p>
        </w:tc>
        <w:tc>
          <w:tcPr>
            <w:tcW w:w="4365" w:type="dxa"/>
            <w:tcMar>
              <w:top w:w="113" w:type="dxa"/>
              <w:left w:w="113" w:type="dxa"/>
              <w:bottom w:w="113" w:type="dxa"/>
              <w:right w:w="113" w:type="dxa"/>
            </w:tcMar>
            <w:vAlign w:val="center"/>
          </w:tcPr>
          <w:p w14:paraId="3D5814C7" w14:textId="77777777" w:rsidR="008A39B2" w:rsidRDefault="008A39B2" w:rsidP="000149CB">
            <w:pPr>
              <w:pStyle w:val="CDIFigure-Table-BodyTextLeft"/>
            </w:pPr>
            <w:r>
              <w:t>Diarrhoea and vomiting</w:t>
            </w:r>
          </w:p>
        </w:tc>
        <w:tc>
          <w:tcPr>
            <w:tcW w:w="3515" w:type="dxa"/>
            <w:tcMar>
              <w:top w:w="113" w:type="dxa"/>
              <w:left w:w="113" w:type="dxa"/>
              <w:bottom w:w="113" w:type="dxa"/>
              <w:right w:w="113" w:type="dxa"/>
            </w:tcMar>
            <w:vAlign w:val="center"/>
          </w:tcPr>
          <w:p w14:paraId="7721E125" w14:textId="77777777" w:rsidR="008A39B2" w:rsidRDefault="008A39B2" w:rsidP="000149CB">
            <w:pPr>
              <w:pStyle w:val="CDIFigure-Table-BodyTextLeft"/>
            </w:pPr>
            <w:r>
              <w:t>Product information updated (Section 4.8)</w:t>
            </w:r>
          </w:p>
        </w:tc>
      </w:tr>
      <w:tr w:rsidR="000149CB" w14:paraId="63F09799" w14:textId="77777777" w:rsidTr="000149CB">
        <w:trPr>
          <w:divId w:val="935526654"/>
          <w:trHeight w:val="20"/>
        </w:trPr>
        <w:tc>
          <w:tcPr>
            <w:tcW w:w="1757" w:type="dxa"/>
            <w:vMerge/>
            <w:shd w:val="clear" w:color="auto" w:fill="C5FFEF" w:themeFill="background2" w:themeFillTint="33"/>
          </w:tcPr>
          <w:p w14:paraId="1A1E7797"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1DDE9374" w14:textId="77777777" w:rsidR="008A39B2" w:rsidRDefault="008A39B2" w:rsidP="000149CB">
            <w:pPr>
              <w:pStyle w:val="CDIFigure-Table-BodyTextLeft"/>
            </w:pPr>
            <w:r>
              <w:t>Hypersensitivity reactions, pain in arm</w:t>
            </w:r>
          </w:p>
        </w:tc>
        <w:tc>
          <w:tcPr>
            <w:tcW w:w="3515" w:type="dxa"/>
            <w:shd w:val="clear" w:color="auto" w:fill="F2F2F2" w:themeFill="background1" w:themeFillShade="F2"/>
            <w:tcMar>
              <w:top w:w="113" w:type="dxa"/>
              <w:left w:w="113" w:type="dxa"/>
              <w:bottom w:w="113" w:type="dxa"/>
              <w:right w:w="113" w:type="dxa"/>
            </w:tcMar>
            <w:vAlign w:val="center"/>
          </w:tcPr>
          <w:p w14:paraId="7ECB9A6F" w14:textId="77777777" w:rsidR="008A39B2" w:rsidRDefault="008A39B2" w:rsidP="000149CB">
            <w:pPr>
              <w:pStyle w:val="CDIFigure-Table-BodyTextLeft"/>
            </w:pPr>
            <w:r>
              <w:t>Product information updated (Section 4.8)</w:t>
            </w:r>
          </w:p>
        </w:tc>
      </w:tr>
      <w:tr w:rsidR="000149CB" w14:paraId="0FA2600B" w14:textId="77777777" w:rsidTr="000149CB">
        <w:trPr>
          <w:divId w:val="935526654"/>
          <w:trHeight w:val="20"/>
        </w:trPr>
        <w:tc>
          <w:tcPr>
            <w:tcW w:w="1757" w:type="dxa"/>
            <w:vMerge/>
            <w:shd w:val="clear" w:color="auto" w:fill="C5FFEF" w:themeFill="background2" w:themeFillTint="33"/>
          </w:tcPr>
          <w:p w14:paraId="1FF4AB6A" w14:textId="77777777" w:rsidR="008A39B2" w:rsidRDefault="008A39B2">
            <w:pPr>
              <w:spacing w:line="240" w:lineRule="auto"/>
            </w:pPr>
          </w:p>
        </w:tc>
        <w:tc>
          <w:tcPr>
            <w:tcW w:w="4365" w:type="dxa"/>
            <w:tcMar>
              <w:top w:w="113" w:type="dxa"/>
              <w:left w:w="113" w:type="dxa"/>
              <w:bottom w:w="113" w:type="dxa"/>
              <w:right w:w="113" w:type="dxa"/>
            </w:tcMar>
            <w:vAlign w:val="center"/>
          </w:tcPr>
          <w:p w14:paraId="0860CB64" w14:textId="77777777" w:rsidR="008A39B2" w:rsidRDefault="008A39B2" w:rsidP="000149CB">
            <w:pPr>
              <w:pStyle w:val="CDIFigure-Table-BodyTextLeft"/>
            </w:pPr>
            <w:r>
              <w:t xml:space="preserve">Spontaneous abortion </w:t>
            </w:r>
          </w:p>
        </w:tc>
        <w:tc>
          <w:tcPr>
            <w:tcW w:w="3515" w:type="dxa"/>
            <w:tcMar>
              <w:top w:w="113" w:type="dxa"/>
              <w:left w:w="113" w:type="dxa"/>
              <w:bottom w:w="113" w:type="dxa"/>
              <w:right w:w="113" w:type="dxa"/>
            </w:tcMar>
            <w:vAlign w:val="center"/>
          </w:tcPr>
          <w:p w14:paraId="0467728E" w14:textId="77777777" w:rsidR="008A39B2" w:rsidRDefault="008A39B2" w:rsidP="000149CB">
            <w:pPr>
              <w:pStyle w:val="CDIFigure-Table-BodyTextLeft"/>
            </w:pPr>
            <w:r>
              <w:t>Ongoing monitoring</w:t>
            </w:r>
          </w:p>
        </w:tc>
      </w:tr>
      <w:tr w:rsidR="000149CB" w14:paraId="2879E30A" w14:textId="77777777" w:rsidTr="000149CB">
        <w:trPr>
          <w:divId w:val="935526654"/>
          <w:trHeight w:val="20"/>
        </w:trPr>
        <w:tc>
          <w:tcPr>
            <w:tcW w:w="1757" w:type="dxa"/>
            <w:vMerge/>
            <w:shd w:val="clear" w:color="auto" w:fill="C5FFEF" w:themeFill="background2" w:themeFillTint="33"/>
          </w:tcPr>
          <w:p w14:paraId="634B5126"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5B74FFC3" w14:textId="77777777" w:rsidR="008A39B2" w:rsidRDefault="008A39B2" w:rsidP="000149CB">
            <w:pPr>
              <w:pStyle w:val="CDIFigure-Table-BodyTextLeft"/>
            </w:pPr>
            <w:r>
              <w:t xml:space="preserve">Cardiac failure </w:t>
            </w:r>
          </w:p>
        </w:tc>
        <w:tc>
          <w:tcPr>
            <w:tcW w:w="3515" w:type="dxa"/>
            <w:shd w:val="clear" w:color="auto" w:fill="F2F2F2" w:themeFill="background1" w:themeFillShade="F2"/>
            <w:tcMar>
              <w:top w:w="113" w:type="dxa"/>
              <w:left w:w="113" w:type="dxa"/>
              <w:bottom w:w="113" w:type="dxa"/>
              <w:right w:w="113" w:type="dxa"/>
            </w:tcMar>
            <w:vAlign w:val="center"/>
          </w:tcPr>
          <w:p w14:paraId="3284B754" w14:textId="77777777" w:rsidR="008A39B2" w:rsidRDefault="008A39B2" w:rsidP="000149CB">
            <w:pPr>
              <w:pStyle w:val="CDIFigure-Table-BodyTextLeft"/>
            </w:pPr>
            <w:r>
              <w:t>Ongoing monitoring</w:t>
            </w:r>
          </w:p>
        </w:tc>
      </w:tr>
      <w:tr w:rsidR="000149CB" w14:paraId="7AB1AF07" w14:textId="77777777" w:rsidTr="000149CB">
        <w:trPr>
          <w:divId w:val="935526654"/>
          <w:trHeight w:val="20"/>
        </w:trPr>
        <w:tc>
          <w:tcPr>
            <w:tcW w:w="1757" w:type="dxa"/>
            <w:vMerge/>
            <w:shd w:val="clear" w:color="auto" w:fill="C5FFEF" w:themeFill="background2" w:themeFillTint="33"/>
          </w:tcPr>
          <w:p w14:paraId="6707C215" w14:textId="77777777" w:rsidR="008A39B2" w:rsidRDefault="008A39B2">
            <w:pPr>
              <w:spacing w:line="240" w:lineRule="auto"/>
            </w:pPr>
          </w:p>
        </w:tc>
        <w:tc>
          <w:tcPr>
            <w:tcW w:w="4365" w:type="dxa"/>
            <w:tcMar>
              <w:top w:w="113" w:type="dxa"/>
              <w:left w:w="113" w:type="dxa"/>
              <w:bottom w:w="113" w:type="dxa"/>
              <w:right w:w="113" w:type="dxa"/>
            </w:tcMar>
            <w:vAlign w:val="center"/>
          </w:tcPr>
          <w:p w14:paraId="2FAD9C76" w14:textId="77777777" w:rsidR="008A39B2" w:rsidRDefault="008A39B2" w:rsidP="000149CB">
            <w:pPr>
              <w:pStyle w:val="CDIFigure-Table-BodyTextLeft"/>
            </w:pPr>
            <w:r>
              <w:t>Glomerulonephritis and nephrotic syndrome</w:t>
            </w:r>
          </w:p>
        </w:tc>
        <w:tc>
          <w:tcPr>
            <w:tcW w:w="3515" w:type="dxa"/>
            <w:tcMar>
              <w:top w:w="113" w:type="dxa"/>
              <w:left w:w="113" w:type="dxa"/>
              <w:bottom w:w="113" w:type="dxa"/>
              <w:right w:w="113" w:type="dxa"/>
            </w:tcMar>
            <w:vAlign w:val="center"/>
          </w:tcPr>
          <w:p w14:paraId="325825DF" w14:textId="77777777" w:rsidR="008A39B2" w:rsidRDefault="008A39B2" w:rsidP="000149CB">
            <w:pPr>
              <w:pStyle w:val="CDIFigure-Table-BodyTextLeft"/>
            </w:pPr>
            <w:r>
              <w:t>Ongoing monitoring</w:t>
            </w:r>
          </w:p>
        </w:tc>
      </w:tr>
      <w:tr w:rsidR="000149CB" w14:paraId="76EE56FC" w14:textId="77777777" w:rsidTr="000149CB">
        <w:trPr>
          <w:divId w:val="935526654"/>
          <w:trHeight w:val="20"/>
        </w:trPr>
        <w:tc>
          <w:tcPr>
            <w:tcW w:w="1757" w:type="dxa"/>
            <w:vMerge/>
            <w:shd w:val="clear" w:color="auto" w:fill="C5FFEF" w:themeFill="background2" w:themeFillTint="33"/>
          </w:tcPr>
          <w:p w14:paraId="0D94A9A4"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1B3CA311" w14:textId="77777777" w:rsidR="008A39B2" w:rsidRDefault="008A39B2" w:rsidP="000149CB">
            <w:pPr>
              <w:pStyle w:val="CDIFigure-Table-BodyTextLeft"/>
            </w:pPr>
            <w:r>
              <w:t xml:space="preserve">Bronchitis/lower respiratory tract infection </w:t>
            </w:r>
          </w:p>
        </w:tc>
        <w:tc>
          <w:tcPr>
            <w:tcW w:w="3515" w:type="dxa"/>
            <w:shd w:val="clear" w:color="auto" w:fill="F2F2F2" w:themeFill="background1" w:themeFillShade="F2"/>
            <w:tcMar>
              <w:top w:w="113" w:type="dxa"/>
              <w:left w:w="113" w:type="dxa"/>
              <w:bottom w:w="113" w:type="dxa"/>
              <w:right w:w="113" w:type="dxa"/>
            </w:tcMar>
            <w:vAlign w:val="center"/>
          </w:tcPr>
          <w:p w14:paraId="00487648" w14:textId="77777777" w:rsidR="008A39B2" w:rsidRDefault="008A39B2" w:rsidP="000149CB">
            <w:pPr>
              <w:pStyle w:val="CDIFigure-Table-BodyTextLeft"/>
            </w:pPr>
            <w:r>
              <w:t>Ongoing monitoring</w:t>
            </w:r>
          </w:p>
        </w:tc>
      </w:tr>
      <w:tr w:rsidR="000149CB" w14:paraId="2EE68E16" w14:textId="77777777" w:rsidTr="000149CB">
        <w:trPr>
          <w:divId w:val="935526654"/>
          <w:trHeight w:val="20"/>
        </w:trPr>
        <w:tc>
          <w:tcPr>
            <w:tcW w:w="1757" w:type="dxa"/>
            <w:vMerge/>
            <w:shd w:val="clear" w:color="auto" w:fill="C5FFEF" w:themeFill="background2" w:themeFillTint="33"/>
          </w:tcPr>
          <w:p w14:paraId="308BEF8B" w14:textId="77777777" w:rsidR="008A39B2" w:rsidRDefault="008A39B2">
            <w:pPr>
              <w:spacing w:line="240" w:lineRule="auto"/>
            </w:pPr>
          </w:p>
        </w:tc>
        <w:tc>
          <w:tcPr>
            <w:tcW w:w="4365" w:type="dxa"/>
            <w:tcMar>
              <w:top w:w="113" w:type="dxa"/>
              <w:left w:w="113" w:type="dxa"/>
              <w:bottom w:w="113" w:type="dxa"/>
              <w:right w:w="113" w:type="dxa"/>
            </w:tcMar>
            <w:vAlign w:val="center"/>
          </w:tcPr>
          <w:p w14:paraId="0371823D" w14:textId="77777777" w:rsidR="008A39B2" w:rsidRDefault="008A39B2" w:rsidP="000149CB">
            <w:pPr>
              <w:pStyle w:val="CDIFigure-Table-BodyTextLeft"/>
            </w:pPr>
            <w:r>
              <w:t>Chillblains</w:t>
            </w:r>
          </w:p>
        </w:tc>
        <w:tc>
          <w:tcPr>
            <w:tcW w:w="3515" w:type="dxa"/>
            <w:tcMar>
              <w:top w:w="113" w:type="dxa"/>
              <w:left w:w="113" w:type="dxa"/>
              <w:bottom w:w="113" w:type="dxa"/>
              <w:right w:w="113" w:type="dxa"/>
            </w:tcMar>
            <w:vAlign w:val="center"/>
          </w:tcPr>
          <w:p w14:paraId="349E105D" w14:textId="77777777" w:rsidR="008A39B2" w:rsidRDefault="008A39B2" w:rsidP="000149CB">
            <w:pPr>
              <w:pStyle w:val="CDIFigure-Table-BodyTextLeft"/>
            </w:pPr>
            <w:r>
              <w:t>Ongoing monitoring</w:t>
            </w:r>
          </w:p>
        </w:tc>
      </w:tr>
      <w:tr w:rsidR="000149CB" w14:paraId="39A58B80" w14:textId="77777777" w:rsidTr="000149CB">
        <w:trPr>
          <w:divId w:val="935526654"/>
          <w:trHeight w:val="20"/>
        </w:trPr>
        <w:tc>
          <w:tcPr>
            <w:tcW w:w="1757" w:type="dxa"/>
            <w:vMerge/>
            <w:shd w:val="clear" w:color="auto" w:fill="C5FFEF" w:themeFill="background2" w:themeFillTint="33"/>
          </w:tcPr>
          <w:p w14:paraId="5DE5B4B6"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50529856" w14:textId="77777777" w:rsidR="008A39B2" w:rsidRDefault="008A39B2" w:rsidP="000149CB">
            <w:pPr>
              <w:pStyle w:val="CDIFigure-Table-BodyTextLeft"/>
            </w:pPr>
            <w:r>
              <w:t>Oral herpes and mouth ulcers</w:t>
            </w:r>
          </w:p>
        </w:tc>
        <w:tc>
          <w:tcPr>
            <w:tcW w:w="3515" w:type="dxa"/>
            <w:shd w:val="clear" w:color="auto" w:fill="F2F2F2" w:themeFill="background1" w:themeFillShade="F2"/>
            <w:tcMar>
              <w:top w:w="113" w:type="dxa"/>
              <w:left w:w="113" w:type="dxa"/>
              <w:bottom w:w="113" w:type="dxa"/>
              <w:right w:w="113" w:type="dxa"/>
            </w:tcMar>
            <w:vAlign w:val="center"/>
          </w:tcPr>
          <w:p w14:paraId="0BAAFC81" w14:textId="77777777" w:rsidR="008A39B2" w:rsidRDefault="008A39B2" w:rsidP="000149CB">
            <w:pPr>
              <w:pStyle w:val="CDIFigure-Table-BodyTextLeft"/>
            </w:pPr>
            <w:r>
              <w:t>Ongoing monitoring</w:t>
            </w:r>
          </w:p>
        </w:tc>
      </w:tr>
      <w:tr w:rsidR="000149CB" w14:paraId="1F6E2530" w14:textId="77777777" w:rsidTr="000149CB">
        <w:trPr>
          <w:divId w:val="935526654"/>
          <w:trHeight w:val="20"/>
        </w:trPr>
        <w:tc>
          <w:tcPr>
            <w:tcW w:w="1757" w:type="dxa"/>
            <w:vMerge/>
            <w:shd w:val="clear" w:color="auto" w:fill="C5FFEF" w:themeFill="background2" w:themeFillTint="33"/>
          </w:tcPr>
          <w:p w14:paraId="1EE56E8A" w14:textId="77777777" w:rsidR="008A39B2" w:rsidRDefault="008A39B2">
            <w:pPr>
              <w:spacing w:line="240" w:lineRule="auto"/>
            </w:pPr>
          </w:p>
        </w:tc>
        <w:tc>
          <w:tcPr>
            <w:tcW w:w="4365" w:type="dxa"/>
            <w:tcMar>
              <w:top w:w="113" w:type="dxa"/>
              <w:left w:w="113" w:type="dxa"/>
              <w:bottom w:w="113" w:type="dxa"/>
              <w:right w:w="113" w:type="dxa"/>
            </w:tcMar>
            <w:vAlign w:val="center"/>
          </w:tcPr>
          <w:p w14:paraId="62CE7115" w14:textId="77777777" w:rsidR="008A39B2" w:rsidRDefault="008A39B2" w:rsidP="000149CB">
            <w:pPr>
              <w:pStyle w:val="CDIFigure-Table-BodyTextLeft"/>
            </w:pPr>
            <w:r>
              <w:t xml:space="preserve">Laryngitis, tonsilitis, and tonsillar inflammation </w:t>
            </w:r>
          </w:p>
        </w:tc>
        <w:tc>
          <w:tcPr>
            <w:tcW w:w="3515" w:type="dxa"/>
            <w:tcMar>
              <w:top w:w="113" w:type="dxa"/>
              <w:left w:w="113" w:type="dxa"/>
              <w:bottom w:w="113" w:type="dxa"/>
              <w:right w:w="113" w:type="dxa"/>
            </w:tcMar>
            <w:vAlign w:val="center"/>
          </w:tcPr>
          <w:p w14:paraId="24D52160" w14:textId="77777777" w:rsidR="008A39B2" w:rsidRDefault="008A39B2" w:rsidP="000149CB">
            <w:pPr>
              <w:pStyle w:val="CDIFigure-Table-BodyTextLeft"/>
            </w:pPr>
            <w:r>
              <w:t>Ongoing monitoring</w:t>
            </w:r>
          </w:p>
        </w:tc>
      </w:tr>
      <w:tr w:rsidR="000149CB" w14:paraId="44C38B25" w14:textId="77777777" w:rsidTr="000149CB">
        <w:trPr>
          <w:divId w:val="935526654"/>
          <w:trHeight w:val="20"/>
        </w:trPr>
        <w:tc>
          <w:tcPr>
            <w:tcW w:w="1757" w:type="dxa"/>
            <w:vMerge/>
            <w:shd w:val="clear" w:color="auto" w:fill="C5FFEF" w:themeFill="background2" w:themeFillTint="33"/>
          </w:tcPr>
          <w:p w14:paraId="5F955696"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7F27A283" w14:textId="77777777" w:rsidR="008A39B2" w:rsidRDefault="008A39B2" w:rsidP="000149CB">
            <w:pPr>
              <w:pStyle w:val="CDIFigure-Table-BodyTextLeft"/>
            </w:pPr>
            <w:r>
              <w:t>Acute pancreatitis</w:t>
            </w:r>
          </w:p>
        </w:tc>
        <w:tc>
          <w:tcPr>
            <w:tcW w:w="3515" w:type="dxa"/>
            <w:shd w:val="clear" w:color="auto" w:fill="F2F2F2" w:themeFill="background1" w:themeFillShade="F2"/>
            <w:tcMar>
              <w:top w:w="113" w:type="dxa"/>
              <w:left w:w="113" w:type="dxa"/>
              <w:bottom w:w="113" w:type="dxa"/>
              <w:right w:w="113" w:type="dxa"/>
            </w:tcMar>
            <w:vAlign w:val="center"/>
          </w:tcPr>
          <w:p w14:paraId="2E927C9E" w14:textId="77777777" w:rsidR="008A39B2" w:rsidRDefault="008A39B2" w:rsidP="000149CB">
            <w:pPr>
              <w:pStyle w:val="CDIFigure-Table-BodyTextLeft"/>
            </w:pPr>
            <w:r>
              <w:t>Ongoing monitoring</w:t>
            </w:r>
          </w:p>
        </w:tc>
      </w:tr>
      <w:tr w:rsidR="000149CB" w14:paraId="668232A5" w14:textId="77777777" w:rsidTr="000149CB">
        <w:trPr>
          <w:divId w:val="935526654"/>
          <w:trHeight w:val="20"/>
        </w:trPr>
        <w:tc>
          <w:tcPr>
            <w:tcW w:w="1757" w:type="dxa"/>
            <w:vMerge/>
            <w:shd w:val="clear" w:color="auto" w:fill="C5FFEF" w:themeFill="background2" w:themeFillTint="33"/>
          </w:tcPr>
          <w:p w14:paraId="1CBDEACD" w14:textId="77777777" w:rsidR="008A39B2" w:rsidRDefault="008A39B2">
            <w:pPr>
              <w:spacing w:line="240" w:lineRule="auto"/>
            </w:pPr>
          </w:p>
        </w:tc>
        <w:tc>
          <w:tcPr>
            <w:tcW w:w="4365" w:type="dxa"/>
            <w:tcMar>
              <w:top w:w="113" w:type="dxa"/>
              <w:left w:w="113" w:type="dxa"/>
              <w:bottom w:w="113" w:type="dxa"/>
              <w:right w:w="113" w:type="dxa"/>
            </w:tcMar>
            <w:vAlign w:val="center"/>
          </w:tcPr>
          <w:p w14:paraId="3CE58494" w14:textId="77777777" w:rsidR="008A39B2" w:rsidRDefault="008A39B2" w:rsidP="000149CB">
            <w:pPr>
              <w:pStyle w:val="CDIFigure-Table-BodyTextLeft"/>
            </w:pPr>
            <w:r>
              <w:t xml:space="preserve">Cerebral venous sinus thrombosis </w:t>
            </w:r>
          </w:p>
        </w:tc>
        <w:tc>
          <w:tcPr>
            <w:tcW w:w="3515" w:type="dxa"/>
            <w:tcMar>
              <w:top w:w="113" w:type="dxa"/>
              <w:left w:w="113" w:type="dxa"/>
              <w:bottom w:w="113" w:type="dxa"/>
              <w:right w:w="113" w:type="dxa"/>
            </w:tcMar>
            <w:vAlign w:val="center"/>
          </w:tcPr>
          <w:p w14:paraId="4C1BEDE4" w14:textId="77777777" w:rsidR="008A39B2" w:rsidRDefault="008A39B2" w:rsidP="000149CB">
            <w:pPr>
              <w:pStyle w:val="CDIFigure-Table-BodyTextLeft"/>
            </w:pPr>
            <w:r>
              <w:t>Ongoing monitoring</w:t>
            </w:r>
          </w:p>
        </w:tc>
      </w:tr>
      <w:tr w:rsidR="000149CB" w14:paraId="7D49E39E" w14:textId="77777777" w:rsidTr="000149CB">
        <w:trPr>
          <w:divId w:val="935526654"/>
          <w:trHeight w:val="20"/>
        </w:trPr>
        <w:tc>
          <w:tcPr>
            <w:tcW w:w="1757" w:type="dxa"/>
            <w:vMerge/>
            <w:shd w:val="clear" w:color="auto" w:fill="C5FFEF" w:themeFill="background2" w:themeFillTint="33"/>
          </w:tcPr>
          <w:p w14:paraId="2BDDD695"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787DE885" w14:textId="77777777" w:rsidR="008A39B2" w:rsidRDefault="008A39B2" w:rsidP="000149CB">
            <w:pPr>
              <w:pStyle w:val="CDIFigure-Table-BodyTextLeft"/>
            </w:pPr>
            <w:r>
              <w:t xml:space="preserve">Hyperthyroidism </w:t>
            </w:r>
          </w:p>
        </w:tc>
        <w:tc>
          <w:tcPr>
            <w:tcW w:w="3515" w:type="dxa"/>
            <w:shd w:val="clear" w:color="auto" w:fill="F2F2F2" w:themeFill="background1" w:themeFillShade="F2"/>
            <w:tcMar>
              <w:top w:w="113" w:type="dxa"/>
              <w:left w:w="113" w:type="dxa"/>
              <w:bottom w:w="113" w:type="dxa"/>
              <w:right w:w="113" w:type="dxa"/>
            </w:tcMar>
            <w:vAlign w:val="center"/>
          </w:tcPr>
          <w:p w14:paraId="114E20B8" w14:textId="77777777" w:rsidR="008A39B2" w:rsidRDefault="008A39B2" w:rsidP="000149CB">
            <w:pPr>
              <w:pStyle w:val="CDIFigure-Table-BodyTextLeft"/>
            </w:pPr>
            <w:r>
              <w:t>Ongoing monitoring</w:t>
            </w:r>
          </w:p>
        </w:tc>
      </w:tr>
      <w:tr w:rsidR="000149CB" w14:paraId="3682E024" w14:textId="77777777" w:rsidTr="000149CB">
        <w:trPr>
          <w:divId w:val="935526654"/>
          <w:trHeight w:val="20"/>
        </w:trPr>
        <w:tc>
          <w:tcPr>
            <w:tcW w:w="1757" w:type="dxa"/>
            <w:vMerge/>
            <w:shd w:val="clear" w:color="auto" w:fill="C5FFEF" w:themeFill="background2" w:themeFillTint="33"/>
          </w:tcPr>
          <w:p w14:paraId="16AE2E1F" w14:textId="77777777" w:rsidR="008A39B2" w:rsidRDefault="008A39B2">
            <w:pPr>
              <w:spacing w:line="240" w:lineRule="auto"/>
            </w:pPr>
          </w:p>
        </w:tc>
        <w:tc>
          <w:tcPr>
            <w:tcW w:w="4365" w:type="dxa"/>
            <w:tcMar>
              <w:top w:w="113" w:type="dxa"/>
              <w:left w:w="113" w:type="dxa"/>
              <w:bottom w:w="113" w:type="dxa"/>
              <w:right w:w="113" w:type="dxa"/>
            </w:tcMar>
            <w:vAlign w:val="center"/>
          </w:tcPr>
          <w:p w14:paraId="332C0958" w14:textId="77777777" w:rsidR="008A39B2" w:rsidRDefault="008A39B2" w:rsidP="000149CB">
            <w:pPr>
              <w:pStyle w:val="CDIFigure-Table-BodyTextLeft"/>
            </w:pPr>
            <w:r>
              <w:t>Hypertension and increased blood pressure</w:t>
            </w:r>
          </w:p>
        </w:tc>
        <w:tc>
          <w:tcPr>
            <w:tcW w:w="3515" w:type="dxa"/>
            <w:tcMar>
              <w:top w:w="113" w:type="dxa"/>
              <w:left w:w="113" w:type="dxa"/>
              <w:bottom w:w="113" w:type="dxa"/>
              <w:right w:w="113" w:type="dxa"/>
            </w:tcMar>
            <w:vAlign w:val="center"/>
          </w:tcPr>
          <w:p w14:paraId="3B6F43A5" w14:textId="77777777" w:rsidR="008A39B2" w:rsidRDefault="008A39B2" w:rsidP="000149CB">
            <w:pPr>
              <w:pStyle w:val="CDIFigure-Table-BodyTextLeft"/>
            </w:pPr>
            <w:r>
              <w:t>Ongoing monitoring</w:t>
            </w:r>
          </w:p>
        </w:tc>
      </w:tr>
      <w:tr w:rsidR="000149CB" w14:paraId="1D74FD96" w14:textId="77777777" w:rsidTr="000149CB">
        <w:trPr>
          <w:divId w:val="935526654"/>
          <w:trHeight w:val="20"/>
        </w:trPr>
        <w:tc>
          <w:tcPr>
            <w:tcW w:w="1757" w:type="dxa"/>
            <w:vMerge/>
            <w:tcBorders>
              <w:bottom w:val="single" w:sz="4" w:space="0" w:color="033636" w:themeColor="text2"/>
            </w:tcBorders>
            <w:shd w:val="clear" w:color="auto" w:fill="C5FFEF" w:themeFill="background2" w:themeFillTint="33"/>
          </w:tcPr>
          <w:p w14:paraId="55DD9EB1" w14:textId="77777777" w:rsidR="008A39B2" w:rsidRDefault="008A39B2">
            <w:pPr>
              <w:spacing w:line="240" w:lineRule="auto"/>
            </w:pPr>
          </w:p>
        </w:tc>
        <w:tc>
          <w:tcPr>
            <w:tcW w:w="436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1DCF6F" w14:textId="77777777" w:rsidR="008A39B2" w:rsidRDefault="008A39B2" w:rsidP="000149CB">
            <w:pPr>
              <w:pStyle w:val="CDIFigure-Table-BodyTextLeft"/>
            </w:pPr>
            <w:r>
              <w:t xml:space="preserve">Appendicitis </w:t>
            </w:r>
          </w:p>
        </w:tc>
        <w:tc>
          <w:tcPr>
            <w:tcW w:w="35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AB94B7" w14:textId="77777777" w:rsidR="008A39B2" w:rsidRDefault="008A39B2" w:rsidP="000149CB">
            <w:pPr>
              <w:pStyle w:val="CDIFigure-Table-BodyTextLeft"/>
            </w:pPr>
            <w:r>
              <w:t>Ongoing monitoring</w:t>
            </w:r>
          </w:p>
        </w:tc>
      </w:tr>
      <w:tr w:rsidR="000149CB" w14:paraId="0079B511" w14:textId="77777777" w:rsidTr="000149CB">
        <w:trPr>
          <w:divId w:val="935526654"/>
          <w:trHeight w:val="20"/>
        </w:trPr>
        <w:tc>
          <w:tcPr>
            <w:tcW w:w="175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C311373" w14:textId="77777777" w:rsidR="008A39B2" w:rsidRDefault="008A39B2" w:rsidP="000149CB">
            <w:pPr>
              <w:pStyle w:val="CDIFigure-Table-BodyTextLeft"/>
            </w:pPr>
            <w:r w:rsidRPr="000149CB">
              <w:t>Vaxzevria</w:t>
            </w:r>
          </w:p>
        </w:tc>
        <w:tc>
          <w:tcPr>
            <w:tcW w:w="4365" w:type="dxa"/>
            <w:tcBorders>
              <w:top w:val="single" w:sz="4" w:space="0" w:color="033636" w:themeColor="text2"/>
            </w:tcBorders>
            <w:tcMar>
              <w:top w:w="113" w:type="dxa"/>
              <w:left w:w="113" w:type="dxa"/>
              <w:bottom w:w="113" w:type="dxa"/>
              <w:right w:w="113" w:type="dxa"/>
            </w:tcMar>
            <w:vAlign w:val="center"/>
          </w:tcPr>
          <w:p w14:paraId="71C3DFD7" w14:textId="77777777" w:rsidR="008A39B2" w:rsidRDefault="008A39B2" w:rsidP="000149CB">
            <w:pPr>
              <w:pStyle w:val="CDIFigure-Table-BodyTextLeft"/>
            </w:pPr>
            <w:r>
              <w:t>Guillain-Barré syndrome</w:t>
            </w:r>
          </w:p>
        </w:tc>
        <w:tc>
          <w:tcPr>
            <w:tcW w:w="3515" w:type="dxa"/>
            <w:tcBorders>
              <w:top w:val="single" w:sz="4" w:space="0" w:color="033636" w:themeColor="text2"/>
            </w:tcBorders>
            <w:tcMar>
              <w:top w:w="113" w:type="dxa"/>
              <w:left w:w="113" w:type="dxa"/>
              <w:bottom w:w="113" w:type="dxa"/>
              <w:right w:w="113" w:type="dxa"/>
            </w:tcMar>
            <w:vAlign w:val="center"/>
          </w:tcPr>
          <w:p w14:paraId="026F3CBC" w14:textId="77777777" w:rsidR="008A39B2" w:rsidRDefault="008A39B2" w:rsidP="000149CB">
            <w:pPr>
              <w:pStyle w:val="CDIFigure-Table-BodyTextLeft"/>
            </w:pPr>
            <w:r>
              <w:t>Product information updated (Section 4.4 and 4.8); causality statement updated</w:t>
            </w:r>
            <w:r>
              <w:rPr>
                <w:rStyle w:val="Superscript"/>
              </w:rPr>
              <w:t>g</w:t>
            </w:r>
          </w:p>
        </w:tc>
      </w:tr>
      <w:tr w:rsidR="000149CB" w14:paraId="4F42C6BA" w14:textId="77777777" w:rsidTr="000149CB">
        <w:trPr>
          <w:divId w:val="935526654"/>
          <w:trHeight w:val="20"/>
        </w:trPr>
        <w:tc>
          <w:tcPr>
            <w:tcW w:w="1757" w:type="dxa"/>
            <w:vMerge/>
            <w:shd w:val="clear" w:color="auto" w:fill="C5FFEF" w:themeFill="background2" w:themeFillTint="33"/>
          </w:tcPr>
          <w:p w14:paraId="58240C91"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7A02FAC5" w14:textId="77777777" w:rsidR="008A39B2" w:rsidRDefault="008A39B2" w:rsidP="000149CB">
            <w:pPr>
              <w:pStyle w:val="CDIFigure-Table-BodyTextLeft"/>
            </w:pPr>
            <w:r>
              <w:t>Capillary leak syndrome</w:t>
            </w:r>
          </w:p>
        </w:tc>
        <w:tc>
          <w:tcPr>
            <w:tcW w:w="3515" w:type="dxa"/>
            <w:shd w:val="clear" w:color="auto" w:fill="F2F2F2" w:themeFill="background1" w:themeFillShade="F2"/>
            <w:tcMar>
              <w:top w:w="113" w:type="dxa"/>
              <w:left w:w="113" w:type="dxa"/>
              <w:bottom w:w="113" w:type="dxa"/>
              <w:right w:w="113" w:type="dxa"/>
            </w:tcMar>
            <w:vAlign w:val="center"/>
          </w:tcPr>
          <w:p w14:paraId="5F5B5E70" w14:textId="77777777" w:rsidR="008A39B2" w:rsidRDefault="008A39B2" w:rsidP="000149CB">
            <w:pPr>
              <w:pStyle w:val="CDIFigure-Table-BodyTextLeft"/>
            </w:pPr>
            <w:r>
              <w:t xml:space="preserve">Product information updated </w:t>
            </w:r>
            <w:r w:rsidRPr="0003381F">
              <w:t>(Section 4.4 and 4.8)</w:t>
            </w:r>
            <w:r w:rsidRPr="000149CB">
              <w:t>; referred to VSIG</w:t>
            </w:r>
            <w:r w:rsidRPr="009B2B5F">
              <w:rPr>
                <w:rStyle w:val="Superscript"/>
              </w:rPr>
              <w:t>h,i</w:t>
            </w:r>
          </w:p>
        </w:tc>
      </w:tr>
      <w:tr w:rsidR="000149CB" w14:paraId="11D4250F" w14:textId="77777777" w:rsidTr="000149CB">
        <w:trPr>
          <w:divId w:val="935526654"/>
          <w:trHeight w:val="20"/>
        </w:trPr>
        <w:tc>
          <w:tcPr>
            <w:tcW w:w="1757" w:type="dxa"/>
            <w:vMerge/>
            <w:shd w:val="clear" w:color="auto" w:fill="C5FFEF" w:themeFill="background2" w:themeFillTint="33"/>
          </w:tcPr>
          <w:p w14:paraId="4FCEB7D1" w14:textId="77777777" w:rsidR="008A39B2" w:rsidRDefault="008A39B2">
            <w:pPr>
              <w:spacing w:line="240" w:lineRule="auto"/>
            </w:pPr>
          </w:p>
        </w:tc>
        <w:tc>
          <w:tcPr>
            <w:tcW w:w="4365" w:type="dxa"/>
            <w:tcMar>
              <w:top w:w="113" w:type="dxa"/>
              <w:left w:w="113" w:type="dxa"/>
              <w:bottom w:w="113" w:type="dxa"/>
              <w:right w:w="113" w:type="dxa"/>
            </w:tcMar>
            <w:vAlign w:val="center"/>
          </w:tcPr>
          <w:p w14:paraId="486EBC7E" w14:textId="77777777" w:rsidR="008A39B2" w:rsidRDefault="008A39B2" w:rsidP="000149CB">
            <w:pPr>
              <w:pStyle w:val="CDIFigure-Table-BodyTextLeft"/>
            </w:pPr>
            <w:r>
              <w:t>Venous thromboembolism</w:t>
            </w:r>
          </w:p>
        </w:tc>
        <w:tc>
          <w:tcPr>
            <w:tcW w:w="3515" w:type="dxa"/>
            <w:tcMar>
              <w:top w:w="113" w:type="dxa"/>
              <w:left w:w="113" w:type="dxa"/>
              <w:bottom w:w="113" w:type="dxa"/>
              <w:right w:w="113" w:type="dxa"/>
            </w:tcMar>
            <w:vAlign w:val="center"/>
          </w:tcPr>
          <w:p w14:paraId="5B42195E" w14:textId="77777777" w:rsidR="008A39B2" w:rsidRDefault="008A39B2" w:rsidP="000149CB">
            <w:pPr>
              <w:pStyle w:val="CDIFigure-Table-BodyTextLeft"/>
            </w:pPr>
            <w:r>
              <w:t>Product information updated (Section 4.4)</w:t>
            </w:r>
          </w:p>
        </w:tc>
      </w:tr>
      <w:tr w:rsidR="000149CB" w14:paraId="67763E2D" w14:textId="77777777" w:rsidTr="000149CB">
        <w:trPr>
          <w:divId w:val="935526654"/>
          <w:trHeight w:val="20"/>
        </w:trPr>
        <w:tc>
          <w:tcPr>
            <w:tcW w:w="1757" w:type="dxa"/>
            <w:vMerge/>
            <w:shd w:val="clear" w:color="auto" w:fill="C5FFEF" w:themeFill="background2" w:themeFillTint="33"/>
          </w:tcPr>
          <w:p w14:paraId="129E783C"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647749B8" w14:textId="77777777" w:rsidR="008A39B2" w:rsidRDefault="008A39B2" w:rsidP="000149CB">
            <w:pPr>
              <w:pStyle w:val="CDIFigure-Table-BodyTextLeft"/>
            </w:pPr>
            <w:r>
              <w:t>Syncope and anxiety related reactions</w:t>
            </w:r>
          </w:p>
        </w:tc>
        <w:tc>
          <w:tcPr>
            <w:tcW w:w="3515" w:type="dxa"/>
            <w:shd w:val="clear" w:color="auto" w:fill="F2F2F2" w:themeFill="background1" w:themeFillShade="F2"/>
            <w:tcMar>
              <w:top w:w="113" w:type="dxa"/>
              <w:left w:w="113" w:type="dxa"/>
              <w:bottom w:w="113" w:type="dxa"/>
              <w:right w:w="113" w:type="dxa"/>
            </w:tcMar>
            <w:vAlign w:val="center"/>
          </w:tcPr>
          <w:p w14:paraId="4F541353" w14:textId="77777777" w:rsidR="008A39B2" w:rsidRDefault="008A39B2" w:rsidP="000149CB">
            <w:pPr>
              <w:pStyle w:val="CDIFigure-Table-BodyTextLeft"/>
            </w:pPr>
            <w:r>
              <w:t>Product information updated (Section 4.4)</w:t>
            </w:r>
            <w:r>
              <w:rPr>
                <w:rStyle w:val="Superscript"/>
              </w:rPr>
              <w:t>j</w:t>
            </w:r>
          </w:p>
        </w:tc>
      </w:tr>
      <w:tr w:rsidR="000149CB" w14:paraId="22DC9103" w14:textId="77777777" w:rsidTr="000149CB">
        <w:trPr>
          <w:divId w:val="935526654"/>
          <w:trHeight w:val="20"/>
        </w:trPr>
        <w:tc>
          <w:tcPr>
            <w:tcW w:w="1757" w:type="dxa"/>
            <w:vMerge/>
            <w:shd w:val="clear" w:color="auto" w:fill="C5FFEF" w:themeFill="background2" w:themeFillTint="33"/>
          </w:tcPr>
          <w:p w14:paraId="3E3C3B2F" w14:textId="77777777" w:rsidR="008A39B2" w:rsidRDefault="008A39B2">
            <w:pPr>
              <w:spacing w:line="240" w:lineRule="auto"/>
            </w:pPr>
          </w:p>
        </w:tc>
        <w:tc>
          <w:tcPr>
            <w:tcW w:w="4365" w:type="dxa"/>
            <w:tcMar>
              <w:top w:w="113" w:type="dxa"/>
              <w:left w:w="113" w:type="dxa"/>
              <w:bottom w:w="113" w:type="dxa"/>
              <w:right w:w="113" w:type="dxa"/>
            </w:tcMar>
            <w:vAlign w:val="center"/>
          </w:tcPr>
          <w:p w14:paraId="27B75710" w14:textId="77777777" w:rsidR="008A39B2" w:rsidRDefault="008A39B2" w:rsidP="000149CB">
            <w:pPr>
              <w:pStyle w:val="CDIFigure-Table-BodyTextLeft"/>
            </w:pPr>
            <w:r>
              <w:t>Thrombocytopaenia including Immune thrombocytopaenia and associated bleeding events</w:t>
            </w:r>
          </w:p>
        </w:tc>
        <w:tc>
          <w:tcPr>
            <w:tcW w:w="3515" w:type="dxa"/>
            <w:tcMar>
              <w:top w:w="113" w:type="dxa"/>
              <w:left w:w="113" w:type="dxa"/>
              <w:bottom w:w="113" w:type="dxa"/>
              <w:right w:w="113" w:type="dxa"/>
            </w:tcMar>
            <w:vAlign w:val="center"/>
          </w:tcPr>
          <w:p w14:paraId="3F93C440" w14:textId="77777777" w:rsidR="008A39B2" w:rsidRDefault="008A39B2" w:rsidP="000149CB">
            <w:pPr>
              <w:pStyle w:val="CDIFigure-Table-BodyTextLeft"/>
            </w:pPr>
            <w:r w:rsidRPr="000149CB">
              <w:t xml:space="preserve">Product information updated </w:t>
            </w:r>
            <w:r w:rsidRPr="0003381F">
              <w:t>(Section 4.4 and 4.8)</w:t>
            </w:r>
          </w:p>
        </w:tc>
      </w:tr>
      <w:tr w:rsidR="000149CB" w14:paraId="42E1F796" w14:textId="77777777" w:rsidTr="000149CB">
        <w:trPr>
          <w:divId w:val="935526654"/>
          <w:trHeight w:val="20"/>
        </w:trPr>
        <w:tc>
          <w:tcPr>
            <w:tcW w:w="1757" w:type="dxa"/>
            <w:vMerge/>
            <w:shd w:val="clear" w:color="auto" w:fill="C5FFEF" w:themeFill="background2" w:themeFillTint="33"/>
          </w:tcPr>
          <w:p w14:paraId="02B3D7B1"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48664C3C" w14:textId="77777777" w:rsidR="008A39B2" w:rsidRDefault="008A39B2" w:rsidP="000149CB">
            <w:pPr>
              <w:pStyle w:val="CDIFigure-Table-BodyTextLeft"/>
            </w:pPr>
            <w:r>
              <w:t>Cerebral venous sinus thrombosis</w:t>
            </w:r>
          </w:p>
        </w:tc>
        <w:tc>
          <w:tcPr>
            <w:tcW w:w="3515" w:type="dxa"/>
            <w:shd w:val="clear" w:color="auto" w:fill="F2F2F2" w:themeFill="background1" w:themeFillShade="F2"/>
            <w:tcMar>
              <w:top w:w="113" w:type="dxa"/>
              <w:left w:w="113" w:type="dxa"/>
              <w:bottom w:w="113" w:type="dxa"/>
              <w:right w:w="113" w:type="dxa"/>
            </w:tcMar>
            <w:vAlign w:val="center"/>
          </w:tcPr>
          <w:p w14:paraId="178776B7" w14:textId="77777777" w:rsidR="008A39B2" w:rsidRDefault="008A39B2" w:rsidP="000149CB">
            <w:pPr>
              <w:pStyle w:val="CDIFigure-Table-BodyTextLeft"/>
            </w:pPr>
            <w:r>
              <w:t>Product information updated (Section 4.8)</w:t>
            </w:r>
          </w:p>
        </w:tc>
      </w:tr>
      <w:tr w:rsidR="000149CB" w14:paraId="25BAB45B" w14:textId="77777777" w:rsidTr="000149CB">
        <w:trPr>
          <w:divId w:val="935526654"/>
          <w:trHeight w:val="20"/>
        </w:trPr>
        <w:tc>
          <w:tcPr>
            <w:tcW w:w="1757" w:type="dxa"/>
            <w:vMerge/>
            <w:shd w:val="clear" w:color="auto" w:fill="C5FFEF" w:themeFill="background2" w:themeFillTint="33"/>
          </w:tcPr>
          <w:p w14:paraId="71E41CAA" w14:textId="77777777" w:rsidR="008A39B2" w:rsidRDefault="008A39B2">
            <w:pPr>
              <w:spacing w:line="240" w:lineRule="auto"/>
            </w:pPr>
          </w:p>
        </w:tc>
        <w:tc>
          <w:tcPr>
            <w:tcW w:w="4365" w:type="dxa"/>
            <w:tcMar>
              <w:top w:w="113" w:type="dxa"/>
              <w:left w:w="113" w:type="dxa"/>
              <w:bottom w:w="113" w:type="dxa"/>
              <w:right w:w="113" w:type="dxa"/>
            </w:tcMar>
            <w:vAlign w:val="center"/>
          </w:tcPr>
          <w:p w14:paraId="572CAA88" w14:textId="77777777" w:rsidR="008A39B2" w:rsidRDefault="008A39B2" w:rsidP="000149CB">
            <w:pPr>
              <w:pStyle w:val="CDIFigure-Table-BodyTextLeft"/>
            </w:pPr>
            <w:r>
              <w:t>Retinal vessel thrombosis and occlusion</w:t>
            </w:r>
          </w:p>
        </w:tc>
        <w:tc>
          <w:tcPr>
            <w:tcW w:w="3515" w:type="dxa"/>
            <w:tcMar>
              <w:top w:w="113" w:type="dxa"/>
              <w:left w:w="113" w:type="dxa"/>
              <w:bottom w:w="113" w:type="dxa"/>
              <w:right w:w="113" w:type="dxa"/>
            </w:tcMar>
            <w:vAlign w:val="center"/>
          </w:tcPr>
          <w:p w14:paraId="6796F826" w14:textId="77777777" w:rsidR="008A39B2" w:rsidRDefault="008A39B2" w:rsidP="000149CB">
            <w:pPr>
              <w:pStyle w:val="CDIFigure-Table-BodyTextLeft"/>
            </w:pPr>
            <w:r>
              <w:t>Ongoing monitoring</w:t>
            </w:r>
          </w:p>
        </w:tc>
      </w:tr>
      <w:tr w:rsidR="000149CB" w14:paraId="0AC6E6B2" w14:textId="77777777" w:rsidTr="000149CB">
        <w:trPr>
          <w:divId w:val="935526654"/>
          <w:trHeight w:val="20"/>
        </w:trPr>
        <w:tc>
          <w:tcPr>
            <w:tcW w:w="1757" w:type="dxa"/>
            <w:vMerge/>
            <w:shd w:val="clear" w:color="auto" w:fill="C5FFEF" w:themeFill="background2" w:themeFillTint="33"/>
          </w:tcPr>
          <w:p w14:paraId="06A5C5C7"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20A1180B" w14:textId="77777777" w:rsidR="008A39B2" w:rsidRDefault="008A39B2" w:rsidP="000149CB">
            <w:pPr>
              <w:pStyle w:val="CDIFigure-Table-BodyTextLeft"/>
            </w:pPr>
            <w:r>
              <w:t xml:space="preserve">Acute aseptic arthritis </w:t>
            </w:r>
          </w:p>
        </w:tc>
        <w:tc>
          <w:tcPr>
            <w:tcW w:w="3515" w:type="dxa"/>
            <w:shd w:val="clear" w:color="auto" w:fill="F2F2F2" w:themeFill="background1" w:themeFillShade="F2"/>
            <w:tcMar>
              <w:top w:w="113" w:type="dxa"/>
              <w:left w:w="113" w:type="dxa"/>
              <w:bottom w:w="113" w:type="dxa"/>
              <w:right w:w="113" w:type="dxa"/>
            </w:tcMar>
            <w:vAlign w:val="center"/>
          </w:tcPr>
          <w:p w14:paraId="5F24330A" w14:textId="77777777" w:rsidR="008A39B2" w:rsidRDefault="008A39B2" w:rsidP="000149CB">
            <w:pPr>
              <w:pStyle w:val="CDIFigure-Table-BodyTextLeft"/>
            </w:pPr>
            <w:r>
              <w:t>Ongoing monitoring</w:t>
            </w:r>
          </w:p>
        </w:tc>
      </w:tr>
      <w:tr w:rsidR="000149CB" w14:paraId="3AC8141C" w14:textId="77777777" w:rsidTr="00A240A7">
        <w:trPr>
          <w:divId w:val="935526654"/>
          <w:trHeight w:val="123"/>
        </w:trPr>
        <w:tc>
          <w:tcPr>
            <w:tcW w:w="1757" w:type="dxa"/>
            <w:vMerge/>
            <w:shd w:val="clear" w:color="auto" w:fill="C5FFEF" w:themeFill="background2" w:themeFillTint="33"/>
          </w:tcPr>
          <w:p w14:paraId="0B8CE8E6" w14:textId="77777777" w:rsidR="008A39B2" w:rsidRDefault="008A39B2">
            <w:pPr>
              <w:spacing w:line="240" w:lineRule="auto"/>
            </w:pPr>
          </w:p>
        </w:tc>
        <w:tc>
          <w:tcPr>
            <w:tcW w:w="4365" w:type="dxa"/>
            <w:tcMar>
              <w:top w:w="113" w:type="dxa"/>
              <w:left w:w="113" w:type="dxa"/>
              <w:bottom w:w="113" w:type="dxa"/>
              <w:right w:w="113" w:type="dxa"/>
            </w:tcMar>
            <w:vAlign w:val="center"/>
          </w:tcPr>
          <w:p w14:paraId="37CF75CE" w14:textId="77777777" w:rsidR="008A39B2" w:rsidRDefault="008A39B2" w:rsidP="000149CB">
            <w:pPr>
              <w:pStyle w:val="CDIFigure-Table-BodyTextLeft"/>
            </w:pPr>
            <w:r>
              <w:t>Acute disseminated encephalomyelitis, encephalitis, and encephalopathy</w:t>
            </w:r>
          </w:p>
        </w:tc>
        <w:tc>
          <w:tcPr>
            <w:tcW w:w="3515" w:type="dxa"/>
            <w:tcMar>
              <w:top w:w="113" w:type="dxa"/>
              <w:left w:w="113" w:type="dxa"/>
              <w:bottom w:w="113" w:type="dxa"/>
              <w:right w:w="113" w:type="dxa"/>
            </w:tcMar>
            <w:vAlign w:val="center"/>
          </w:tcPr>
          <w:p w14:paraId="2CE726CB" w14:textId="77777777" w:rsidR="008A39B2" w:rsidRDefault="008A39B2" w:rsidP="000149CB">
            <w:pPr>
              <w:pStyle w:val="CDIFigure-Table-BodyTextLeft"/>
            </w:pPr>
            <w:r>
              <w:t>Ongoing monitoring</w:t>
            </w:r>
          </w:p>
        </w:tc>
      </w:tr>
      <w:tr w:rsidR="007C1779" w14:paraId="19B389BF" w14:textId="77777777" w:rsidTr="00A240A7">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28B85243" w14:textId="77777777" w:rsidR="007C1779" w:rsidRDefault="007C1779">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423890E2" w14:textId="77777777" w:rsidR="007C1779" w:rsidRDefault="007C1779" w:rsidP="000149CB">
            <w:pPr>
              <w:pStyle w:val="CDIFigure-Table-BodyTextLeft"/>
            </w:pPr>
            <w:r>
              <w:t>Cholecystitis/cholelithiasis</w:t>
            </w:r>
          </w:p>
        </w:tc>
        <w:tc>
          <w:tcPr>
            <w:tcW w:w="3515" w:type="dxa"/>
            <w:shd w:val="clear" w:color="auto" w:fill="F2F2F2" w:themeFill="background1" w:themeFillShade="F2"/>
            <w:tcMar>
              <w:top w:w="113" w:type="dxa"/>
              <w:left w:w="113" w:type="dxa"/>
              <w:bottom w:w="113" w:type="dxa"/>
              <w:right w:w="113" w:type="dxa"/>
            </w:tcMar>
            <w:vAlign w:val="center"/>
          </w:tcPr>
          <w:p w14:paraId="0F1AFEF4" w14:textId="77777777" w:rsidR="007C1779" w:rsidRDefault="007C1779" w:rsidP="000149CB">
            <w:pPr>
              <w:pStyle w:val="CDIFigure-Table-BodyTextLeft"/>
            </w:pPr>
            <w:r>
              <w:t>Ongoing monitoring</w:t>
            </w:r>
          </w:p>
        </w:tc>
      </w:tr>
      <w:tr w:rsidR="007C1779" w14:paraId="5A15EE58" w14:textId="77777777" w:rsidTr="00A240A7">
        <w:trPr>
          <w:divId w:val="935526654"/>
          <w:trHeight w:val="20"/>
        </w:trPr>
        <w:tc>
          <w:tcPr>
            <w:tcW w:w="1757" w:type="dxa"/>
            <w:vMerge/>
            <w:shd w:val="clear" w:color="auto" w:fill="C5FFEF" w:themeFill="background2" w:themeFillTint="33"/>
            <w:tcMar>
              <w:top w:w="113" w:type="dxa"/>
              <w:left w:w="113" w:type="dxa"/>
              <w:bottom w:w="113" w:type="dxa"/>
              <w:right w:w="113" w:type="dxa"/>
            </w:tcMar>
            <w:vAlign w:val="center"/>
          </w:tcPr>
          <w:p w14:paraId="17B81338" w14:textId="77777777" w:rsidR="007C1779" w:rsidRDefault="007C1779">
            <w:pPr>
              <w:spacing w:line="240" w:lineRule="auto"/>
            </w:pPr>
          </w:p>
        </w:tc>
        <w:tc>
          <w:tcPr>
            <w:tcW w:w="4365" w:type="dxa"/>
            <w:tcMar>
              <w:top w:w="113" w:type="dxa"/>
              <w:left w:w="113" w:type="dxa"/>
              <w:bottom w:w="113" w:type="dxa"/>
              <w:right w:w="113" w:type="dxa"/>
            </w:tcMar>
            <w:vAlign w:val="center"/>
          </w:tcPr>
          <w:p w14:paraId="0BC612FB" w14:textId="751101AD" w:rsidR="007C1779" w:rsidRDefault="007C1779" w:rsidP="000149CB">
            <w:pPr>
              <w:pStyle w:val="CDIFigure-Table-BodyTextLeft"/>
            </w:pPr>
            <w:r>
              <w:t>Balance disorder including vertigo and vestibular neuronitis</w:t>
            </w:r>
          </w:p>
        </w:tc>
        <w:tc>
          <w:tcPr>
            <w:tcW w:w="3515" w:type="dxa"/>
            <w:tcMar>
              <w:top w:w="113" w:type="dxa"/>
              <w:left w:w="113" w:type="dxa"/>
              <w:bottom w:w="113" w:type="dxa"/>
              <w:right w:w="113" w:type="dxa"/>
            </w:tcMar>
            <w:vAlign w:val="center"/>
          </w:tcPr>
          <w:p w14:paraId="48D2CD2C" w14:textId="77777777" w:rsidR="007C1779" w:rsidRDefault="007C1779" w:rsidP="000149CB">
            <w:pPr>
              <w:pStyle w:val="CDIFigure-Table-BodyTextLeft"/>
            </w:pPr>
            <w:r>
              <w:t>Ongoing monitoring</w:t>
            </w:r>
          </w:p>
        </w:tc>
      </w:tr>
      <w:tr w:rsidR="007C1779" w14:paraId="411B744D" w14:textId="77777777" w:rsidTr="00A240A7">
        <w:trPr>
          <w:divId w:val="935526654"/>
          <w:trHeight w:val="27"/>
        </w:trPr>
        <w:tc>
          <w:tcPr>
            <w:tcW w:w="1757" w:type="dxa"/>
            <w:vMerge/>
            <w:shd w:val="clear" w:color="auto" w:fill="C5FFEF" w:themeFill="background2" w:themeFillTint="33"/>
            <w:tcMar>
              <w:top w:w="113" w:type="dxa"/>
              <w:left w:w="113" w:type="dxa"/>
              <w:bottom w:w="113" w:type="dxa"/>
              <w:right w:w="113" w:type="dxa"/>
            </w:tcMar>
            <w:vAlign w:val="center"/>
          </w:tcPr>
          <w:p w14:paraId="16658C40" w14:textId="77777777" w:rsidR="007C1779" w:rsidRDefault="007C1779">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50C22467" w14:textId="77777777" w:rsidR="007C1779" w:rsidRDefault="007C1779" w:rsidP="000149CB">
            <w:pPr>
              <w:pStyle w:val="CDIFigure-Table-BodyTextLeft"/>
            </w:pPr>
            <w:r>
              <w:t>Giant cell arteritis</w:t>
            </w:r>
          </w:p>
        </w:tc>
        <w:tc>
          <w:tcPr>
            <w:tcW w:w="3515" w:type="dxa"/>
            <w:shd w:val="clear" w:color="auto" w:fill="F2F2F2" w:themeFill="background1" w:themeFillShade="F2"/>
            <w:tcMar>
              <w:top w:w="113" w:type="dxa"/>
              <w:left w:w="113" w:type="dxa"/>
              <w:bottom w:w="113" w:type="dxa"/>
              <w:right w:w="113" w:type="dxa"/>
            </w:tcMar>
            <w:vAlign w:val="center"/>
          </w:tcPr>
          <w:p w14:paraId="42FB6340" w14:textId="77777777" w:rsidR="007C1779" w:rsidRDefault="007C1779" w:rsidP="000149CB">
            <w:pPr>
              <w:pStyle w:val="CDIFigure-Table-BodyTextLeft"/>
            </w:pPr>
            <w:r>
              <w:t>Ongoing monitoring</w:t>
            </w:r>
          </w:p>
        </w:tc>
      </w:tr>
      <w:tr w:rsidR="007C1779" w14:paraId="3D5EABA0" w14:textId="77777777" w:rsidTr="00A240A7">
        <w:trPr>
          <w:divId w:val="935526654"/>
          <w:trHeight w:val="20"/>
        </w:trPr>
        <w:tc>
          <w:tcPr>
            <w:tcW w:w="1757" w:type="dxa"/>
            <w:vMerge/>
            <w:shd w:val="clear" w:color="auto" w:fill="C5FFEF" w:themeFill="background2" w:themeFillTint="33"/>
            <w:tcMar>
              <w:top w:w="113" w:type="dxa"/>
              <w:left w:w="113" w:type="dxa"/>
              <w:bottom w:w="113" w:type="dxa"/>
              <w:right w:w="113" w:type="dxa"/>
            </w:tcMar>
            <w:vAlign w:val="center"/>
          </w:tcPr>
          <w:p w14:paraId="554996F2" w14:textId="77777777" w:rsidR="007C1779" w:rsidRDefault="007C1779">
            <w:pPr>
              <w:spacing w:line="240" w:lineRule="auto"/>
            </w:pPr>
          </w:p>
        </w:tc>
        <w:tc>
          <w:tcPr>
            <w:tcW w:w="4365" w:type="dxa"/>
            <w:tcMar>
              <w:top w:w="113" w:type="dxa"/>
              <w:left w:w="113" w:type="dxa"/>
              <w:bottom w:w="113" w:type="dxa"/>
              <w:right w:w="113" w:type="dxa"/>
            </w:tcMar>
            <w:vAlign w:val="center"/>
          </w:tcPr>
          <w:p w14:paraId="0330AE1D" w14:textId="77777777" w:rsidR="007C1779" w:rsidRDefault="007C1779" w:rsidP="000149CB">
            <w:pPr>
              <w:pStyle w:val="CDIFigure-Table-BodyTextLeft"/>
            </w:pPr>
            <w:r>
              <w:t>Increased blood glucose</w:t>
            </w:r>
          </w:p>
        </w:tc>
        <w:tc>
          <w:tcPr>
            <w:tcW w:w="3515" w:type="dxa"/>
            <w:tcMar>
              <w:top w:w="113" w:type="dxa"/>
              <w:left w:w="113" w:type="dxa"/>
              <w:bottom w:w="113" w:type="dxa"/>
              <w:right w:w="113" w:type="dxa"/>
            </w:tcMar>
            <w:vAlign w:val="center"/>
          </w:tcPr>
          <w:p w14:paraId="7D944D19" w14:textId="77777777" w:rsidR="007C1779" w:rsidRDefault="007C1779" w:rsidP="000149CB">
            <w:pPr>
              <w:pStyle w:val="CDIFigure-Table-BodyTextLeft"/>
            </w:pPr>
            <w:r>
              <w:t>Ongoing monitoring</w:t>
            </w:r>
          </w:p>
        </w:tc>
      </w:tr>
      <w:tr w:rsidR="007C1779" w14:paraId="74107262" w14:textId="77777777" w:rsidTr="00A240A7">
        <w:trPr>
          <w:divId w:val="935526654"/>
          <w:trHeight w:val="27"/>
        </w:trPr>
        <w:tc>
          <w:tcPr>
            <w:tcW w:w="1757" w:type="dxa"/>
            <w:vMerge/>
            <w:shd w:val="clear" w:color="auto" w:fill="C5FFEF" w:themeFill="background2" w:themeFillTint="33"/>
            <w:tcMar>
              <w:top w:w="113" w:type="dxa"/>
              <w:left w:w="113" w:type="dxa"/>
              <w:bottom w:w="113" w:type="dxa"/>
              <w:right w:w="113" w:type="dxa"/>
            </w:tcMar>
            <w:vAlign w:val="center"/>
          </w:tcPr>
          <w:p w14:paraId="73EAE71F" w14:textId="77777777" w:rsidR="007C1779" w:rsidRDefault="007C1779">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15B193D7" w14:textId="77777777" w:rsidR="007C1779" w:rsidRDefault="007C1779" w:rsidP="000149CB">
            <w:pPr>
              <w:pStyle w:val="CDIFigure-Table-BodyTextLeft"/>
            </w:pPr>
            <w:r>
              <w:t>Thrombophlebitis</w:t>
            </w:r>
          </w:p>
        </w:tc>
        <w:tc>
          <w:tcPr>
            <w:tcW w:w="3515" w:type="dxa"/>
            <w:shd w:val="clear" w:color="auto" w:fill="F2F2F2" w:themeFill="background1" w:themeFillShade="F2"/>
            <w:tcMar>
              <w:top w:w="113" w:type="dxa"/>
              <w:left w:w="113" w:type="dxa"/>
              <w:bottom w:w="113" w:type="dxa"/>
              <w:right w:w="113" w:type="dxa"/>
            </w:tcMar>
            <w:vAlign w:val="center"/>
          </w:tcPr>
          <w:p w14:paraId="58815115" w14:textId="77777777" w:rsidR="007C1779" w:rsidRDefault="007C1779" w:rsidP="000149CB">
            <w:pPr>
              <w:pStyle w:val="CDIFigure-Table-BodyTextLeft"/>
            </w:pPr>
            <w:r>
              <w:t>Ongoing monitoring</w:t>
            </w:r>
          </w:p>
        </w:tc>
      </w:tr>
      <w:tr w:rsidR="007C1779" w14:paraId="024A04B6" w14:textId="77777777" w:rsidTr="00A240A7">
        <w:trPr>
          <w:divId w:val="935526654"/>
          <w:trHeight w:val="20"/>
        </w:trPr>
        <w:tc>
          <w:tcPr>
            <w:tcW w:w="1757" w:type="dxa"/>
            <w:vMerge/>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6011F0D" w14:textId="77777777" w:rsidR="007C1779" w:rsidRDefault="007C1779">
            <w:pPr>
              <w:spacing w:line="240" w:lineRule="auto"/>
            </w:pPr>
          </w:p>
        </w:tc>
        <w:tc>
          <w:tcPr>
            <w:tcW w:w="4365" w:type="dxa"/>
            <w:tcBorders>
              <w:bottom w:val="single" w:sz="4" w:space="0" w:color="033636" w:themeColor="text2"/>
            </w:tcBorders>
            <w:tcMar>
              <w:top w:w="113" w:type="dxa"/>
              <w:left w:w="113" w:type="dxa"/>
              <w:bottom w:w="113" w:type="dxa"/>
              <w:right w:w="113" w:type="dxa"/>
            </w:tcMar>
            <w:vAlign w:val="center"/>
          </w:tcPr>
          <w:p w14:paraId="6410FC87" w14:textId="77777777" w:rsidR="007C1779" w:rsidRPr="00A240A7" w:rsidRDefault="007C1779" w:rsidP="00A240A7">
            <w:pPr>
              <w:pStyle w:val="CDIFigure-Table-BodyTextLeft"/>
            </w:pPr>
            <w:r w:rsidRPr="00A240A7">
              <w:t xml:space="preserve">Toxic epidermal necrolysis </w:t>
            </w:r>
          </w:p>
        </w:tc>
        <w:tc>
          <w:tcPr>
            <w:tcW w:w="3515" w:type="dxa"/>
            <w:tcBorders>
              <w:bottom w:val="single" w:sz="4" w:space="0" w:color="033636" w:themeColor="text2"/>
            </w:tcBorders>
            <w:tcMar>
              <w:top w:w="113" w:type="dxa"/>
              <w:left w:w="113" w:type="dxa"/>
              <w:bottom w:w="113" w:type="dxa"/>
              <w:right w:w="113" w:type="dxa"/>
            </w:tcMar>
            <w:vAlign w:val="center"/>
          </w:tcPr>
          <w:p w14:paraId="7AB4B9D4" w14:textId="77777777" w:rsidR="007C1779" w:rsidRPr="00A240A7" w:rsidRDefault="007C1779" w:rsidP="00A240A7">
            <w:pPr>
              <w:pStyle w:val="CDIFigure-Table-BodyTextLeft"/>
            </w:pPr>
            <w:r w:rsidRPr="00A240A7">
              <w:t>Ongoing monitoring</w:t>
            </w:r>
          </w:p>
        </w:tc>
      </w:tr>
      <w:tr w:rsidR="000149CB" w14:paraId="0C1D8E73" w14:textId="77777777" w:rsidTr="000149CB">
        <w:trPr>
          <w:divId w:val="935526654"/>
          <w:trHeight w:val="20"/>
        </w:trPr>
        <w:tc>
          <w:tcPr>
            <w:tcW w:w="1757"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CA375FC" w14:textId="77777777" w:rsidR="008A39B2" w:rsidRDefault="008A39B2" w:rsidP="000149CB">
            <w:pPr>
              <w:pStyle w:val="CDIFigure-Table-BodyTextLeft"/>
            </w:pPr>
            <w:r>
              <w:t>Spikevax</w:t>
            </w:r>
          </w:p>
        </w:tc>
        <w:tc>
          <w:tcPr>
            <w:tcW w:w="4365"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F22368" w14:textId="77777777" w:rsidR="008A39B2" w:rsidRDefault="008A39B2" w:rsidP="000149CB">
            <w:pPr>
              <w:pStyle w:val="CDIFigure-Table-BodyTextLeft"/>
            </w:pPr>
            <w:r>
              <w:t>Myocarditis/pericarditis</w:t>
            </w:r>
          </w:p>
        </w:tc>
        <w:tc>
          <w:tcPr>
            <w:tcW w:w="3515"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453C0D" w14:textId="77777777" w:rsidR="008A39B2" w:rsidRDefault="008A39B2" w:rsidP="000149CB">
            <w:pPr>
              <w:pStyle w:val="CDIFigure-Table-BodyTextLeft"/>
            </w:pPr>
            <w:r>
              <w:t>Ongoing monitoring</w:t>
            </w:r>
          </w:p>
        </w:tc>
      </w:tr>
      <w:tr w:rsidR="000149CB" w14:paraId="480E3972" w14:textId="77777777" w:rsidTr="000149CB">
        <w:trPr>
          <w:divId w:val="935526654"/>
          <w:trHeight w:val="20"/>
        </w:trPr>
        <w:tc>
          <w:tcPr>
            <w:tcW w:w="175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EE8F71" w14:textId="77777777" w:rsidR="008A39B2" w:rsidRDefault="008A39B2" w:rsidP="000149CB">
            <w:pPr>
              <w:pStyle w:val="CDIFigure-Table-BodyTextLeft"/>
            </w:pPr>
            <w:r>
              <w:t>All COVID-19 vaccines</w:t>
            </w:r>
          </w:p>
        </w:tc>
        <w:tc>
          <w:tcPr>
            <w:tcW w:w="4365" w:type="dxa"/>
            <w:tcBorders>
              <w:top w:val="single" w:sz="4" w:space="0" w:color="033636" w:themeColor="text2"/>
            </w:tcBorders>
            <w:tcMar>
              <w:top w:w="113" w:type="dxa"/>
              <w:left w:w="113" w:type="dxa"/>
              <w:bottom w:w="113" w:type="dxa"/>
              <w:right w:w="113" w:type="dxa"/>
            </w:tcMar>
            <w:vAlign w:val="center"/>
          </w:tcPr>
          <w:p w14:paraId="2F01CEB3" w14:textId="77777777" w:rsidR="008A39B2" w:rsidRDefault="008A39B2" w:rsidP="000149CB">
            <w:pPr>
              <w:pStyle w:val="CDIFigure-Table-BodyTextLeft"/>
            </w:pPr>
            <w:r>
              <w:t>Hearing loss, hearing disorders including deafness and tinnitus</w:t>
            </w:r>
          </w:p>
        </w:tc>
        <w:tc>
          <w:tcPr>
            <w:tcW w:w="3515" w:type="dxa"/>
            <w:tcBorders>
              <w:top w:val="single" w:sz="4" w:space="0" w:color="033636" w:themeColor="text2"/>
            </w:tcBorders>
            <w:tcMar>
              <w:top w:w="113" w:type="dxa"/>
              <w:left w:w="113" w:type="dxa"/>
              <w:bottom w:w="113" w:type="dxa"/>
              <w:right w:w="113" w:type="dxa"/>
            </w:tcMar>
            <w:vAlign w:val="center"/>
          </w:tcPr>
          <w:p w14:paraId="73636B09" w14:textId="77777777" w:rsidR="008A39B2" w:rsidRDefault="008A39B2" w:rsidP="000149CB">
            <w:pPr>
              <w:pStyle w:val="CDIFigure-Table-BodyTextLeft"/>
            </w:pPr>
            <w:r>
              <w:t>Ongoing monitoring</w:t>
            </w:r>
          </w:p>
        </w:tc>
      </w:tr>
      <w:tr w:rsidR="000149CB" w14:paraId="26740848" w14:textId="77777777" w:rsidTr="000149CB">
        <w:trPr>
          <w:divId w:val="935526654"/>
          <w:trHeight w:val="20"/>
        </w:trPr>
        <w:tc>
          <w:tcPr>
            <w:tcW w:w="1757" w:type="dxa"/>
            <w:vMerge/>
            <w:shd w:val="clear" w:color="auto" w:fill="C5FFEF" w:themeFill="background2" w:themeFillTint="33"/>
          </w:tcPr>
          <w:p w14:paraId="64BEA9F2" w14:textId="77777777" w:rsidR="008A39B2" w:rsidRDefault="008A39B2" w:rsidP="000149CB">
            <w:pPr>
              <w:pStyle w:val="CDIFigure-Table-BodyTextLeft"/>
            </w:pPr>
          </w:p>
        </w:tc>
        <w:tc>
          <w:tcPr>
            <w:tcW w:w="4365" w:type="dxa"/>
            <w:shd w:val="clear" w:color="auto" w:fill="F2F2F2" w:themeFill="background1" w:themeFillShade="F2"/>
            <w:tcMar>
              <w:top w:w="113" w:type="dxa"/>
              <w:left w:w="113" w:type="dxa"/>
              <w:bottom w:w="113" w:type="dxa"/>
              <w:right w:w="113" w:type="dxa"/>
            </w:tcMar>
            <w:vAlign w:val="center"/>
          </w:tcPr>
          <w:p w14:paraId="018A9976" w14:textId="77777777" w:rsidR="008A39B2" w:rsidRDefault="008A39B2" w:rsidP="000149CB">
            <w:pPr>
              <w:pStyle w:val="CDIFigure-Table-BodyTextLeft"/>
            </w:pPr>
            <w:r>
              <w:t>Acute kidney injury</w:t>
            </w:r>
          </w:p>
        </w:tc>
        <w:tc>
          <w:tcPr>
            <w:tcW w:w="3515" w:type="dxa"/>
            <w:shd w:val="clear" w:color="auto" w:fill="F2F2F2" w:themeFill="background1" w:themeFillShade="F2"/>
            <w:tcMar>
              <w:top w:w="113" w:type="dxa"/>
              <w:left w:w="113" w:type="dxa"/>
              <w:bottom w:w="113" w:type="dxa"/>
              <w:right w:w="113" w:type="dxa"/>
            </w:tcMar>
            <w:vAlign w:val="center"/>
          </w:tcPr>
          <w:p w14:paraId="3D2DF09A" w14:textId="77777777" w:rsidR="008A39B2" w:rsidRDefault="008A39B2" w:rsidP="000149CB">
            <w:pPr>
              <w:pStyle w:val="CDIFigure-Table-BodyTextLeft"/>
            </w:pPr>
            <w:r>
              <w:t>Ongoing monitoring</w:t>
            </w:r>
          </w:p>
        </w:tc>
      </w:tr>
      <w:tr w:rsidR="000149CB" w14:paraId="3D06FAEB" w14:textId="77777777" w:rsidTr="000149CB">
        <w:trPr>
          <w:divId w:val="935526654"/>
          <w:trHeight w:val="20"/>
        </w:trPr>
        <w:tc>
          <w:tcPr>
            <w:tcW w:w="1757" w:type="dxa"/>
            <w:vMerge/>
            <w:shd w:val="clear" w:color="auto" w:fill="C5FFEF" w:themeFill="background2" w:themeFillTint="33"/>
          </w:tcPr>
          <w:p w14:paraId="4C6E8A46" w14:textId="77777777" w:rsidR="008A39B2" w:rsidRDefault="008A39B2" w:rsidP="000149CB">
            <w:pPr>
              <w:pStyle w:val="CDIFigure-Table-BodyTextLeft"/>
            </w:pPr>
          </w:p>
        </w:tc>
        <w:tc>
          <w:tcPr>
            <w:tcW w:w="4365" w:type="dxa"/>
            <w:tcMar>
              <w:top w:w="113" w:type="dxa"/>
              <w:left w:w="113" w:type="dxa"/>
              <w:bottom w:w="113" w:type="dxa"/>
              <w:right w:w="113" w:type="dxa"/>
            </w:tcMar>
            <w:vAlign w:val="center"/>
          </w:tcPr>
          <w:p w14:paraId="47BB6A48" w14:textId="77777777" w:rsidR="008A39B2" w:rsidRDefault="008A39B2" w:rsidP="000149CB">
            <w:pPr>
              <w:pStyle w:val="CDIFigure-Table-BodyTextLeft"/>
            </w:pPr>
            <w:r>
              <w:t xml:space="preserve">Trigeminal neuralgia </w:t>
            </w:r>
          </w:p>
        </w:tc>
        <w:tc>
          <w:tcPr>
            <w:tcW w:w="3515" w:type="dxa"/>
            <w:tcMar>
              <w:top w:w="113" w:type="dxa"/>
              <w:left w:w="113" w:type="dxa"/>
              <w:bottom w:w="113" w:type="dxa"/>
              <w:right w:w="113" w:type="dxa"/>
            </w:tcMar>
            <w:vAlign w:val="center"/>
          </w:tcPr>
          <w:p w14:paraId="7BE9379A" w14:textId="77777777" w:rsidR="008A39B2" w:rsidRDefault="008A39B2" w:rsidP="000149CB">
            <w:pPr>
              <w:pStyle w:val="CDIFigure-Table-BodyTextLeft"/>
            </w:pPr>
            <w:r>
              <w:t>Ongoing monitoring</w:t>
            </w:r>
          </w:p>
        </w:tc>
      </w:tr>
      <w:tr w:rsidR="000149CB" w14:paraId="5799214B" w14:textId="77777777" w:rsidTr="000149CB">
        <w:trPr>
          <w:divId w:val="935526654"/>
          <w:trHeight w:val="20"/>
        </w:trPr>
        <w:tc>
          <w:tcPr>
            <w:tcW w:w="1757" w:type="dxa"/>
            <w:vMerge/>
            <w:tcBorders>
              <w:bottom w:val="single" w:sz="4" w:space="0" w:color="033636" w:themeColor="text2"/>
            </w:tcBorders>
            <w:shd w:val="clear" w:color="auto" w:fill="C5FFEF" w:themeFill="background2" w:themeFillTint="33"/>
          </w:tcPr>
          <w:p w14:paraId="4FD4D978" w14:textId="77777777" w:rsidR="008A39B2" w:rsidRDefault="008A39B2" w:rsidP="000149CB">
            <w:pPr>
              <w:pStyle w:val="CDIFigure-Table-BodyTextLeft"/>
            </w:pPr>
          </w:p>
        </w:tc>
        <w:tc>
          <w:tcPr>
            <w:tcW w:w="436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A7B11A" w14:textId="77777777" w:rsidR="008A39B2" w:rsidRDefault="008A39B2" w:rsidP="000149CB">
            <w:pPr>
              <w:pStyle w:val="CDIFigure-Table-BodyTextLeft"/>
            </w:pPr>
            <w:r>
              <w:t>Herpes zoster infection</w:t>
            </w:r>
          </w:p>
        </w:tc>
        <w:tc>
          <w:tcPr>
            <w:tcW w:w="35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420A7C" w14:textId="77777777" w:rsidR="008A39B2" w:rsidRDefault="008A39B2" w:rsidP="000149CB">
            <w:pPr>
              <w:pStyle w:val="CDIFigure-Table-BodyTextLeft"/>
            </w:pPr>
            <w:r>
              <w:t>Ongoing monitoring</w:t>
            </w:r>
            <w:r>
              <w:rPr>
                <w:rStyle w:val="Superscript"/>
              </w:rPr>
              <w:t>k</w:t>
            </w:r>
          </w:p>
        </w:tc>
      </w:tr>
      <w:tr w:rsidR="000149CB" w14:paraId="3B8EAAE8" w14:textId="77777777" w:rsidTr="000149CB">
        <w:trPr>
          <w:divId w:val="935526654"/>
          <w:trHeight w:val="20"/>
        </w:trPr>
        <w:tc>
          <w:tcPr>
            <w:tcW w:w="175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89F29D1" w14:textId="77777777" w:rsidR="008A39B2" w:rsidRDefault="008A39B2" w:rsidP="000149CB">
            <w:pPr>
              <w:pStyle w:val="CDIFigure-Table-BodyTextLeft"/>
            </w:pPr>
            <w:r>
              <w:t>Comirnaty, Vaxzevria</w:t>
            </w:r>
          </w:p>
        </w:tc>
        <w:tc>
          <w:tcPr>
            <w:tcW w:w="4365" w:type="dxa"/>
            <w:tcBorders>
              <w:top w:val="single" w:sz="4" w:space="0" w:color="033636" w:themeColor="text2"/>
            </w:tcBorders>
            <w:tcMar>
              <w:top w:w="113" w:type="dxa"/>
              <w:left w:w="113" w:type="dxa"/>
              <w:bottom w:w="113" w:type="dxa"/>
              <w:right w:w="113" w:type="dxa"/>
            </w:tcMar>
            <w:vAlign w:val="center"/>
          </w:tcPr>
          <w:p w14:paraId="7D13FC28" w14:textId="77777777" w:rsidR="008A39B2" w:rsidRDefault="008A39B2" w:rsidP="000149CB">
            <w:pPr>
              <w:pStyle w:val="CDIFigure-Table-BodyTextLeft"/>
            </w:pPr>
            <w:r>
              <w:t>Menstrual bleeding disorder</w:t>
            </w:r>
          </w:p>
        </w:tc>
        <w:tc>
          <w:tcPr>
            <w:tcW w:w="3515" w:type="dxa"/>
            <w:tcBorders>
              <w:top w:val="single" w:sz="4" w:space="0" w:color="033636" w:themeColor="text2"/>
            </w:tcBorders>
            <w:tcMar>
              <w:top w:w="113" w:type="dxa"/>
              <w:left w:w="113" w:type="dxa"/>
              <w:bottom w:w="113" w:type="dxa"/>
              <w:right w:w="113" w:type="dxa"/>
            </w:tcMar>
            <w:vAlign w:val="center"/>
          </w:tcPr>
          <w:p w14:paraId="02BD8472" w14:textId="77777777" w:rsidR="008A39B2" w:rsidRDefault="008A39B2" w:rsidP="000149CB">
            <w:pPr>
              <w:pStyle w:val="CDIFigure-Table-BodyTextLeft"/>
            </w:pPr>
            <w:r>
              <w:t>Ongoing monitoring</w:t>
            </w:r>
          </w:p>
        </w:tc>
      </w:tr>
      <w:tr w:rsidR="000149CB" w14:paraId="240354CA" w14:textId="77777777" w:rsidTr="000149CB">
        <w:trPr>
          <w:divId w:val="935526654"/>
          <w:trHeight w:val="20"/>
        </w:trPr>
        <w:tc>
          <w:tcPr>
            <w:tcW w:w="1757" w:type="dxa"/>
            <w:vMerge/>
            <w:shd w:val="clear" w:color="auto" w:fill="C5FFEF" w:themeFill="background2" w:themeFillTint="33"/>
          </w:tcPr>
          <w:p w14:paraId="6B3F678A"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7A740121" w14:textId="77777777" w:rsidR="008A39B2" w:rsidRDefault="008A39B2" w:rsidP="000149CB">
            <w:pPr>
              <w:pStyle w:val="CDIFigure-Table-BodyTextLeft"/>
            </w:pPr>
            <w:r>
              <w:t>Cerebrovascular accident</w:t>
            </w:r>
          </w:p>
        </w:tc>
        <w:tc>
          <w:tcPr>
            <w:tcW w:w="3515" w:type="dxa"/>
            <w:shd w:val="clear" w:color="auto" w:fill="F2F2F2" w:themeFill="background1" w:themeFillShade="F2"/>
            <w:tcMar>
              <w:top w:w="113" w:type="dxa"/>
              <w:left w:w="113" w:type="dxa"/>
              <w:bottom w:w="113" w:type="dxa"/>
              <w:right w:w="113" w:type="dxa"/>
            </w:tcMar>
            <w:vAlign w:val="center"/>
          </w:tcPr>
          <w:p w14:paraId="4F5C53B0" w14:textId="77777777" w:rsidR="008A39B2" w:rsidRDefault="008A39B2" w:rsidP="000149CB">
            <w:pPr>
              <w:pStyle w:val="CDIFigure-Table-BodyTextLeft"/>
            </w:pPr>
            <w:r>
              <w:t>Ongoing monitoring</w:t>
            </w:r>
          </w:p>
        </w:tc>
      </w:tr>
      <w:tr w:rsidR="000149CB" w14:paraId="62DFC71F" w14:textId="77777777" w:rsidTr="000149CB">
        <w:trPr>
          <w:divId w:val="935526654"/>
          <w:trHeight w:val="20"/>
        </w:trPr>
        <w:tc>
          <w:tcPr>
            <w:tcW w:w="1757" w:type="dxa"/>
            <w:vMerge/>
            <w:shd w:val="clear" w:color="auto" w:fill="C5FFEF" w:themeFill="background2" w:themeFillTint="33"/>
          </w:tcPr>
          <w:p w14:paraId="2ED898A9" w14:textId="77777777" w:rsidR="008A39B2" w:rsidRDefault="008A39B2">
            <w:pPr>
              <w:spacing w:line="240" w:lineRule="auto"/>
            </w:pPr>
          </w:p>
        </w:tc>
        <w:tc>
          <w:tcPr>
            <w:tcW w:w="4365" w:type="dxa"/>
            <w:tcMar>
              <w:top w:w="113" w:type="dxa"/>
              <w:left w:w="113" w:type="dxa"/>
              <w:bottom w:w="113" w:type="dxa"/>
              <w:right w:w="113" w:type="dxa"/>
            </w:tcMar>
            <w:vAlign w:val="center"/>
          </w:tcPr>
          <w:p w14:paraId="4665459D" w14:textId="77777777" w:rsidR="008A39B2" w:rsidRDefault="008A39B2" w:rsidP="000149CB">
            <w:pPr>
              <w:pStyle w:val="CDIFigure-Table-BodyTextLeft"/>
            </w:pPr>
            <w:r>
              <w:t>Liver injury (including autoimmune hepatitis)</w:t>
            </w:r>
          </w:p>
        </w:tc>
        <w:tc>
          <w:tcPr>
            <w:tcW w:w="3515" w:type="dxa"/>
            <w:tcMar>
              <w:top w:w="113" w:type="dxa"/>
              <w:left w:w="113" w:type="dxa"/>
              <w:bottom w:w="113" w:type="dxa"/>
              <w:right w:w="113" w:type="dxa"/>
            </w:tcMar>
            <w:vAlign w:val="center"/>
          </w:tcPr>
          <w:p w14:paraId="362C770C" w14:textId="77777777" w:rsidR="008A39B2" w:rsidRDefault="008A39B2" w:rsidP="000149CB">
            <w:pPr>
              <w:pStyle w:val="CDIFigure-Table-BodyTextLeft"/>
            </w:pPr>
            <w:r>
              <w:t>Ongoing monitoring</w:t>
            </w:r>
          </w:p>
        </w:tc>
      </w:tr>
      <w:tr w:rsidR="000149CB" w14:paraId="71F1E9EC" w14:textId="77777777" w:rsidTr="000149CB">
        <w:trPr>
          <w:divId w:val="935526654"/>
          <w:trHeight w:val="20"/>
        </w:trPr>
        <w:tc>
          <w:tcPr>
            <w:tcW w:w="1757" w:type="dxa"/>
            <w:vMerge/>
            <w:shd w:val="clear" w:color="auto" w:fill="C5FFEF" w:themeFill="background2" w:themeFillTint="33"/>
          </w:tcPr>
          <w:p w14:paraId="3DE6E034"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5D3412F7" w14:textId="77777777" w:rsidR="008A39B2" w:rsidRDefault="008A39B2" w:rsidP="000149CB">
            <w:pPr>
              <w:pStyle w:val="CDIFigure-Table-BodyTextLeft"/>
            </w:pPr>
            <w:r>
              <w:t>Stress cardiomyopathy</w:t>
            </w:r>
          </w:p>
        </w:tc>
        <w:tc>
          <w:tcPr>
            <w:tcW w:w="3515" w:type="dxa"/>
            <w:shd w:val="clear" w:color="auto" w:fill="F2F2F2" w:themeFill="background1" w:themeFillShade="F2"/>
            <w:tcMar>
              <w:top w:w="113" w:type="dxa"/>
              <w:left w:w="113" w:type="dxa"/>
              <w:bottom w:w="113" w:type="dxa"/>
              <w:right w:w="113" w:type="dxa"/>
            </w:tcMar>
            <w:vAlign w:val="center"/>
          </w:tcPr>
          <w:p w14:paraId="31C87309" w14:textId="77777777" w:rsidR="008A39B2" w:rsidRDefault="008A39B2" w:rsidP="000149CB">
            <w:pPr>
              <w:pStyle w:val="CDIFigure-Table-BodyTextLeft"/>
            </w:pPr>
            <w:r>
              <w:t>Ongoing monitoring</w:t>
            </w:r>
          </w:p>
        </w:tc>
      </w:tr>
      <w:tr w:rsidR="000149CB" w14:paraId="38D9DFA3" w14:textId="77777777" w:rsidTr="000149CB">
        <w:trPr>
          <w:divId w:val="935526654"/>
          <w:trHeight w:val="20"/>
        </w:trPr>
        <w:tc>
          <w:tcPr>
            <w:tcW w:w="1757" w:type="dxa"/>
            <w:vMerge/>
            <w:shd w:val="clear" w:color="auto" w:fill="C5FFEF" w:themeFill="background2" w:themeFillTint="33"/>
          </w:tcPr>
          <w:p w14:paraId="68A7F1C7" w14:textId="77777777" w:rsidR="008A39B2" w:rsidRDefault="008A39B2">
            <w:pPr>
              <w:spacing w:line="240" w:lineRule="auto"/>
            </w:pPr>
          </w:p>
        </w:tc>
        <w:tc>
          <w:tcPr>
            <w:tcW w:w="4365" w:type="dxa"/>
            <w:tcMar>
              <w:top w:w="113" w:type="dxa"/>
              <w:left w:w="113" w:type="dxa"/>
              <w:bottom w:w="113" w:type="dxa"/>
              <w:right w:w="113" w:type="dxa"/>
            </w:tcMar>
            <w:vAlign w:val="center"/>
          </w:tcPr>
          <w:p w14:paraId="0DF340A1" w14:textId="77777777" w:rsidR="008A39B2" w:rsidRDefault="008A39B2" w:rsidP="000149CB">
            <w:pPr>
              <w:pStyle w:val="CDIFigure-Table-BodyTextLeft"/>
            </w:pPr>
            <w:r>
              <w:t>Bell’s palsy</w:t>
            </w:r>
          </w:p>
        </w:tc>
        <w:tc>
          <w:tcPr>
            <w:tcW w:w="3515" w:type="dxa"/>
            <w:tcMar>
              <w:top w:w="113" w:type="dxa"/>
              <w:left w:w="113" w:type="dxa"/>
              <w:bottom w:w="113" w:type="dxa"/>
              <w:right w:w="113" w:type="dxa"/>
            </w:tcMar>
            <w:vAlign w:val="center"/>
          </w:tcPr>
          <w:p w14:paraId="48031217" w14:textId="77777777" w:rsidR="008A39B2" w:rsidRDefault="008A39B2" w:rsidP="000149CB">
            <w:pPr>
              <w:pStyle w:val="CDIFigure-Table-BodyTextLeft"/>
            </w:pPr>
            <w:r>
              <w:t>Ongoing monitoring</w:t>
            </w:r>
          </w:p>
        </w:tc>
      </w:tr>
      <w:tr w:rsidR="000149CB" w14:paraId="01C44C04" w14:textId="77777777" w:rsidTr="000149CB">
        <w:trPr>
          <w:divId w:val="935526654"/>
          <w:trHeight w:val="20"/>
        </w:trPr>
        <w:tc>
          <w:tcPr>
            <w:tcW w:w="1757" w:type="dxa"/>
            <w:vMerge/>
            <w:shd w:val="clear" w:color="auto" w:fill="C5FFEF" w:themeFill="background2" w:themeFillTint="33"/>
          </w:tcPr>
          <w:p w14:paraId="19653D8B" w14:textId="77777777" w:rsidR="008A39B2" w:rsidRDefault="008A39B2">
            <w:pPr>
              <w:spacing w:line="240" w:lineRule="auto"/>
            </w:pPr>
          </w:p>
        </w:tc>
        <w:tc>
          <w:tcPr>
            <w:tcW w:w="4365" w:type="dxa"/>
            <w:shd w:val="clear" w:color="auto" w:fill="F2F2F2" w:themeFill="background1" w:themeFillShade="F2"/>
            <w:tcMar>
              <w:top w:w="113" w:type="dxa"/>
              <w:left w:w="113" w:type="dxa"/>
              <w:bottom w:w="113" w:type="dxa"/>
              <w:right w:w="113" w:type="dxa"/>
            </w:tcMar>
            <w:vAlign w:val="center"/>
          </w:tcPr>
          <w:p w14:paraId="5BF6C25B" w14:textId="77777777" w:rsidR="008A39B2" w:rsidRDefault="008A39B2" w:rsidP="000149CB">
            <w:pPr>
              <w:pStyle w:val="CDIFigure-Table-BodyTextLeft"/>
            </w:pPr>
            <w:r>
              <w:t>Erythema multiforme</w:t>
            </w:r>
          </w:p>
        </w:tc>
        <w:tc>
          <w:tcPr>
            <w:tcW w:w="3515" w:type="dxa"/>
            <w:shd w:val="clear" w:color="auto" w:fill="F2F2F2" w:themeFill="background1" w:themeFillShade="F2"/>
            <w:tcMar>
              <w:top w:w="113" w:type="dxa"/>
              <w:left w:w="113" w:type="dxa"/>
              <w:bottom w:w="113" w:type="dxa"/>
              <w:right w:w="113" w:type="dxa"/>
            </w:tcMar>
            <w:vAlign w:val="center"/>
          </w:tcPr>
          <w:p w14:paraId="248AF421" w14:textId="77777777" w:rsidR="008A39B2" w:rsidRDefault="008A39B2" w:rsidP="000149CB">
            <w:pPr>
              <w:pStyle w:val="CDIFigure-Table-BodyTextLeft"/>
            </w:pPr>
            <w:r>
              <w:t>Ongoing monitoring</w:t>
            </w:r>
          </w:p>
        </w:tc>
      </w:tr>
      <w:tr w:rsidR="000149CB" w14:paraId="02523CC6" w14:textId="77777777" w:rsidTr="000149CB">
        <w:trPr>
          <w:divId w:val="935526654"/>
          <w:trHeight w:val="20"/>
        </w:trPr>
        <w:tc>
          <w:tcPr>
            <w:tcW w:w="1757" w:type="dxa"/>
            <w:vMerge/>
            <w:tcBorders>
              <w:bottom w:val="single" w:sz="4" w:space="0" w:color="033636" w:themeColor="text2"/>
            </w:tcBorders>
            <w:shd w:val="clear" w:color="auto" w:fill="C5FFEF" w:themeFill="background2" w:themeFillTint="33"/>
          </w:tcPr>
          <w:p w14:paraId="62A4E781" w14:textId="77777777" w:rsidR="008A39B2" w:rsidRDefault="008A39B2">
            <w:pPr>
              <w:spacing w:line="240" w:lineRule="auto"/>
            </w:pPr>
          </w:p>
        </w:tc>
        <w:tc>
          <w:tcPr>
            <w:tcW w:w="4365" w:type="dxa"/>
            <w:tcBorders>
              <w:bottom w:val="single" w:sz="4" w:space="0" w:color="033636" w:themeColor="text2"/>
            </w:tcBorders>
            <w:tcMar>
              <w:top w:w="113" w:type="dxa"/>
              <w:left w:w="113" w:type="dxa"/>
              <w:bottom w:w="113" w:type="dxa"/>
              <w:right w:w="113" w:type="dxa"/>
            </w:tcMar>
            <w:vAlign w:val="center"/>
          </w:tcPr>
          <w:p w14:paraId="6B522697" w14:textId="77777777" w:rsidR="008A39B2" w:rsidRDefault="008A39B2" w:rsidP="000149CB">
            <w:pPr>
              <w:pStyle w:val="CDIFigure-Table-BodyTextLeft"/>
            </w:pPr>
            <w:r>
              <w:t>Haemophagocytic lymphohistiocytosis</w:t>
            </w:r>
          </w:p>
        </w:tc>
        <w:tc>
          <w:tcPr>
            <w:tcW w:w="3515" w:type="dxa"/>
            <w:tcBorders>
              <w:bottom w:val="single" w:sz="4" w:space="0" w:color="033636" w:themeColor="text2"/>
            </w:tcBorders>
            <w:tcMar>
              <w:top w:w="113" w:type="dxa"/>
              <w:left w:w="113" w:type="dxa"/>
              <w:bottom w:w="113" w:type="dxa"/>
              <w:right w:w="113" w:type="dxa"/>
            </w:tcMar>
            <w:vAlign w:val="center"/>
          </w:tcPr>
          <w:p w14:paraId="499F60D2" w14:textId="77777777" w:rsidR="008A39B2" w:rsidRDefault="008A39B2" w:rsidP="000149CB">
            <w:pPr>
              <w:pStyle w:val="CDIFigure-Table-BodyTextLeft"/>
            </w:pPr>
            <w:r>
              <w:t>Ongoing monitoring</w:t>
            </w:r>
          </w:p>
        </w:tc>
      </w:tr>
    </w:tbl>
    <w:p w14:paraId="5F82B97D" w14:textId="77777777" w:rsidR="008A39B2" w:rsidRDefault="008A39B2" w:rsidP="008A39B2">
      <w:pPr>
        <w:pStyle w:val="CDIFigure-Table-FirstFootnote"/>
        <w:divId w:val="935526654"/>
      </w:pPr>
      <w:r>
        <w:t>a</w:t>
      </w:r>
      <w:r>
        <w:tab/>
        <w:t>A targeted investigation may be initiated by the TGA following a preliminary assessment of information arising from reporting patterns, overseas regulators, published literature and other sources of safety data. As new information arises about a potential issue, multiple targeted investigations may be undertaken and investigations may occur through other processes such as the TGA’s review of Sponsor safety data. Regardless of the number of times the TGA reviewed a safety topic, it will only appear once in Table 8.</w:t>
      </w:r>
    </w:p>
    <w:p w14:paraId="3512C920" w14:textId="77777777" w:rsidR="008A39B2" w:rsidRDefault="008A39B2" w:rsidP="008A39B2">
      <w:pPr>
        <w:pStyle w:val="CDIFigure-Table-Footnote"/>
        <w:divId w:val="935526654"/>
      </w:pPr>
      <w:r>
        <w:t>b</w:t>
      </w:r>
      <w:r>
        <w:tab/>
        <w:t>https://www.tga.gov.au/news/covid-19-vaccine-safety-reports/covid-19-vaccine-weekly-safety-report-20-05-2021#section-372.</w:t>
      </w:r>
    </w:p>
    <w:p w14:paraId="2CBAACDD" w14:textId="77777777" w:rsidR="008A39B2" w:rsidRDefault="008A39B2" w:rsidP="008A39B2">
      <w:pPr>
        <w:pStyle w:val="CDIFigure-Table-Footnote"/>
        <w:divId w:val="935526654"/>
      </w:pPr>
      <w:r>
        <w:t>c</w:t>
      </w:r>
      <w:r>
        <w:tab/>
        <w:t>https://www.tga.gov.au/periodic/covid-19-vaccine-weekly-safety-report-12-08-2021.</w:t>
      </w:r>
    </w:p>
    <w:p w14:paraId="108664C4" w14:textId="77777777" w:rsidR="008A39B2" w:rsidRDefault="008A39B2" w:rsidP="008A39B2">
      <w:pPr>
        <w:pStyle w:val="CDIFigure-Table-Footnote"/>
        <w:divId w:val="935526654"/>
      </w:pPr>
      <w:r>
        <w:t>d</w:t>
      </w:r>
      <w:r>
        <w:tab/>
        <w:t>https://www.tga.gov.au/periodic/covid-19-vaccine-weekly-safety-report-19-08-2021.</w:t>
      </w:r>
    </w:p>
    <w:p w14:paraId="0ED47BD0" w14:textId="77777777" w:rsidR="008A39B2" w:rsidRDefault="008A39B2" w:rsidP="008A39B2">
      <w:pPr>
        <w:pStyle w:val="CDIFigure-Table-Footnote"/>
        <w:divId w:val="935526654"/>
      </w:pPr>
      <w:r>
        <w:t>e</w:t>
      </w:r>
      <w:r>
        <w:tab/>
        <w:t>https://www.tga.gov.au/periodic/covid-19-vaccine-weekly-safety-report-03-06-2021.</w:t>
      </w:r>
    </w:p>
    <w:p w14:paraId="089E8E6B" w14:textId="77777777" w:rsidR="008A39B2" w:rsidRDefault="008A39B2" w:rsidP="008A39B2">
      <w:pPr>
        <w:pStyle w:val="CDIFigure-Table-Footnote"/>
        <w:divId w:val="935526654"/>
      </w:pPr>
      <w:r>
        <w:t>f</w:t>
      </w:r>
      <w:r>
        <w:tab/>
        <w:t>https://www.tga.gov.au/periodic/covid-19-vaccine-weekly-safety-report-06-01-2022.</w:t>
      </w:r>
    </w:p>
    <w:p w14:paraId="45CA46A8" w14:textId="77777777" w:rsidR="008A39B2" w:rsidRDefault="008A39B2" w:rsidP="008A39B2">
      <w:pPr>
        <w:pStyle w:val="CDIFigure-Table-Footnote"/>
        <w:divId w:val="935526654"/>
      </w:pPr>
      <w:r>
        <w:t>g</w:t>
      </w:r>
      <w:r>
        <w:tab/>
        <w:t>https://www.tga.gov.au/news/covid-19-vaccine-safety-reports/covid-19-vaccine-weekly-safety-report-20-05-2021#section-348.</w:t>
      </w:r>
    </w:p>
    <w:p w14:paraId="7C05862D" w14:textId="77777777" w:rsidR="008A39B2" w:rsidRDefault="008A39B2" w:rsidP="008A39B2">
      <w:pPr>
        <w:pStyle w:val="CDIFigure-Table-Footnote"/>
        <w:divId w:val="935526654"/>
      </w:pPr>
      <w:r>
        <w:t>h</w:t>
      </w:r>
      <w:r>
        <w:tab/>
        <w:t>VSIG: Vaccine Safety Investigation Group.</w:t>
      </w:r>
    </w:p>
    <w:p w14:paraId="7AF962CE" w14:textId="77777777" w:rsidR="008A39B2" w:rsidRDefault="008A39B2" w:rsidP="008A39B2">
      <w:pPr>
        <w:pStyle w:val="CDIFigure-Table-Footnote"/>
        <w:divId w:val="935526654"/>
      </w:pPr>
      <w:r>
        <w:t>i</w:t>
      </w:r>
      <w:r>
        <w:tab/>
        <w:t>https://www.tga.gov.au/periodic/covid-19-vaccine-weekly-safety-report-15-07-2021.</w:t>
      </w:r>
    </w:p>
    <w:p w14:paraId="4C507FC8" w14:textId="77777777" w:rsidR="008A39B2" w:rsidRDefault="008A39B2" w:rsidP="008A39B2">
      <w:pPr>
        <w:pStyle w:val="CDIFigure-Table-Footnote"/>
        <w:divId w:val="935526654"/>
      </w:pPr>
      <w:r>
        <w:t>j</w:t>
      </w:r>
      <w:r>
        <w:tab/>
        <w:t>https://www.tga.gov.au/periodic/covid-19-vaccine-weekly-safety-report-03-06-2021.</w:t>
      </w:r>
    </w:p>
    <w:p w14:paraId="2B0B72BF" w14:textId="4742FABD" w:rsidR="004464EC" w:rsidRDefault="008A39B2" w:rsidP="008A39B2">
      <w:pPr>
        <w:pStyle w:val="CDIFigure-Table-Footnote"/>
        <w:divId w:val="935526654"/>
      </w:pPr>
      <w:r>
        <w:t>k</w:t>
      </w:r>
      <w:r>
        <w:tab/>
        <w:t>https://www.tga.gov.au/news/covid-19-vaccine-safety-reports/covid-19-vaccine-weekly-safety-report-10-06-2021#section-488.</w:t>
      </w:r>
    </w:p>
    <w:p w14:paraId="57D5D0DE" w14:textId="77777777" w:rsidR="00702D05" w:rsidRDefault="00702D05" w:rsidP="00702D05">
      <w:pPr>
        <w:pStyle w:val="Heading1"/>
        <w:divId w:val="935526654"/>
        <w:rPr>
          <w:lang w:val="en-GB"/>
        </w:rPr>
      </w:pPr>
      <w:r w:rsidRPr="00702D05">
        <w:rPr>
          <w:lang w:val="en-GB"/>
        </w:rPr>
        <w:lastRenderedPageBreak/>
        <w:t>Discussion</w:t>
      </w:r>
    </w:p>
    <w:p w14:paraId="4DB6CFD3" w14:textId="77777777" w:rsidR="0046447C" w:rsidRPr="0046447C" w:rsidRDefault="0046447C" w:rsidP="0046447C">
      <w:pPr>
        <w:divId w:val="935526654"/>
        <w:rPr>
          <w:lang w:val="en-GB"/>
        </w:rPr>
      </w:pPr>
      <w:r w:rsidRPr="0046447C">
        <w:rPr>
          <w:lang w:val="en-GB"/>
        </w:rPr>
        <w:t xml:space="preserve">In the first year of COVID-19 vaccination in Australia, the annual AEFI reporting rate for all COVID-19 vaccines was 271.4 per 100,000 doses administered to people aged ≥ 12 years. </w:t>
      </w:r>
    </w:p>
    <w:p w14:paraId="794FA1D3" w14:textId="77777777" w:rsidR="0046447C" w:rsidRPr="0046447C" w:rsidRDefault="0046447C" w:rsidP="0046447C">
      <w:pPr>
        <w:divId w:val="935526654"/>
        <w:rPr>
          <w:lang w:val="en-GB"/>
        </w:rPr>
      </w:pPr>
      <w:r w:rsidRPr="0046447C">
        <w:rPr>
          <w:lang w:val="en-GB"/>
        </w:rPr>
        <w:t>The COVID-19 AEFI reporting rate was 507.8 per 100,000 population, in people aged ≥ 12 years, reflecting that many people received more than one dose of vaccine. These reporting rates were markedly greater (38-fold) than the annual AEFI reporting rate for non-COVID-19 vaccines of 13.4 per 100,000 population (all ages) for the same year,</w:t>
      </w:r>
      <w:r w:rsidRPr="0046447C">
        <w:rPr>
          <w:rStyle w:val="Superscript"/>
          <w:lang w:val="en-GB"/>
        </w:rPr>
        <w:t>5</w:t>
      </w:r>
      <w:r w:rsidRPr="0046447C">
        <w:rPr>
          <w:lang w:val="en-GB"/>
        </w:rPr>
        <w:t xml:space="preserve"> and they were also higher than the highest rate  previously reported of 22.3 per 100,000 population (all ages) in 2010 following the pandemic H1N1 influenza vaccine program and the febrile seizure safety event related to a brand of seasonal influenza vaccine in children aged &lt; 5 years. </w:t>
      </w:r>
    </w:p>
    <w:p w14:paraId="7F000320" w14:textId="77777777" w:rsidR="0046447C" w:rsidRPr="0046447C" w:rsidRDefault="0046447C" w:rsidP="0046447C">
      <w:pPr>
        <w:divId w:val="935526654"/>
        <w:rPr>
          <w:lang w:val="en-GB"/>
        </w:rPr>
      </w:pPr>
      <w:r w:rsidRPr="0046447C">
        <w:rPr>
          <w:lang w:val="en-GB"/>
        </w:rPr>
        <w:t>The high population-based COVID-19 AEFI reporting rate was heavily influenced by the considerable number of COVID-19 vaccine doses administered in 2021. Overall, 73.4% of adolescents aged 12–15 years and 91.6% of people aged ≥ 16 years had received two doses of COVID-19 vaccine by the end of the year.</w:t>
      </w:r>
      <w:r w:rsidRPr="0046447C">
        <w:rPr>
          <w:rStyle w:val="Superscript"/>
          <w:lang w:val="en-GB"/>
        </w:rPr>
        <w:t xml:space="preserve">33 </w:t>
      </w:r>
      <w:r w:rsidRPr="0046447C">
        <w:rPr>
          <w:lang w:val="en-GB"/>
        </w:rPr>
        <w:t>A third dose and/or booster dose was also recommended in October 2021.</w:t>
      </w:r>
      <w:r w:rsidRPr="0046447C">
        <w:rPr>
          <w:rStyle w:val="Superscript"/>
          <w:lang w:val="en-GB"/>
        </w:rPr>
        <w:t>24,34</w:t>
      </w:r>
      <w:r w:rsidRPr="0046447C">
        <w:rPr>
          <w:lang w:val="en-GB"/>
        </w:rPr>
        <w:t xml:space="preserve"> In total, more than 41 million COVID-19 vaccine doses were administered to people aged ≥ 12 years in 2021 (Table 1). </w:t>
      </w:r>
    </w:p>
    <w:p w14:paraId="3E84DCFC" w14:textId="5679CFCE" w:rsidR="0046447C" w:rsidRPr="0046447C" w:rsidRDefault="0046447C" w:rsidP="0046447C">
      <w:pPr>
        <w:divId w:val="935526654"/>
        <w:rPr>
          <w:lang w:val="en-GB"/>
        </w:rPr>
      </w:pPr>
      <w:r w:rsidRPr="0046447C">
        <w:rPr>
          <w:lang w:val="en-GB"/>
        </w:rPr>
        <w:t>The annual dose-based AEFI reporting rate was still greater than the annual AEFI reporting rate for non-COVID-19 vaccines of 30.6 per 100,000 doses (all ages) for the same year.</w:t>
      </w:r>
      <w:r w:rsidRPr="0046447C">
        <w:rPr>
          <w:rStyle w:val="Superscript"/>
          <w:lang w:val="en-GB"/>
        </w:rPr>
        <w:t>5</w:t>
      </w:r>
      <w:r w:rsidRPr="0046447C">
        <w:rPr>
          <w:lang w:val="en-GB"/>
        </w:rPr>
        <w:t xml:space="preserve"> This likely reflected both heightened awareness of adverse events and increased engagement in reporting adverse events from both immunisation providers and the general public following the introduction of the new pandemic COVID-19 vaccines. This is a phenomenon commonly seen with the introduction of new vaccines, but it occurred to a scale never previously observed in Australia and was likely amplified by the pandemic context, unprecedented media coverage, population-wide vaccination recommendations, and jurisdictional mandatory vaccination policies in certain settings. Increased engagement in AEFI reporting for COVID-19 vaccines is also evident through comparing the rates of expected AEFI (e.g. headache, injection site reactions) reported by participants in clinical trials for different vaccine types.</w:t>
      </w:r>
      <w:r>
        <w:rPr>
          <w:lang w:val="en-GB"/>
        </w:rPr>
        <w:t xml:space="preserve"> </w:t>
      </w:r>
      <w:r w:rsidRPr="0046447C">
        <w:rPr>
          <w:lang w:val="en-GB"/>
        </w:rPr>
        <w:t>While the rates of expected AEFI were similar between clinical trials for COVID-19 vaccines and influenza vaccines (for example, headache and injection site reactions were experienced by &gt;10% of both COVID-19 and influenza recipients in clinical trials), the volume of reports received by the TGA surveillance system for such expected AEFI was larger for COVID-19 vaccines than for influenza vaccines.</w:t>
      </w:r>
      <w:r w:rsidRPr="0046447C">
        <w:rPr>
          <w:rStyle w:val="Superscript"/>
          <w:lang w:val="en-GB"/>
        </w:rPr>
        <w:t>5,35–40</w:t>
      </w:r>
    </w:p>
    <w:p w14:paraId="0A1E7ADA" w14:textId="77777777" w:rsidR="0046447C" w:rsidRPr="0046447C" w:rsidRDefault="0046447C" w:rsidP="0046447C">
      <w:pPr>
        <w:divId w:val="935526654"/>
        <w:rPr>
          <w:lang w:val="en-GB"/>
        </w:rPr>
      </w:pPr>
      <w:r w:rsidRPr="0046447C">
        <w:rPr>
          <w:lang w:val="en-GB"/>
        </w:rPr>
        <w:t xml:space="preserve">The proportion of AEFI reports reported by consumers in 2001 was higher for COVID-19 vaccines than for non-COVID-19 vaccines (26.5% vs 6.4%). This likely reflects the increased consumer awareness of AEFI and promotion of reporting by the TGA and other authorities in order to maximise the sensitivity of vaccine safety surveillance to detect any signals. The true proportion of consumer reports is likely to be even higher, as consumers can also report to a health professional or to their jurisdictional (state and territory) health department, as well as directly to the TGA. The TGA and vaccine program guidelines continue to encourage reporting as an important element of monitoring the safety of vaccines. </w:t>
      </w:r>
    </w:p>
    <w:p w14:paraId="4E5BC5BA" w14:textId="77777777" w:rsidR="0046447C" w:rsidRPr="0046447C" w:rsidRDefault="0046447C" w:rsidP="0046447C">
      <w:pPr>
        <w:divId w:val="935526654"/>
        <w:rPr>
          <w:lang w:val="en-GB"/>
        </w:rPr>
      </w:pPr>
      <w:r w:rsidRPr="0046447C">
        <w:rPr>
          <w:lang w:val="en-GB"/>
        </w:rPr>
        <w:t xml:space="preserve">The number of AEFI reports per month reflects the vaccine rollout and uptake over time, with most of the primary series doses having been administered between March and October 2021 (Figure 1). There was an increase in AEFI reports in people aged 16–59 years following Comirnaty from June, contemporaneous with the identification of myocarditis and pericarditis cases following Comirnaty vaccines. In the same month, ATAGI recommended preferential use of Comirnaty over Vaxzevria in people aged &lt; 60 years due to </w:t>
      </w:r>
      <w:r w:rsidRPr="0046447C">
        <w:rPr>
          <w:lang w:val="en-GB"/>
        </w:rPr>
        <w:lastRenderedPageBreak/>
        <w:t>increased risk of TTS, increasing Comirnaty uptake and associated AEFI reports in this age group.</w:t>
      </w:r>
      <w:r w:rsidRPr="0046447C">
        <w:rPr>
          <w:rStyle w:val="Superscript"/>
          <w:lang w:val="en-GB"/>
        </w:rPr>
        <w:t>41</w:t>
      </w:r>
      <w:r w:rsidRPr="0046447C">
        <w:rPr>
          <w:lang w:val="en-GB"/>
        </w:rPr>
        <w:t xml:space="preserve"> While the number of AEFI reports for Spikevax was lower than for Comirnaty, the AEFI reporting rate per 100,000 doses was similar between the two vaccines (Table 1).</w:t>
      </w:r>
    </w:p>
    <w:p w14:paraId="31BD43D1" w14:textId="77777777" w:rsidR="0046447C" w:rsidRPr="0046447C" w:rsidRDefault="0046447C" w:rsidP="0046447C">
      <w:pPr>
        <w:divId w:val="935526654"/>
        <w:rPr>
          <w:lang w:val="en-GB"/>
        </w:rPr>
      </w:pPr>
      <w:r w:rsidRPr="0046447C">
        <w:rPr>
          <w:lang w:val="en-GB"/>
        </w:rPr>
        <w:t>AEFI reporting rates varied between states and territories, though the differences were similar to AEFI reporting rates for non-COVID-19 vaccines for each state and territory for 2021 and historically. This suggests that the variation between jurisdictions more likely reflects differences in reporting behaviour, rather than true differences in AEFI occurrence or as a result of differences in vaccine quality, handling and/or administration between jurisdictions.</w:t>
      </w:r>
    </w:p>
    <w:p w14:paraId="44DF7B32" w14:textId="77777777" w:rsidR="0046447C" w:rsidRPr="0046447C" w:rsidRDefault="0046447C" w:rsidP="0046447C">
      <w:pPr>
        <w:divId w:val="935526654"/>
        <w:rPr>
          <w:lang w:val="en-GB"/>
        </w:rPr>
      </w:pPr>
      <w:r w:rsidRPr="0046447C">
        <w:rPr>
          <w:lang w:val="en-GB"/>
        </w:rPr>
        <w:t xml:space="preserve">Overall, the top twenty PT/SMQ reported in each age group largely consisted of common, expected adverse events following COVID-19 vaccines. Chest pain and other cardiorespiratory symptoms were more commonly reported (relative to other PT/SMQ) in adolescents aged 12–15 years (Figure 3), despite low rates of myocarditis following COVID-19 vaccines reported in this age group. This may reflect individual or parental alertness and anxiety around the risk of myocarditis and pericarditis. Medication error was also in the top twenty PT/SMQ in the 12–15-year age group, highlighting the challenges of a population-wide vaccination rollout, with multiple vaccine brands, doses and evolving eligibility criteria contributing to program complexity and thereby increasing the risk of administration errors. Venous embolic and thrombotic events were in the top twenty PT/SMQ for people aged ≥ 60 years. This likely reflected that venous thromboembolic events were common in this age group in general (and not just after vaccination), and therefore there was an increased chance of this common event being temporally associated with a vaccination event when the whole population was being vaccinated. </w:t>
      </w:r>
    </w:p>
    <w:p w14:paraId="4C8617F0" w14:textId="77777777" w:rsidR="0046447C" w:rsidRPr="0046447C" w:rsidRDefault="0046447C" w:rsidP="0046447C">
      <w:pPr>
        <w:divId w:val="935526654"/>
        <w:rPr>
          <w:lang w:val="en-GB"/>
        </w:rPr>
      </w:pPr>
      <w:r w:rsidRPr="0046447C">
        <w:rPr>
          <w:lang w:val="en-GB"/>
        </w:rPr>
        <w:t>The proportion of serious adverse events reported following COVID-19 vaccination was consistent between brands at around 14%, but was higher than the proportion of serious adverse events following non-COVID-19 vaccines in 2021 (6.5%) and than that reported in the US Vaccine Adverse Event Reporting System (VAERS).</w:t>
      </w:r>
      <w:r w:rsidRPr="0046447C">
        <w:rPr>
          <w:rStyle w:val="Superscript"/>
          <w:lang w:val="en-GB"/>
        </w:rPr>
        <w:t>42</w:t>
      </w:r>
      <w:r w:rsidRPr="0046447C">
        <w:rPr>
          <w:lang w:val="en-GB"/>
        </w:rPr>
        <w:t xml:space="preserve"> The seriousness classification reflected the view of the reporter, which may be subjective in the case of consumer reporting, or based on limited information in the report in the case of classification by a state/territory health department or the TGA. Providers and consumers have been encouraged to report all adverse events, but in particular serious and/or unexpected AEFI following COVID-19 vaccination.</w:t>
      </w:r>
      <w:r w:rsidRPr="0046447C">
        <w:rPr>
          <w:rStyle w:val="Superscript"/>
          <w:lang w:val="en-GB"/>
        </w:rPr>
        <w:t>43–46</w:t>
      </w:r>
      <w:r w:rsidRPr="0046447C">
        <w:rPr>
          <w:lang w:val="en-GB"/>
        </w:rPr>
        <w:t xml:space="preserve"> Due to the novelty and therefore unfamiliarity of expected COVID-19 vaccine AEFI, it was possible that a larger proportion of the reported AEFI were considered serious by reporters in comparison with vaccines that had been in use for a longer duration of time with well-established post-marketing safety profiles.</w:t>
      </w:r>
    </w:p>
    <w:p w14:paraId="4F5125CF" w14:textId="77777777" w:rsidR="0046447C" w:rsidRPr="0046447C" w:rsidRDefault="0046447C" w:rsidP="0046447C">
      <w:pPr>
        <w:divId w:val="935526654"/>
        <w:rPr>
          <w:lang w:val="en-GB"/>
        </w:rPr>
      </w:pPr>
      <w:r w:rsidRPr="0046447C">
        <w:rPr>
          <w:lang w:val="en-GB"/>
        </w:rPr>
        <w:t>Reports of a fatal outcome following COVID-19 vaccination were rare, and mostly occurred in people aged 60 years and over (Table 7). More than three-quarters of reports with fatal outcomes were sent by jurisdictional health departments or health professionals. While the official diagnosed cause of death for an individual may not be reported to the TGA, it is notable that several of the most common PT/SMQ on reports with outcomes recorded as ‘fatal’ generally aligned with the most common causes of death in the general population, such as ischaemic heart disease (examples of potentially corresponding PT/SMQ included thrombotic events, myocardial infarction) and cerebrovascular disease (an example of PT/SMQ was cerebrovascular accident).</w:t>
      </w:r>
      <w:r w:rsidRPr="0046447C">
        <w:rPr>
          <w:rStyle w:val="Superscript"/>
          <w:lang w:val="en-GB"/>
        </w:rPr>
        <w:t>47</w:t>
      </w:r>
      <w:r w:rsidRPr="0046447C">
        <w:rPr>
          <w:lang w:val="en-GB"/>
        </w:rPr>
        <w:t xml:space="preserve"> The PT of concomitant disease progression, which was the fourth most common PT/SMQ on AEFI reports with outcomes of ‘fatal’, also aligned with chronic diseases being the leading causes of death in the general population. In addition, the median age at death following COVID-19 vaccination in AEMS (76 years) was similar to the median age of all deaths in 2021 (79.1 years). With large-scale vaccination programs and an increase in the number of people being vaccinated, it was likely that some people would experience a new illness or die, from any cause, in the days to weeks following </w:t>
      </w:r>
      <w:r w:rsidRPr="0046447C">
        <w:rPr>
          <w:lang w:val="en-GB"/>
        </w:rPr>
        <w:lastRenderedPageBreak/>
        <w:t xml:space="preserve">vaccination. While many of these events are often coincidental, the TGA has continually analysed all AEFI reports, including deaths, to identify rare or emerging safety signals (Table 8), and has convened VSIGs as required. Where relevant, product information has been updated to reflect any changes to the safety profile of COVID-19 vaccines in use based on post-marketing safety surveillance both locally and internationally. </w:t>
      </w:r>
    </w:p>
    <w:p w14:paraId="772444F2" w14:textId="1A25F1AC" w:rsidR="0046447C" w:rsidRPr="0046447C" w:rsidRDefault="0046447C" w:rsidP="0046447C">
      <w:pPr>
        <w:divId w:val="935526654"/>
        <w:rPr>
          <w:lang w:val="en-GB"/>
        </w:rPr>
      </w:pPr>
      <w:r w:rsidRPr="0046447C">
        <w:rPr>
          <w:lang w:val="en-GB"/>
        </w:rPr>
        <w:t>The highest AESI reporting rates were observed for myocarditis and/or pericarditis following Comirnaty and Spikevax in adolescents and adults aged 12–15 and 16–59 years, as well as thrombosis and thromboembolism and thrombocytopenia following Vaxzevria in people aged 16–59 and ≥ 60 years. While these AESI reports reflected true safety signals that prompted further investigation by the TGA, they were also common events in older adulthood (in particular thrombosis and thromboembolism and thrombocytopenia), and some of these reports were likely to be coincidental. The emergence of cases reporting these AESI was documented in real time by the TGA in news releases and weekly safety reports, and the TGA conducted further investigations to assess and characterise these safety signals by brand, dose, and age group (Table 8).</w:t>
      </w:r>
      <w:r w:rsidRPr="0046447C">
        <w:rPr>
          <w:rStyle w:val="Superscript"/>
          <w:lang w:val="en-GB"/>
        </w:rPr>
        <w:t>48–54</w:t>
      </w:r>
      <w:r w:rsidRPr="0046447C">
        <w:rPr>
          <w:lang w:val="en-GB"/>
        </w:rPr>
        <w:t xml:space="preserve"> The results of these investigations were published in COVID-19 vaccine weekly safety reports.</w:t>
      </w:r>
      <w:r w:rsidRPr="0046447C">
        <w:rPr>
          <w:rStyle w:val="Superscript"/>
          <w:lang w:val="en-GB"/>
        </w:rPr>
        <w:t>55</w:t>
      </w:r>
      <w:r w:rsidRPr="0046447C">
        <w:rPr>
          <w:lang w:val="en-GB"/>
        </w:rPr>
        <w:t xml:space="preserve"> Reporting rates for other AESI were low and consistent across age groups and brands.</w:t>
      </w:r>
    </w:p>
    <w:p w14:paraId="4575F472" w14:textId="77777777" w:rsidR="0046447C" w:rsidRPr="0046447C" w:rsidRDefault="0046447C" w:rsidP="0046447C">
      <w:pPr>
        <w:divId w:val="935526654"/>
        <w:rPr>
          <w:lang w:val="en-GB"/>
        </w:rPr>
      </w:pPr>
      <w:r w:rsidRPr="0046447C">
        <w:rPr>
          <w:lang w:val="en-GB"/>
        </w:rPr>
        <w:t>These national spontaneous surveillance data were complemented by AusVaxSafety, an active sentinel vaccine safety surveillance system, which also monitored COVID-19 vaccines from the commencement of the vaccination rollout.</w:t>
      </w:r>
      <w:r w:rsidRPr="0046447C">
        <w:rPr>
          <w:rStyle w:val="Superscript"/>
          <w:lang w:val="en-GB"/>
        </w:rPr>
        <w:t>56,57</w:t>
      </w:r>
      <w:r w:rsidRPr="0046447C">
        <w:rPr>
          <w:lang w:val="en-GB"/>
        </w:rPr>
        <w:t xml:space="preserve"> The most common solicited symptoms reported in AusVaxSafety data were local pain, fatigue, headache, and myalgia, which were similar to the most commonly reported AEFI in the AEMS data of headache, gastrointestinal nonspecific symptoms and therapeutic procedures, myalgia, pyrexia and fatigue. While the data from both systems cannot be directly compared due to differences in methodology, they provided complementary data on the safety of vaccines used in Australia. </w:t>
      </w:r>
    </w:p>
    <w:p w14:paraId="592F8F0E" w14:textId="77777777" w:rsidR="0046447C" w:rsidRPr="0046447C" w:rsidRDefault="0046447C" w:rsidP="0046447C">
      <w:pPr>
        <w:divId w:val="935526654"/>
        <w:rPr>
          <w:lang w:val="en-GB"/>
        </w:rPr>
      </w:pPr>
      <w:r w:rsidRPr="0046447C">
        <w:rPr>
          <w:lang w:val="en-GB"/>
        </w:rPr>
        <w:t>There are some limitations to this analysis. AEFI reports can vary significantly in the amount of detail, completeness, and quality of information, and are not always verified against clinical notes. AEFI reports can include multiple vaccines, vaccination dates, AEFI, and AEFI onset dates. Based on the information provided, it is not always possible to associate specific vaccines with specific AEFI and AEFI onset dates. The seriousness criteria for AEFI reports can be applied differently based on the report source and is not always based on verified clinical data, so it may not capture all medically important events, and in addition may capture non-serious events; therefore, the seriousness classification of an AEFI report cannot be directly interpreted as an indicator of safety. While annual AEFI reporting rates can be estimated, they cannot be interpreted as incidence rates due to factors such as potential under-reporting (i.e. not all adverse events are reported, which is often a feature of spontaneous surveillance systems), stimulated reporting (from increased awareness of potential adverse events of vaccines newly introduced to the National Immunisation Program  or covered in the media), and the variable quality and completeness of information provided in individual notifications.</w:t>
      </w:r>
      <w:r w:rsidRPr="0046447C">
        <w:rPr>
          <w:rStyle w:val="Superscript"/>
          <w:lang w:val="en-GB"/>
        </w:rPr>
        <w:t>6</w:t>
      </w:r>
      <w:r w:rsidRPr="0046447C">
        <w:rPr>
          <w:lang w:val="en-GB"/>
        </w:rPr>
        <w:t xml:space="preserve"> Indigenous status is not always reported in all AEFI reports and therefore AEFI rates in Aboriginal and Torres Strait Islander people are likely to be underestimates. Vaccination data from the Australian Immunisation Register, which are used to calculate AEFI rates per 100,000 vaccine doses, may include COVID-19 vaccines administered overseas when COVID-19 vaccines or specific brands were not available in Australia. This reduced the reliability of monthly AEFI reporting rates per 100,000 doses by vaccine brand and age group (see Appendix A, Figure A.1 and Figure A.2). Finally, the AEFI reported here are not necessarily causally related to vaccination. The TGA strongly encourages consumers and health professionals to report suspected adverse events, even if there is only a very small </w:t>
      </w:r>
      <w:r w:rsidRPr="0046447C">
        <w:rPr>
          <w:lang w:val="en-GB"/>
        </w:rPr>
        <w:lastRenderedPageBreak/>
        <w:t>chance a vaccine was the cause. With large-scale vaccination programs, it is inevitable by chance that some people will experience a new illness or die within a few days or weeks of vaccination. These events are often coincidental, rather than being caused by the vaccine.</w:t>
      </w:r>
    </w:p>
    <w:p w14:paraId="54B663BA" w14:textId="77777777" w:rsidR="00702D05" w:rsidRPr="00702D05" w:rsidRDefault="00702D05" w:rsidP="00242A9E">
      <w:pPr>
        <w:pStyle w:val="Heading1"/>
        <w:divId w:val="935526654"/>
        <w:rPr>
          <w:lang w:val="en-GB"/>
        </w:rPr>
      </w:pPr>
      <w:r w:rsidRPr="00702D05">
        <w:rPr>
          <w:lang w:val="en-GB"/>
        </w:rPr>
        <w:t>Conclusion</w:t>
      </w:r>
    </w:p>
    <w:p w14:paraId="5DEAC40D" w14:textId="77777777" w:rsidR="0060332C" w:rsidRPr="0060332C" w:rsidRDefault="0060332C" w:rsidP="0060332C">
      <w:pPr>
        <w:divId w:val="935526654"/>
        <w:rPr>
          <w:lang w:val="en-GB"/>
        </w:rPr>
      </w:pPr>
      <w:r w:rsidRPr="0060332C">
        <w:rPr>
          <w:lang w:val="en-GB"/>
        </w:rPr>
        <w:t>In conclusion, there was an unprecedentedly large number of AEFI reports observed following the introduction of COVID-19 vaccines in 2021, which resulted in a high dose-based AEFI reporting rate. While the most frequently reported AEFI were common and expected adverse events following COVID-19 vaccines, and were consistent with clinical trial and active surveillance data, rare and unexpected (and ultimately causally associated) adverse events, specifically myocarditis/pericarditis and TTS, were also thoroughly investigated. Other adverse events and deaths reported following COVID-19 vaccination also underwent detailed assessments and analyses by the TGA; where appropriate, independent causality assessments were undertaken. These safety investigations resulted in changes to the vaccine program recommendations and product information. The outcomes of TGA monitoring were communicated in weekly vaccine safety reports and via a number of other channels. Overall, safety monitoring provided critical information on the risks of COVID-19 vaccine related adverse events that enabled decisionmakers to undertake informed risk-benefit assessments.</w:t>
      </w:r>
    </w:p>
    <w:p w14:paraId="0EADBB08" w14:textId="77777777" w:rsidR="00702D05" w:rsidRPr="00702D05" w:rsidRDefault="007A764D" w:rsidP="00242A9E">
      <w:pPr>
        <w:pStyle w:val="Heading1"/>
        <w:divId w:val="935526654"/>
        <w:rPr>
          <w:lang w:val="en-GB"/>
        </w:rPr>
      </w:pPr>
      <w:r>
        <w:rPr>
          <w:lang w:val="en-GB"/>
        </w:rPr>
        <w:t>Acknowledgments</w:t>
      </w:r>
    </w:p>
    <w:p w14:paraId="1E7B2BE2" w14:textId="5CDF2BC1" w:rsidR="00A240A7" w:rsidRDefault="0060332C" w:rsidP="00A240A7">
      <w:pPr>
        <w:rPr>
          <w:lang w:val="en-GB"/>
        </w:rPr>
      </w:pPr>
      <w:r w:rsidRPr="0060332C">
        <w:rPr>
          <w:lang w:val="en-GB"/>
        </w:rPr>
        <w:t>We would like to acknowledge and thank Aditi Dey, Han Wang, Alexandra Hendry, and Tristan Franks at NCIRS for providing historical context and code and vaccine dose data from the Australian Immunisation Register.</w:t>
      </w:r>
      <w:r w:rsidR="00A240A7">
        <w:rPr>
          <w:lang w:val="en-GB"/>
        </w:rPr>
        <w:br w:type="page"/>
      </w:r>
    </w:p>
    <w:p w14:paraId="4E4CDC11" w14:textId="26DBA4BE" w:rsidR="00E30C30" w:rsidRDefault="00E30C30" w:rsidP="003F5172">
      <w:pPr>
        <w:pStyle w:val="Heading1"/>
        <w:divId w:val="935526654"/>
      </w:pPr>
      <w:r>
        <w:lastRenderedPageBreak/>
        <w:t>Author details</w:t>
      </w:r>
    </w:p>
    <w:p w14:paraId="745251FC" w14:textId="77777777" w:rsidR="0060332C" w:rsidRPr="0060332C" w:rsidRDefault="0060332C" w:rsidP="0060332C">
      <w:r w:rsidRPr="0060332C">
        <w:t>Catherine Glover,</w:t>
      </w:r>
      <w:r w:rsidRPr="00FF32CC">
        <w:rPr>
          <w:rStyle w:val="Superscript"/>
        </w:rPr>
        <w:t>1</w:t>
      </w:r>
    </w:p>
    <w:p w14:paraId="1520164D" w14:textId="77777777" w:rsidR="0060332C" w:rsidRPr="0060332C" w:rsidRDefault="0060332C" w:rsidP="0060332C">
      <w:pPr>
        <w:pStyle w:val="Normal-lessspace"/>
        <w:rPr>
          <w:vertAlign w:val="superscript"/>
        </w:rPr>
      </w:pPr>
      <w:r w:rsidRPr="0060332C">
        <w:t>Lucy Deng,</w:t>
      </w:r>
      <w:r w:rsidRPr="0060332C">
        <w:rPr>
          <w:vertAlign w:val="superscript"/>
        </w:rPr>
        <w:t>1</w:t>
      </w:r>
    </w:p>
    <w:p w14:paraId="0B04553A" w14:textId="77777777" w:rsidR="0060332C" w:rsidRPr="0060332C" w:rsidRDefault="0060332C" w:rsidP="0060332C">
      <w:pPr>
        <w:pStyle w:val="Normal-lessspace"/>
      </w:pPr>
      <w:r w:rsidRPr="0060332C">
        <w:t>Claire Larter,</w:t>
      </w:r>
      <w:r w:rsidRPr="0060332C">
        <w:rPr>
          <w:vertAlign w:val="superscript"/>
        </w:rPr>
        <w:t>2</w:t>
      </w:r>
    </w:p>
    <w:p w14:paraId="40464FF6" w14:textId="77777777" w:rsidR="0060332C" w:rsidRPr="0060332C" w:rsidRDefault="0060332C" w:rsidP="0060332C">
      <w:pPr>
        <w:pStyle w:val="Normal-lessspace"/>
      </w:pPr>
      <w:r w:rsidRPr="0060332C">
        <w:t>Catherine Brogan,</w:t>
      </w:r>
      <w:r w:rsidRPr="0060332C">
        <w:rPr>
          <w:vertAlign w:val="superscript"/>
        </w:rPr>
        <w:t>2</w:t>
      </w:r>
    </w:p>
    <w:p w14:paraId="64766B8E" w14:textId="77777777" w:rsidR="0060332C" w:rsidRPr="0060332C" w:rsidRDefault="0060332C" w:rsidP="0060332C">
      <w:pPr>
        <w:pStyle w:val="Normal-lessspace"/>
        <w:rPr>
          <w:vertAlign w:val="superscript"/>
        </w:rPr>
      </w:pPr>
      <w:r w:rsidRPr="0060332C">
        <w:t>Olivia Richardson,</w:t>
      </w:r>
      <w:r w:rsidRPr="0060332C">
        <w:rPr>
          <w:vertAlign w:val="superscript"/>
        </w:rPr>
        <w:t>2</w:t>
      </w:r>
    </w:p>
    <w:p w14:paraId="2E090299" w14:textId="77777777" w:rsidR="0060332C" w:rsidRPr="0060332C" w:rsidRDefault="0060332C" w:rsidP="0060332C">
      <w:pPr>
        <w:pStyle w:val="Normal-lessspace"/>
      </w:pPr>
      <w:r w:rsidRPr="0060332C">
        <w:t>Yuanfei Anny Huang,</w:t>
      </w:r>
      <w:r w:rsidRPr="0060332C">
        <w:rPr>
          <w:vertAlign w:val="superscript"/>
        </w:rPr>
        <w:t>1</w:t>
      </w:r>
    </w:p>
    <w:p w14:paraId="2AB58385" w14:textId="77777777" w:rsidR="0060332C" w:rsidRPr="0060332C" w:rsidRDefault="0060332C" w:rsidP="0060332C">
      <w:pPr>
        <w:pStyle w:val="Normal-lessspace"/>
        <w:rPr>
          <w:vertAlign w:val="superscript"/>
        </w:rPr>
      </w:pPr>
      <w:r w:rsidRPr="0060332C">
        <w:t>Elspeth Kay,</w:t>
      </w:r>
      <w:r w:rsidRPr="0060332C">
        <w:rPr>
          <w:vertAlign w:val="superscript"/>
        </w:rPr>
        <w:t>2</w:t>
      </w:r>
    </w:p>
    <w:p w14:paraId="10835A4A" w14:textId="77777777" w:rsidR="0060332C" w:rsidRPr="0060332C" w:rsidRDefault="0060332C" w:rsidP="0060332C">
      <w:pPr>
        <w:pStyle w:val="Normal-lessspace"/>
      </w:pPr>
      <w:r w:rsidRPr="0060332C">
        <w:t>Kristine Macartney,</w:t>
      </w:r>
      <w:r w:rsidRPr="0060332C">
        <w:rPr>
          <w:vertAlign w:val="superscript"/>
        </w:rPr>
        <w:t>1</w:t>
      </w:r>
    </w:p>
    <w:p w14:paraId="1A2B7B9D" w14:textId="77777777" w:rsidR="0060332C" w:rsidRPr="0060332C" w:rsidRDefault="0060332C" w:rsidP="0060332C">
      <w:pPr>
        <w:pStyle w:val="Normal-lessspace"/>
        <w:rPr>
          <w:vertAlign w:val="superscript"/>
        </w:rPr>
      </w:pPr>
      <w:r w:rsidRPr="0060332C">
        <w:t>Nicholas Wood</w:t>
      </w:r>
      <w:r w:rsidRPr="0060332C">
        <w:rPr>
          <w:vertAlign w:val="superscript"/>
        </w:rPr>
        <w:t>1</w:t>
      </w:r>
    </w:p>
    <w:p w14:paraId="1131E864" w14:textId="77777777" w:rsidR="0060332C" w:rsidRPr="0060332C" w:rsidRDefault="0060332C" w:rsidP="0060332C">
      <w:pPr>
        <w:pStyle w:val="CDINumberedList1L1"/>
        <w:numPr>
          <w:ilvl w:val="0"/>
          <w:numId w:val="29"/>
        </w:numPr>
      </w:pPr>
      <w:r w:rsidRPr="0060332C">
        <w:t>National Centre for Immunisation Research and Surveillance, The University of Sydney and The Children’s Hospital at Westmead, Sydney, Australia</w:t>
      </w:r>
    </w:p>
    <w:p w14:paraId="42ACFA34" w14:textId="559E782F" w:rsidR="0060332C" w:rsidRPr="0060332C" w:rsidRDefault="0060332C" w:rsidP="0060332C">
      <w:pPr>
        <w:pStyle w:val="CDINumberedList1L1"/>
      </w:pPr>
      <w:r w:rsidRPr="0060332C">
        <w:t>Pharmacovigilance Branch, Therapeutic Goods Administration, Department of Health</w:t>
      </w:r>
      <w:r w:rsidR="009E2959">
        <w:t xml:space="preserve"> and Aged Care</w:t>
      </w:r>
      <w:r w:rsidRPr="0060332C">
        <w:t>, Canberra, Australia</w:t>
      </w:r>
    </w:p>
    <w:p w14:paraId="01076760" w14:textId="77777777" w:rsidR="0060332C" w:rsidRPr="0060332C" w:rsidRDefault="0060332C" w:rsidP="0060332C">
      <w:pPr>
        <w:rPr>
          <w:rStyle w:val="Bold"/>
        </w:rPr>
      </w:pPr>
      <w:r w:rsidRPr="0060332C">
        <w:rPr>
          <w:rStyle w:val="Bold"/>
        </w:rPr>
        <w:t xml:space="preserve">Corresponding author </w:t>
      </w:r>
    </w:p>
    <w:p w14:paraId="1415701F" w14:textId="77777777" w:rsidR="0060332C" w:rsidRPr="0060332C" w:rsidRDefault="0060332C" w:rsidP="0060332C">
      <w:pPr>
        <w:pStyle w:val="Normal-lessspace"/>
      </w:pPr>
      <w:r w:rsidRPr="0060332C">
        <w:t>Yuanfei Anny Huang</w:t>
      </w:r>
    </w:p>
    <w:p w14:paraId="157B091E" w14:textId="77777777" w:rsidR="0060332C" w:rsidRPr="0060332C" w:rsidRDefault="0060332C" w:rsidP="0060332C">
      <w:pPr>
        <w:pStyle w:val="Normal-lessspace"/>
      </w:pPr>
      <w:r w:rsidRPr="0060332C">
        <w:t>National Centre for Immunisation Research and Surveillance, Locked Bag 4001, Westmead NSW 2145, Sydney, Australia</w:t>
      </w:r>
    </w:p>
    <w:p w14:paraId="2C197730" w14:textId="77777777" w:rsidR="0060332C" w:rsidRPr="0060332C" w:rsidRDefault="0060332C" w:rsidP="0060332C">
      <w:pPr>
        <w:pStyle w:val="Normal-lessspace"/>
      </w:pPr>
      <w:r w:rsidRPr="0060332C">
        <w:t>Phone: +61 2 9391 9267</w:t>
      </w:r>
    </w:p>
    <w:p w14:paraId="2604F652" w14:textId="13BE9D61" w:rsidR="00AA78FF" w:rsidRPr="007A2D74" w:rsidRDefault="0060332C" w:rsidP="00343991">
      <w:pPr>
        <w:pStyle w:val="Normal-lessspace"/>
      </w:pPr>
      <w:r w:rsidRPr="0060332C">
        <w:t>Email: yuanfei.huang@health.nsw.gov.au</w:t>
      </w:r>
      <w:r w:rsidR="00AA78FF" w:rsidRPr="007A2D74">
        <w:br w:type="page"/>
      </w:r>
    </w:p>
    <w:p w14:paraId="276A720B" w14:textId="77777777" w:rsidR="00E30C30" w:rsidRDefault="00E30C30" w:rsidP="003F5172">
      <w:pPr>
        <w:pStyle w:val="Heading1"/>
        <w:divId w:val="935526654"/>
      </w:pPr>
      <w:r>
        <w:lastRenderedPageBreak/>
        <w:t>References</w:t>
      </w:r>
    </w:p>
    <w:p w14:paraId="2870CF45" w14:textId="77777777" w:rsidR="0060332C" w:rsidRDefault="0060332C" w:rsidP="0060332C">
      <w:pPr>
        <w:pStyle w:val="CDINumberedList1L1"/>
        <w:numPr>
          <w:ilvl w:val="0"/>
          <w:numId w:val="30"/>
        </w:numPr>
        <w:divId w:val="935526654"/>
      </w:pPr>
      <w:r>
        <w:t>National Health Service [England] (NHS). Landmark moment as first NHS patient receives COVID-19 vaccination. [Webpage.] London: Government of the United Kingdom, Department of Health and Social Care, NHS; 8 December 2020. Available from: https://www.england.nhs.uk/2020/12/landmark-moment-as-first-nhs-patient-receives-covid-19-vaccination/.</w:t>
      </w:r>
    </w:p>
    <w:p w14:paraId="0ACC53E0" w14:textId="77777777" w:rsidR="0060332C" w:rsidRDefault="0060332C" w:rsidP="0060332C">
      <w:pPr>
        <w:pStyle w:val="CDINumberedList1L1"/>
        <w:divId w:val="935526654"/>
      </w:pPr>
      <w:r>
        <w:t>Australian Government Department of Health and Aged Care, Therapeutic Goods Administration (TGA). TGA safety monitoring of medicines: Steps following the identification of a potential safety concern. [Webpage.] Canberra: Australian Government Department of Health and Aged Care, TGA; 30 October 2018. Available from: https://www.tga.gov.au/safety/safety/safety-monitoring-medicines/tga-safety-monitoring-medicines#steps.</w:t>
      </w:r>
    </w:p>
    <w:p w14:paraId="5BBA68A1" w14:textId="77777777" w:rsidR="0060332C" w:rsidRDefault="0060332C" w:rsidP="0060332C">
      <w:pPr>
        <w:pStyle w:val="CDINumberedList1L1"/>
        <w:divId w:val="935526654"/>
      </w:pPr>
      <w:r>
        <w:t xml:space="preserve">Council for International Organizations of Medical Sciences (CIOMS) c/o World Health Organization (WHO). </w:t>
      </w:r>
      <w:r>
        <w:rPr>
          <w:rStyle w:val="Italic"/>
        </w:rPr>
        <w:t>Definition and Application of Terms for Vaccine Pharmacovigilance: Report of CIOMS/WHO Working Group on Vaccine Pharmacovigilance</w:t>
      </w:r>
      <w:r>
        <w:t>. Geneva: CIOMS; 2012. Available from: https://www.who.int/vaccine_safety/initiative/tools/CIOMS_report_WG_vaccine.pdf.</w:t>
      </w:r>
    </w:p>
    <w:p w14:paraId="194CC16E" w14:textId="77777777" w:rsidR="0060332C" w:rsidRDefault="0060332C" w:rsidP="0060332C">
      <w:pPr>
        <w:pStyle w:val="CDINumberedList1L1"/>
        <w:divId w:val="935526654"/>
      </w:pPr>
      <w:r>
        <w:t>Australian Technical Advisory Group on Immunisation (ATAGI). Australian Immunisation Handbook. Canberra: Australian Government Department of Health and Aged Care; 2020. Available from: https://immunisationhandbook.health.gov.au/.</w:t>
      </w:r>
    </w:p>
    <w:p w14:paraId="30A563BE" w14:textId="7F4AB5E7" w:rsidR="0060332C" w:rsidRDefault="0060332C" w:rsidP="0060332C">
      <w:pPr>
        <w:pStyle w:val="CDINumberedList1L1"/>
        <w:divId w:val="935526654"/>
      </w:pPr>
      <w:r>
        <w:t xml:space="preserve">Glover C, Deng L, Larter C, Brogan C,Richardson O, Huang YA et al. Surveillance of adverse events following immunisation in Australia annual report, 2021. </w:t>
      </w:r>
      <w:r>
        <w:rPr>
          <w:rStyle w:val="Italic"/>
        </w:rPr>
        <w:t>Commun Dis Intell (2018)</w:t>
      </w:r>
      <w:r>
        <w:t>. 2024;48. doi: https://doi.org/10.33321/cdi.2024.48.1.</w:t>
      </w:r>
    </w:p>
    <w:p w14:paraId="53F02E23" w14:textId="77777777" w:rsidR="0060332C" w:rsidRDefault="0060332C" w:rsidP="0060332C">
      <w:pPr>
        <w:pStyle w:val="CDINumberedList1L1"/>
        <w:divId w:val="935526654"/>
      </w:pPr>
      <w:r>
        <w:t xml:space="preserve">Lawrence G, Boyd I, McIntyre P, Isaacs D. Surveillance of adverse events following immunisation: Australia 2002 to 2003. </w:t>
      </w:r>
      <w:r>
        <w:rPr>
          <w:rStyle w:val="Italic"/>
        </w:rPr>
        <w:t>Commun Dis Intell Q Rep</w:t>
      </w:r>
      <w:r>
        <w:t>. 2004;28(3):324–38.</w:t>
      </w:r>
    </w:p>
    <w:p w14:paraId="4026E4CF" w14:textId="77777777" w:rsidR="0060332C" w:rsidRDefault="0060332C" w:rsidP="0060332C">
      <w:pPr>
        <w:pStyle w:val="CDINumberedList1L1"/>
        <w:divId w:val="935526654"/>
      </w:pPr>
      <w:r>
        <w:t xml:space="preserve">Lawrence G, Menzies R, Burgess M, McIntyre P, Wood N, Boyd I et al. Surveillance of adverse events following immunisation: Australia, 2000–2002. </w:t>
      </w:r>
      <w:r>
        <w:rPr>
          <w:rStyle w:val="Italic"/>
        </w:rPr>
        <w:t>Commun Dis Intell Q Rep</w:t>
      </w:r>
      <w:r>
        <w:t>. 2003;27(3):307–23.</w:t>
      </w:r>
    </w:p>
    <w:p w14:paraId="2F24A8D9" w14:textId="2F5A8E2F" w:rsidR="0060332C" w:rsidRDefault="0060332C" w:rsidP="0060332C">
      <w:pPr>
        <w:pStyle w:val="CDINumberedList1L1"/>
        <w:divId w:val="935526654"/>
      </w:pPr>
      <w:r>
        <w:t xml:space="preserve">Brown EG. Using MedDRA: implications for risk management. </w:t>
      </w:r>
      <w:r>
        <w:rPr>
          <w:rStyle w:val="Italic"/>
        </w:rPr>
        <w:t>Drug Saf</w:t>
      </w:r>
      <w:r>
        <w:t>. 2004;27(8):591–602. doi: https://doi.org/10.2165/00002018-200427080-00010.</w:t>
      </w:r>
    </w:p>
    <w:p w14:paraId="2C6E69E5" w14:textId="77777777" w:rsidR="0060332C" w:rsidRDefault="0060332C" w:rsidP="0060332C">
      <w:pPr>
        <w:pStyle w:val="CDINumberedList1L1"/>
        <w:divId w:val="935526654"/>
      </w:pPr>
      <w:r>
        <w:t xml:space="preserve">Brown EG, Wood L, Wood S. The medical dictionary for regulatory activities (MedDRA). </w:t>
      </w:r>
      <w:r>
        <w:rPr>
          <w:rStyle w:val="Italic"/>
        </w:rPr>
        <w:t>Drug Saf</w:t>
      </w:r>
      <w:r>
        <w:t>. 1999;20(2):109–17. doi: https://doi.org/10.2165/00002018-199920020-00002.</w:t>
      </w:r>
    </w:p>
    <w:p w14:paraId="22E14099" w14:textId="77777777" w:rsidR="0060332C" w:rsidRDefault="0060332C" w:rsidP="0060332C">
      <w:pPr>
        <w:pStyle w:val="CDINumberedList1L1"/>
        <w:divId w:val="935526654"/>
      </w:pPr>
      <w:r>
        <w:t>Medical Dictionary for Regulatory Activities (MedDRA). Standardised MedDRA Queries. [Webpage.] Herndon VA: MedDRA: 2023. Available from: https://www.meddra.org/standardised-meddra-queries.</w:t>
      </w:r>
    </w:p>
    <w:p w14:paraId="3677EF38" w14:textId="77777777" w:rsidR="0060332C" w:rsidRDefault="0060332C" w:rsidP="0060332C">
      <w:pPr>
        <w:pStyle w:val="CDINumberedList1L1"/>
        <w:divId w:val="935526654"/>
      </w:pPr>
      <w:r>
        <w:t xml:space="preserve">Medical Dictionary for Regulatory Agencies (MedDRA). </w:t>
      </w:r>
      <w:r>
        <w:rPr>
          <w:rStyle w:val="Italic"/>
        </w:rPr>
        <w:t>Introductory Guide for Standardised MedDRA Queries (SMQs) (Version 23.0)</w:t>
      </w:r>
      <w:r>
        <w:t>. Geneva: International Council for Harmonisation of Technical Requirements for Pharmaceuticals for Human Use, MedDRA; 2020. Available from: https://admin.meddra.org/sites/default/files/guidance/file/SMQ_intguide_23_0_English.pdf.</w:t>
      </w:r>
    </w:p>
    <w:p w14:paraId="322115AE" w14:textId="77777777" w:rsidR="0060332C" w:rsidRDefault="0060332C" w:rsidP="0060332C">
      <w:pPr>
        <w:pStyle w:val="CDINumberedList1L1"/>
        <w:divId w:val="935526654"/>
      </w:pPr>
      <w:r>
        <w:lastRenderedPageBreak/>
        <w:t xml:space="preserve">WHO. </w:t>
      </w:r>
      <w:r>
        <w:rPr>
          <w:rStyle w:val="Italic"/>
        </w:rPr>
        <w:t>COVID-19 vaccines: safety surveillance manual – Monitoring and responding to adverse events of special interest</w:t>
      </w:r>
      <w:r>
        <w:t>. Geneva: WHO; 22 December 2020. Available from: https://www.who.int/publications/m/item/WHO-MHP-RPQ-PVG-2021.5.</w:t>
      </w:r>
    </w:p>
    <w:p w14:paraId="3A4981FD" w14:textId="77777777" w:rsidR="0060332C" w:rsidRDefault="0060332C" w:rsidP="0060332C">
      <w:pPr>
        <w:pStyle w:val="CDINumberedList1L1"/>
        <w:divId w:val="935526654"/>
      </w:pPr>
      <w:r>
        <w:t xml:space="preserve">Safety Platform for Emergency vACcines (SPEAC). </w:t>
      </w:r>
      <w:r>
        <w:rPr>
          <w:rStyle w:val="Italic"/>
        </w:rPr>
        <w:t>Updated (October 2022) COVID-19 AESI including status of associated Brighton case definitions</w:t>
      </w:r>
      <w:r>
        <w:t>. Basel: Brighton Collaboration, SPEAC; 31 October 2022. Available from: https://brightoncollaboration.us/wp-content/uploads/2022/11/Updated-COVID-19-AESI-list_Oct2022.pdf.</w:t>
      </w:r>
    </w:p>
    <w:p w14:paraId="310C8F38" w14:textId="77777777" w:rsidR="0060332C" w:rsidRDefault="0060332C" w:rsidP="0060332C">
      <w:pPr>
        <w:pStyle w:val="CDINumberedList1L1"/>
        <w:divId w:val="935526654"/>
      </w:pPr>
      <w:r>
        <w:t xml:space="preserve">Law B, SPEAC. </w:t>
      </w:r>
      <w:r>
        <w:rPr>
          <w:rStyle w:val="Italic"/>
        </w:rPr>
        <w:t>SO2 – D2.5.2.1 – AESI Case Definition Companion Guide for 1st Tier AESI: Acute Disseminated Encephalomyelitis (ADEM)</w:t>
      </w:r>
      <w:r>
        <w:t>. Basel: Brighton Collaboration, SPEAC; 11 February 2021. Available from: https://brightoncollaboration.us/wp-content/uploads/2021/03/SPEAC_D2.5.2.1_ADEM-Case-Definition-Companion-Guide_V1.0_format12063-1.pdf.</w:t>
      </w:r>
    </w:p>
    <w:p w14:paraId="49DF15AF" w14:textId="77777777" w:rsidR="0060332C" w:rsidRDefault="0060332C" w:rsidP="0060332C">
      <w:pPr>
        <w:pStyle w:val="CDINumberedList1L1"/>
        <w:divId w:val="935526654"/>
      </w:pPr>
      <w:r>
        <w:t xml:space="preserve">Law B, SPEAC. </w:t>
      </w:r>
      <w:r>
        <w:rPr>
          <w:rStyle w:val="Italic"/>
        </w:rPr>
        <w:t>SO2 – D2.5.2.1 – AESI Case Definition Companion Guide for 1st Tier AESI Anaphylaxis</w:t>
      </w:r>
      <w:r>
        <w:t>. Basel: Brighton Collaboration, SPEAC; 5 February 2021. Available from: https://brightoncollaboration.us/wp-content/uploads/2021/03/SPEAC_D2.5.2.1_Anaphylaxis-Case-Definition-Companion-Guide_V1.0-12070-1.pdf.</w:t>
      </w:r>
    </w:p>
    <w:p w14:paraId="0E4FB936" w14:textId="77777777" w:rsidR="0060332C" w:rsidRDefault="0060332C" w:rsidP="0060332C">
      <w:pPr>
        <w:pStyle w:val="CDINumberedList1L1"/>
        <w:divId w:val="935526654"/>
      </w:pPr>
      <w:r>
        <w:t xml:space="preserve">Law B, SPEAC. </w:t>
      </w:r>
      <w:r>
        <w:rPr>
          <w:rStyle w:val="Italic"/>
        </w:rPr>
        <w:t>SO2 – D2.5.2.1 – AESI Case Definition Companion Guide for 1st Tier AESI: Aseptic Meningitis</w:t>
      </w:r>
      <w:r>
        <w:t>. Basel: Brighton Collaboration, SPEAC; 21 February 2021. Available from: https://brightoncollaboration.us/wp-content/uploads/2021/03/SPEAC_D2.5.2.1_Aseptic-Meningitis-Case-Definition-Companion-Guide_V1.0_format12069-1.pdf.</w:t>
      </w:r>
    </w:p>
    <w:p w14:paraId="23810FE8" w14:textId="77777777" w:rsidR="0060332C" w:rsidRDefault="0060332C" w:rsidP="0060332C">
      <w:pPr>
        <w:pStyle w:val="CDINumberedList1L1"/>
        <w:divId w:val="935526654"/>
      </w:pPr>
      <w:r>
        <w:t xml:space="preserve">Law B, SPEAC. </w:t>
      </w:r>
      <w:r>
        <w:rPr>
          <w:rStyle w:val="Italic"/>
        </w:rPr>
        <w:t>SO2 – D2.5.2.1 – AESI Case Definition Companion Guide for 1st Tier AESI: Facial Nerve Palsy</w:t>
      </w:r>
      <w:r>
        <w:t>. Basel: Brighton Collaboration; 11 February 2021. Available from: https://brightoncollaboration.us/wp-content/uploads/2021/10/SPEAC_D2.5.2.1_Facial-Nerve-Palsy-Case-Definition-Companion-Guide_V1.0_format12067-1.pdf.</w:t>
      </w:r>
    </w:p>
    <w:p w14:paraId="294BEF1B" w14:textId="77777777" w:rsidR="0060332C" w:rsidRDefault="0060332C" w:rsidP="0060332C">
      <w:pPr>
        <w:pStyle w:val="CDINumberedList1L1"/>
        <w:divId w:val="935526654"/>
      </w:pPr>
      <w:r>
        <w:t xml:space="preserve">Law B, SPEAC. </w:t>
      </w:r>
      <w:r>
        <w:rPr>
          <w:rStyle w:val="Italic"/>
        </w:rPr>
        <w:t>SO2 – D2.5.2.1 – AESI Case Definition Companion Guide for 1st Tier AESI: Acute Encephalitis</w:t>
      </w:r>
      <w:r>
        <w:t>. Basel: Brighton Collaboration, SPEAC; 21 February 2021. Available from: https://brightoncollaboration.us/wp-content/uploads/2021/03/SPEAC_D2.5.2.1_Encephalitis-Case-Definition-Companion-Guide_V1.0_format12064-1.pdf.</w:t>
      </w:r>
    </w:p>
    <w:p w14:paraId="61209EA5" w14:textId="77777777" w:rsidR="0060332C" w:rsidRDefault="0060332C" w:rsidP="0060332C">
      <w:pPr>
        <w:pStyle w:val="CDINumberedList1L1"/>
        <w:divId w:val="935526654"/>
      </w:pPr>
      <w:r>
        <w:t xml:space="preserve">Law B, SPEAC. </w:t>
      </w:r>
      <w:r>
        <w:rPr>
          <w:rStyle w:val="Italic"/>
        </w:rPr>
        <w:t>SO2 – D2.5.2.1 – AESI Case Definition Companion Guide for 1st Tier AESI: Generalized Convulsion</w:t>
      </w:r>
      <w:r>
        <w:t>. Basel: Brighton Collaboration, SPEAC; 15 February 2021. Available from: https://brightoncollaboration.us/wp-content/uploads/2021/03/SPEAC_D2.5.2.1_Generalised-Convulsion-Case-Definition-Companion-Guide-V1.0_format12068-1.pdf.</w:t>
      </w:r>
    </w:p>
    <w:p w14:paraId="3B7316DA" w14:textId="77777777" w:rsidR="0060332C" w:rsidRDefault="0060332C" w:rsidP="0060332C">
      <w:pPr>
        <w:pStyle w:val="CDINumberedList1L1"/>
        <w:divId w:val="935526654"/>
      </w:pPr>
      <w:r>
        <w:t xml:space="preserve">Law B, SPEAC. </w:t>
      </w:r>
      <w:r>
        <w:rPr>
          <w:rStyle w:val="Italic"/>
        </w:rPr>
        <w:t>SO2 – D2.5.2.1 – AESI Case Definition Companion Guide for 1st Tier AESI: Guillain Barré and Miller Fisher Syndromes</w:t>
      </w:r>
      <w:r>
        <w:t>. Basel: Brighton Collaboration, SPEAC; 9 February 2021. Available from: https://brightoncollaboration.us/wp-content/uploads/2021/03/SPEAC_D2.5.2.1-GBS-Case-Definition-Companion-Guide_V1.0_format12062-1.pdf.</w:t>
      </w:r>
    </w:p>
    <w:p w14:paraId="49408D26" w14:textId="77777777" w:rsidR="0060332C" w:rsidRDefault="0060332C" w:rsidP="0060332C">
      <w:pPr>
        <w:pStyle w:val="CDINumberedList1L1"/>
        <w:divId w:val="935526654"/>
      </w:pPr>
      <w:r>
        <w:lastRenderedPageBreak/>
        <w:t xml:space="preserve">Law B, SPEAC. </w:t>
      </w:r>
      <w:r>
        <w:rPr>
          <w:rStyle w:val="Italic"/>
        </w:rPr>
        <w:t>SO2 – D2.5.2.2 – AESI Case Definition Companion Guide for 2nd Tier AESI: Myocarditis and Pericarditis</w:t>
      </w:r>
      <w:r>
        <w:t>. Basel: Brighton Collaboration, SPEAC; 13 May 2022. Available from: https://brightoncollaboration.us/wp-content/uploads/2022/05/SPEAC_D2.5.2.2_Myocarditis-companion-guide_codes-updated_BL_2022_May12.pdf.</w:t>
      </w:r>
    </w:p>
    <w:p w14:paraId="4C73D07B" w14:textId="77777777" w:rsidR="0060332C" w:rsidRDefault="0060332C" w:rsidP="0060332C">
      <w:pPr>
        <w:pStyle w:val="CDINumberedList1L1"/>
        <w:divId w:val="935526654"/>
      </w:pPr>
      <w:r>
        <w:t xml:space="preserve">Law B, SPEAC. </w:t>
      </w:r>
      <w:r>
        <w:rPr>
          <w:rStyle w:val="Italic"/>
        </w:rPr>
        <w:t>SO2 – D2.5.2.1 – AESI Case Definition Companion Guide for 1st Tier AESI: Thrombocytopenia</w:t>
      </w:r>
      <w:r>
        <w:t>. Basel: Brighton Collaboration, SPEAC; 8 February 2021. Available from: https://brightoncollaboration.us/wp-content/uploads/2021/03/SPEAC_D2.5.2.1-Thrombocytopenia-Case-Definition-Companion-Guide_V1.0_format12065-1.pdf.</w:t>
      </w:r>
    </w:p>
    <w:p w14:paraId="1211EB2F" w14:textId="77777777" w:rsidR="0060332C" w:rsidRDefault="0060332C" w:rsidP="0060332C">
      <w:pPr>
        <w:pStyle w:val="CDINumberedList1L1"/>
        <w:divId w:val="935526654"/>
      </w:pPr>
      <w:r>
        <w:t xml:space="preserve">Law B, Villaescusa MR, SPEAC. </w:t>
      </w:r>
      <w:r>
        <w:rPr>
          <w:rStyle w:val="Italic"/>
        </w:rPr>
        <w:t>AESI Case Definition Companion Guide: Thrombosis and Thromboembolism</w:t>
      </w:r>
      <w:r>
        <w:t>. Basel: Brighton Collaboration, SPEAC; 10 October 2022. Available from: https://zenodo.org/records/7181081.</w:t>
      </w:r>
    </w:p>
    <w:p w14:paraId="54781E26" w14:textId="77777777" w:rsidR="0060332C" w:rsidRDefault="0060332C" w:rsidP="0060332C">
      <w:pPr>
        <w:pStyle w:val="CDINumberedList1L1"/>
        <w:divId w:val="935526654"/>
      </w:pPr>
      <w:r>
        <w:t xml:space="preserve">National Centre for Immunisation Research and Surveillance (NCIRS). </w:t>
      </w:r>
      <w:r>
        <w:rPr>
          <w:rStyle w:val="Italic"/>
        </w:rPr>
        <w:t>Significant events in COVID-19 vaccination practice in Australia</w:t>
      </w:r>
      <w:r>
        <w:t>. Sydney: NCIRS; April 2023. Available from: https://ncirs.org.au/sites/default/files/2023-04/COVID-19-history-April%202023.pdf.</w:t>
      </w:r>
    </w:p>
    <w:p w14:paraId="1F297ADD" w14:textId="77777777" w:rsidR="0060332C" w:rsidRDefault="0060332C" w:rsidP="0060332C">
      <w:pPr>
        <w:pStyle w:val="CDINumberedList1L1"/>
        <w:divId w:val="935526654"/>
      </w:pPr>
      <w:r>
        <w:t>Uppsala Monitoring Centre. WHO Collaborating Centre for International Drug Monitoring. [Website.] Uppsala: Uppsala Monitoring Centre; 2020. Available from: http://www.who-umc.org/.</w:t>
      </w:r>
    </w:p>
    <w:p w14:paraId="155B28B6" w14:textId="77777777" w:rsidR="0060332C" w:rsidRDefault="0060332C" w:rsidP="0060332C">
      <w:pPr>
        <w:pStyle w:val="CDINumberedList1L1"/>
        <w:divId w:val="935526654"/>
      </w:pPr>
      <w:r>
        <w:t xml:space="preserve">Zhou W, Pool V, Iskander JK, English-Bullard R, Ball R, Wise RP et al. Surveillance for safety after immunization: Vaccine Adverse Event Reporting System (VAERS)—United States, 1991–2001. </w:t>
      </w:r>
      <w:r>
        <w:rPr>
          <w:rStyle w:val="Italic"/>
        </w:rPr>
        <w:t>MMWR Surveill Summ</w:t>
      </w:r>
      <w:r>
        <w:t>. 2003;52(1):1–24.</w:t>
      </w:r>
    </w:p>
    <w:p w14:paraId="653578F9" w14:textId="77777777" w:rsidR="0060332C" w:rsidRDefault="0060332C" w:rsidP="0060332C">
      <w:pPr>
        <w:pStyle w:val="CDINumberedList1L1"/>
        <w:divId w:val="935526654"/>
      </w:pPr>
      <w:r>
        <w:t xml:space="preserve">WHO. </w:t>
      </w:r>
      <w:r>
        <w:rPr>
          <w:rStyle w:val="Italic"/>
        </w:rPr>
        <w:t>Causality assessment of an adverse event following immunization (‎AEFI)‎: user manual for the revised WHO classification</w:t>
      </w:r>
      <w:r>
        <w:t>, 2nd ed., 2019 update. Geneva: WHO; 16 April 2021. Available from: https://www.who.int/publications/i/item/9789241516990.</w:t>
      </w:r>
    </w:p>
    <w:p w14:paraId="4F6EE4C3" w14:textId="77777777" w:rsidR="0060332C" w:rsidRDefault="0060332C" w:rsidP="0060332C">
      <w:pPr>
        <w:pStyle w:val="CDINumberedList1L1"/>
        <w:divId w:val="935526654"/>
      </w:pPr>
      <w:r>
        <w:t>TGA. COVID-19 vaccine weekly safety report - 02-12-2021. [Webpage.] Canberra: Australian Government Department of Health and Aged Care, TGA; 2 December 2021. Available from: https://www.tga.gov.au/news/covid-19-vaccine-safety-reports/covid-19-vaccine-weekly-safety-report-02-12-2021.</w:t>
      </w:r>
    </w:p>
    <w:p w14:paraId="6C4AF3CA" w14:textId="77777777" w:rsidR="0060332C" w:rsidRDefault="0060332C" w:rsidP="0060332C">
      <w:pPr>
        <w:pStyle w:val="CDINumberedList1L1"/>
        <w:divId w:val="935526654"/>
      </w:pPr>
      <w:r>
        <w:t>Australian Bureau of Statistics. National, state and territory population. Reference period: June 2021. [Webpage.] Canberra: Australian Bureau of Standards; 16 December 2021. Available from: https://www.abs.gov.au/statistics/people/population/national-state-and-territory-population/jun-2021.</w:t>
      </w:r>
    </w:p>
    <w:p w14:paraId="12777C41" w14:textId="77777777" w:rsidR="0060332C" w:rsidRPr="004D3BC3" w:rsidRDefault="0060332C" w:rsidP="0060332C">
      <w:pPr>
        <w:pStyle w:val="CDINumberedList1L1"/>
        <w:divId w:val="935526654"/>
      </w:pPr>
      <w:r>
        <w:t>Australian Government: Services Australia. Australian Immunisation Register. [Webpage.]  Canberra: Services Australia</w:t>
      </w:r>
      <w:r w:rsidRPr="004D3BC3">
        <w:t>. Available from: https://www.servicesaustralia.gov.au/australian-immunisation-register.</w:t>
      </w:r>
    </w:p>
    <w:p w14:paraId="0CE6846F" w14:textId="77777777" w:rsidR="0060332C" w:rsidRDefault="0060332C" w:rsidP="0060332C">
      <w:pPr>
        <w:pStyle w:val="CDINumberedList1L1"/>
        <w:divId w:val="935526654"/>
      </w:pPr>
      <w:r>
        <w:t>Australian Government Department of Health and Aged Care, TGA. Database of Adverse Event Notifications. [Internet.] Canberra: Australian Government Department of Health and Aged Care. [Accessed on 26 March 2013.] Available from: http://www.tga.gov.au/safety/daen.htm.</w:t>
      </w:r>
    </w:p>
    <w:p w14:paraId="0273605C" w14:textId="77777777" w:rsidR="0060332C" w:rsidRDefault="0060332C" w:rsidP="0060332C">
      <w:pPr>
        <w:pStyle w:val="CDINumberedList1L1"/>
        <w:divId w:val="935526654"/>
      </w:pPr>
      <w:r>
        <w:lastRenderedPageBreak/>
        <w:t>TGA. COVID-19 vaccine weekly safety report – 06-01-2022. [Webpage.] Canberra: Australian Government Department of Health and Aged Care, TGA; 6 January 2022. Available from: https://www.tga.gov.au/news/covid-19-vaccine-safety-reports/covid-19-vaccine-weekly-safety-report-06-01-2022.</w:t>
      </w:r>
    </w:p>
    <w:p w14:paraId="1F444838" w14:textId="2DCBCD2E" w:rsidR="0060332C" w:rsidRDefault="0060332C" w:rsidP="0060332C">
      <w:pPr>
        <w:pStyle w:val="CDINumberedList1L1"/>
        <w:divId w:val="935526654"/>
      </w:pPr>
      <w:r>
        <w:t xml:space="preserve">Hull B, Hendry A, Dey A, Brotherton J, Macartney K, Beard F. Annual immunisation coverage report 2021 - 14 October 2022. </w:t>
      </w:r>
      <w:r>
        <w:rPr>
          <w:rStyle w:val="Italic"/>
        </w:rPr>
        <w:t>Commun Dis Intell (2018)</w:t>
      </w:r>
      <w:r>
        <w:t>. 2023;47. doi: https://doi.org/10.33321/cdi.2023.47.47.</w:t>
      </w:r>
    </w:p>
    <w:p w14:paraId="199358ED" w14:textId="77777777" w:rsidR="0060332C" w:rsidRDefault="0060332C" w:rsidP="0060332C">
      <w:pPr>
        <w:pStyle w:val="CDINumberedList1L1"/>
        <w:divId w:val="935526654"/>
      </w:pPr>
      <w:r>
        <w:t xml:space="preserve">NCIRS. </w:t>
      </w:r>
      <w:r>
        <w:rPr>
          <w:rStyle w:val="Italic"/>
        </w:rPr>
        <w:t>COVID-19 vaccination – summary for immunisation providers</w:t>
      </w:r>
      <w:r>
        <w:t>. Sydney: NCIRS; 22 October 2021. Available from: https://www.ncirs.org.au/sites/default/files/2021-10/COVID-19%20vaccination%20-%20summary%20for%20immunisation%20providers_22%20Oct%202021_FINAL.pdf.</w:t>
      </w:r>
    </w:p>
    <w:p w14:paraId="44C738A4" w14:textId="77777777" w:rsidR="0060332C" w:rsidRDefault="0060332C" w:rsidP="0060332C">
      <w:pPr>
        <w:pStyle w:val="CDINumberedList1L1"/>
        <w:divId w:val="935526654"/>
      </w:pPr>
      <w:r>
        <w:t xml:space="preserve">TGA. </w:t>
      </w:r>
      <w:r>
        <w:rPr>
          <w:rStyle w:val="Italic"/>
        </w:rPr>
        <w:t>Australian Product Information – Comirnaty™ (BNT162b2 [mRNA]) COVID-19 Vaccine</w:t>
      </w:r>
      <w:r>
        <w:t>. Canberra: Australian Government Department of Health and Aged Care, TGA; 26 October 2021. Available from: https://www.tga.gov.au/sites/default/files/comirnaty-pi.pdf.</w:t>
      </w:r>
    </w:p>
    <w:p w14:paraId="29D4BC6D" w14:textId="77777777" w:rsidR="0060332C" w:rsidRDefault="0060332C" w:rsidP="0060332C">
      <w:pPr>
        <w:pStyle w:val="CDINumberedList1L1"/>
        <w:divId w:val="935526654"/>
      </w:pPr>
      <w:r>
        <w:t xml:space="preserve">TGA. </w:t>
      </w:r>
      <w:r>
        <w:rPr>
          <w:rStyle w:val="Italic"/>
        </w:rPr>
        <w:t>Australian Product Information – Spikevax (Elasomeran) COVID-19 Vaccine</w:t>
      </w:r>
      <w:r>
        <w:t>. Canberra: Australian Government Department of Health and Aged Care, TGA; 9 August 2021. Available from: https://www.ebs.tga.gov.au/ebs/picmi/picmirepository.nsf/pdf?OpenAgent=&amp;id=CP-2021-PI-01968-1.</w:t>
      </w:r>
    </w:p>
    <w:p w14:paraId="614D7B0F" w14:textId="77777777" w:rsidR="0060332C" w:rsidRDefault="0060332C" w:rsidP="0060332C">
      <w:pPr>
        <w:pStyle w:val="CDINumberedList1L1"/>
        <w:divId w:val="935526654"/>
      </w:pPr>
      <w:r>
        <w:t xml:space="preserve">TGA. </w:t>
      </w:r>
      <w:r>
        <w:rPr>
          <w:rStyle w:val="Italic"/>
        </w:rPr>
        <w:t>Australian Product Information Vaxzevria® (previously COVID-19 Vaccine AstraZeneca) (ChAdOx1-S) solution for injection</w:t>
      </w:r>
      <w:r>
        <w:t>. Canberra: Australian Government Department of Health and Aged Care, TGA; 16 February 2021. Available from: https://www.ebs.tga.gov.au/ebs/picmi/picmirepository.nsf/pdf?OpenAgent=&amp;id=CP-2021-PI-01194-1.</w:t>
      </w:r>
    </w:p>
    <w:p w14:paraId="7476EA01" w14:textId="77777777" w:rsidR="0060332C" w:rsidRDefault="0060332C" w:rsidP="0060332C">
      <w:pPr>
        <w:pStyle w:val="CDINumberedList1L1"/>
        <w:divId w:val="935526654"/>
      </w:pPr>
      <w:r>
        <w:t xml:space="preserve">TGA. </w:t>
      </w:r>
      <w:r>
        <w:rPr>
          <w:rStyle w:val="Italic"/>
        </w:rPr>
        <w:t>Australian Product Information – Vaxigrip Tetra® (Influenza Virus Haemagglutinin) Suspension for Injection</w:t>
      </w:r>
      <w:r>
        <w:t>. Canberra: Australian Government Department of Health and Aged Care, TGA; 20 May 2019. Available from: https://www.ebs.tga.gov.au/ebs/picmi/picmirepository.nsf/pdf?OpenAgent&amp;id=CP-2019-PI-01524-1.</w:t>
      </w:r>
    </w:p>
    <w:p w14:paraId="10FC165C" w14:textId="77777777" w:rsidR="0060332C" w:rsidRDefault="0060332C" w:rsidP="0060332C">
      <w:pPr>
        <w:pStyle w:val="CDINumberedList1L1"/>
        <w:divId w:val="935526654"/>
      </w:pPr>
      <w:r>
        <w:t xml:space="preserve">TGA. </w:t>
      </w:r>
      <w:r>
        <w:rPr>
          <w:rStyle w:val="Italic"/>
        </w:rPr>
        <w:t>Australian Product Information Afluria® Quad (influenza virus haemagglutinin)</w:t>
      </w:r>
      <w:r>
        <w:t>. Canberra: Australian Government Department of Health and Aged Care, TGA; 22 July 2016. Available from: https://www.ebs.tga.gov.au/ebs/picmi/picmirepository.nsf/pdf?OpenAgent&amp;id=CP-2020-PI-02487-1.</w:t>
      </w:r>
    </w:p>
    <w:p w14:paraId="31F293C6" w14:textId="77777777" w:rsidR="0060332C" w:rsidRDefault="0060332C" w:rsidP="0060332C">
      <w:pPr>
        <w:pStyle w:val="CDINumberedList1L1"/>
        <w:divId w:val="935526654"/>
      </w:pPr>
      <w:r>
        <w:t xml:space="preserve">TGA. </w:t>
      </w:r>
      <w:r>
        <w:rPr>
          <w:rStyle w:val="Italic"/>
        </w:rPr>
        <w:t>Australian Product Information Fluad® Quad (influenza virus haemagglutinin)</w:t>
      </w:r>
      <w:r>
        <w:t>. Canberra: Australian Government Department of Health and Aged Care, TGA; 1 October 2019. Available from: https://www.ebs.tga.gov.au/ebs/picmi/picmirepository.nsf/pdf?OpenAgent&amp;id=CP-2020-PI-02419-1.</w:t>
      </w:r>
    </w:p>
    <w:p w14:paraId="421BF04A" w14:textId="77777777" w:rsidR="0060332C" w:rsidRDefault="0060332C" w:rsidP="0060332C">
      <w:pPr>
        <w:pStyle w:val="CDINumberedList1L1"/>
        <w:divId w:val="935526654"/>
      </w:pPr>
      <w:r>
        <w:t>Australian Government Department of Health and Aged Care. ATAGI statement on revised recommendations on the use of COVID-19 Vaccine AstraZeneca, 17 June 2021. [Webpage.] Canberra: Australian Government Department of Health and Aged Care; 17 June 2021. Available from: https://www.health.gov.au/news/atagi-statement-on-revised-recommendations-on-the-use-of-covid-19-vaccine-astrazeneca-17-june-2021.</w:t>
      </w:r>
    </w:p>
    <w:p w14:paraId="44DE2D29" w14:textId="77777777" w:rsidR="0060332C" w:rsidRDefault="0060332C" w:rsidP="0060332C">
      <w:pPr>
        <w:pStyle w:val="CDINumberedList1L1"/>
        <w:divId w:val="935526654"/>
      </w:pPr>
      <w:r>
        <w:lastRenderedPageBreak/>
        <w:t xml:space="preserve">Rosenblum HG, Gee J, Liu R, Marquez PL, Zhang B, Strid P et al. Safety of mRNA vaccines administered during the initial 6 months of the US COVID-19 vaccination programme: an observational study of reports to the Vaccine Adverse Event Reporting System and v-safe. </w:t>
      </w:r>
      <w:r>
        <w:rPr>
          <w:rStyle w:val="Italic"/>
        </w:rPr>
        <w:t>Lancet Infect Dis</w:t>
      </w:r>
      <w:r>
        <w:t>. 2022;22(6):802–12. doi: https://doi.org/10.1016/S1473-3099(22)00054-8.</w:t>
      </w:r>
    </w:p>
    <w:p w14:paraId="1A77556A" w14:textId="77777777" w:rsidR="0060332C" w:rsidRDefault="0060332C" w:rsidP="0060332C">
      <w:pPr>
        <w:pStyle w:val="CDINumberedList1L1"/>
        <w:divId w:val="935526654"/>
      </w:pPr>
      <w:r>
        <w:t xml:space="preserve">Australian Capital Territory Government Department of Health (ACT Health). </w:t>
      </w:r>
      <w:r>
        <w:rPr>
          <w:rStyle w:val="Italic"/>
        </w:rPr>
        <w:t>COVID-19 vaccine enhanced surveillance and adverse event following immunisation (AEFI) reporting for healthcare professionals</w:t>
      </w:r>
      <w:r>
        <w:t>. Canberra: ACT Health; 22 February 2021. Available from: https://www.health.act.gov.au/sites/default/files/2021-03/COVID-19%20vaccine%20enhanced%20surveillance%20and%20adverse%20event%20following%20immunisation%20%28AEFI%29%20reporting%20for%20health%20professionals_%20V2.pdf.</w:t>
      </w:r>
    </w:p>
    <w:p w14:paraId="6F147CFA" w14:textId="77777777" w:rsidR="0060332C" w:rsidRDefault="0060332C" w:rsidP="0060332C">
      <w:pPr>
        <w:pStyle w:val="CDINumberedList1L1"/>
        <w:divId w:val="935526654"/>
      </w:pPr>
      <w:r>
        <w:t>New South Wales Government Department of Health (NSW Health). Adverse events following immunisation (AEFI). [Webpage.] Sydney: NSW Health; 2022. Available from: https://www.health.nsw.gov.au/immunisation/Pages/aefi.aspx.</w:t>
      </w:r>
    </w:p>
    <w:p w14:paraId="000B68E0" w14:textId="77777777" w:rsidR="0060332C" w:rsidRDefault="0060332C" w:rsidP="0060332C">
      <w:pPr>
        <w:pStyle w:val="CDINumberedList1L1"/>
        <w:divId w:val="935526654"/>
      </w:pPr>
      <w:r>
        <w:t>Government of Western Australia Department of Health (WA Health). COVID-19 immunisation: safety of COVID-19 vaccines. [Webpage.] Perth: WA Health; 2022. Available from: https://ww2.health.wa.gov.au/Articles/A_E/Coronavirus/COVID19-vaccination-program/Safety-of-COVID19-vaccines.</w:t>
      </w:r>
    </w:p>
    <w:p w14:paraId="50C31C23" w14:textId="77777777" w:rsidR="0060332C" w:rsidRDefault="0060332C" w:rsidP="0060332C">
      <w:pPr>
        <w:pStyle w:val="CDINumberedList1L1"/>
        <w:divId w:val="935526654"/>
      </w:pPr>
      <w:r>
        <w:t>Australian Government Department of Health and Aged Care. Reporting and managing adverse vaccination events. [Webpage.] Canberra: Australian Government Department of Health and Aged Care; 11 July 2023. Available from: https://www.health.gov.au/topics/immunisation/immunisation-information-for-health-professionals/reporting-and-managing-adverse-vaccination-events.</w:t>
      </w:r>
    </w:p>
    <w:p w14:paraId="681B3E7C" w14:textId="77777777" w:rsidR="0060332C" w:rsidRDefault="0060332C" w:rsidP="0060332C">
      <w:pPr>
        <w:pStyle w:val="CDINumberedList1L1"/>
        <w:divId w:val="935526654"/>
      </w:pPr>
      <w:r>
        <w:t>Australian Bureau of Statistics. Causes of Death, Australia: reference period 2022. [Webpage.] Canberra: Australian Bureau of Statistics; 27 September 2023. Available from: https://www.abs.gov.au/statistics/health/causes-death/causes-death-australia/latest-release.</w:t>
      </w:r>
    </w:p>
    <w:p w14:paraId="7839055E" w14:textId="77777777" w:rsidR="0060332C" w:rsidRDefault="0060332C" w:rsidP="0060332C">
      <w:pPr>
        <w:pStyle w:val="CDINumberedList1L1"/>
        <w:divId w:val="935526654"/>
      </w:pPr>
      <w:r>
        <w:t>TGA. COVID-19 vaccine weekly safety report - 17-03-2021. [Webpage.] Canberra: Australian Government Department of Health and Aged Care, TGA; 17 March 2021. Available from: https://www.tga.gov.au/news/covid-19-vaccine-safety-reports/covid-19-vaccine-weekly-safety-report-17-03-2021.</w:t>
      </w:r>
    </w:p>
    <w:p w14:paraId="3E8FDDAF" w14:textId="77777777" w:rsidR="0060332C" w:rsidRDefault="0060332C" w:rsidP="0060332C">
      <w:pPr>
        <w:pStyle w:val="CDINumberedList1L1"/>
        <w:divId w:val="935526654"/>
      </w:pPr>
      <w:r>
        <w:t>TGA. COVID-19 vaccine weekly safety report – 07-04-2021. [Webpage.] Canberra: Australian Government Department of Health and Aged Care, TGA; 7 April 2021. Available from: https://www.tga.gov.au/news/covid-19-vaccine-safety-reports/covid-19-vaccine-weekly-safety-report-07-04-2021.</w:t>
      </w:r>
    </w:p>
    <w:p w14:paraId="30386A34" w14:textId="77777777" w:rsidR="0060332C" w:rsidRDefault="0060332C" w:rsidP="0060332C">
      <w:pPr>
        <w:pStyle w:val="CDINumberedList1L1"/>
        <w:divId w:val="935526654"/>
      </w:pPr>
      <w:r>
        <w:t>TGA. Specific clotting condition reported after COVID-19 vaccination. [Webpage.] Canberra: Australian Government Department of Health and Aged Care, TGA; 2 April 2021. Available from: https://www.tga.gov.au/news/media-releases/specific-clotting-condition-reported-after-covid-19-vaccination.</w:t>
      </w:r>
    </w:p>
    <w:p w14:paraId="7F4F0861" w14:textId="77777777" w:rsidR="0060332C" w:rsidRDefault="0060332C" w:rsidP="0060332C">
      <w:pPr>
        <w:pStyle w:val="CDINumberedList1L1"/>
        <w:divId w:val="935526654"/>
      </w:pPr>
      <w:r>
        <w:lastRenderedPageBreak/>
        <w:t>TGA. AstraZeneca ChAdOx1-S COVID-19 vaccine - Updated safety advisory - rare and unusual blood clotting syndrome (thrombosis with thrombocytopenia). [Webpage.] Canberra: Australian Government Department of Health and Aged Care, TGA; 9 April 2021. Available from: https://www.tga.gov.au/news/media-releases/astrazeneca-chadox1-s-covid-19-vaccine.</w:t>
      </w:r>
    </w:p>
    <w:p w14:paraId="160179FC" w14:textId="77777777" w:rsidR="0060332C" w:rsidRDefault="0060332C" w:rsidP="0060332C">
      <w:pPr>
        <w:pStyle w:val="CDINumberedList1L1"/>
        <w:divId w:val="935526654"/>
      </w:pPr>
      <w:r>
        <w:t>TGA. COVID-19 vaccine weekly safety report – 20-05-2021. [Webpage.] Canberra: Australian Government Department of Health and Aged Care, TGA; 20 May 2021. Available from: https://www.tga.gov.au/news/covid-19-vaccine-safety-reports/covid-19-vaccine-weekly-safety-report-20-05-2021.</w:t>
      </w:r>
    </w:p>
    <w:p w14:paraId="51B17F0E" w14:textId="77777777" w:rsidR="0060332C" w:rsidRDefault="0060332C" w:rsidP="0060332C">
      <w:pPr>
        <w:pStyle w:val="CDINumberedList1L1"/>
        <w:divId w:val="935526654"/>
      </w:pPr>
      <w:r>
        <w:t>TGA. COVID-19 vaccine weekly safety report – 10-06-2021. [Webpage.] Canberra: Australian Government Department of Health and Aged Care, TGA; 10 June 2021. Available from: https://www.tga.gov.au/news/covid-19-vaccine-safety-reports/covid-19-vaccine-weekly-safety-report-10-06-2021.</w:t>
      </w:r>
    </w:p>
    <w:p w14:paraId="21641301" w14:textId="77777777" w:rsidR="0060332C" w:rsidRDefault="0060332C" w:rsidP="0060332C">
      <w:pPr>
        <w:pStyle w:val="CDINumberedList1L1"/>
        <w:divId w:val="935526654"/>
      </w:pPr>
      <w:r>
        <w:t>TGA. Pfizer COVID-19 vaccine (COMIRNATY) – Addition of safety information about myocarditis and pericarditis to Product Information. [Webpage.] Canberra: Australian Government Department of Health and Aged Care, TGA; 23 July 2021. Available from: https://www.tga.gov.au/news/media-releases/pfizer-covid-19-vaccine-comirnaty-addition-safety-information-about-myocarditis-and-pericarditis-product-information.</w:t>
      </w:r>
    </w:p>
    <w:p w14:paraId="1739DBD1" w14:textId="77777777" w:rsidR="0060332C" w:rsidRDefault="0060332C" w:rsidP="0060332C">
      <w:pPr>
        <w:pStyle w:val="CDINumberedList1L1"/>
        <w:divId w:val="935526654"/>
      </w:pPr>
      <w:r>
        <w:t>TGA. COVID-19 vaccine safety reports.  [Webpage.] Canberra: Australian Government Department of Health and Aged Care, TGA; 2021. Available from: https://www.tga.gov.au/news/covid-19-vaccine-safety-reports.</w:t>
      </w:r>
    </w:p>
    <w:p w14:paraId="21B29B39" w14:textId="77777777" w:rsidR="0060332C" w:rsidRDefault="0060332C" w:rsidP="0060332C">
      <w:pPr>
        <w:pStyle w:val="CDINumberedList1L1"/>
        <w:divId w:val="935526654"/>
      </w:pPr>
      <w:r>
        <w:t xml:space="preserve">Australian Government Department of Health and Aged Care. </w:t>
      </w:r>
      <w:r>
        <w:rPr>
          <w:rStyle w:val="Italic"/>
        </w:rPr>
        <w:t>Vaccine safety in Australia. AusVaxSafety summary report 2021</w:t>
      </w:r>
      <w:r>
        <w:t>. Canberra: Australian Government Department of Health and Aged Care; 29 September 2022. Available from: https://www.health.gov.au/resources/publications/vaccine-safety-in-australia-ausvaxsafety-summary-report-2021.</w:t>
      </w:r>
    </w:p>
    <w:p w14:paraId="2D112807" w14:textId="02DEDD53" w:rsidR="007B233F" w:rsidRDefault="0060332C" w:rsidP="007B233F">
      <w:pPr>
        <w:pStyle w:val="CDINumberedList1L1"/>
      </w:pPr>
      <w:r>
        <w:t xml:space="preserve">Deng L, Glover C, Dymock M, Pillsbury A, Marsh JA, Quinn HE et al. The short term safety of COVID-19 vaccines in Australia: AusVaxSafety active surveillance, February – August 2021. </w:t>
      </w:r>
      <w:r w:rsidRPr="007B233F">
        <w:rPr>
          <w:i/>
          <w:iCs/>
        </w:rPr>
        <w:t>Med J Aust</w:t>
      </w:r>
      <w:r>
        <w:t>. 2022;217(4):195–202. doi: https://doi.org/10.5694/mja2.51619.</w:t>
      </w:r>
      <w:r w:rsidR="007B233F">
        <w:br w:type="page"/>
      </w:r>
    </w:p>
    <w:p w14:paraId="6260ED63" w14:textId="77777777" w:rsidR="00AC0F5D" w:rsidRDefault="00AC0F5D" w:rsidP="00AC0F5D">
      <w:pPr>
        <w:pStyle w:val="Heading1"/>
      </w:pPr>
      <w:r>
        <w:lastRenderedPageBreak/>
        <w:t>Appendix A</w:t>
      </w:r>
    </w:p>
    <w:p w14:paraId="3B7FD684" w14:textId="0926B2D9" w:rsidR="00AC0F5D" w:rsidRDefault="007B233F" w:rsidP="00AC0F5D">
      <w:pPr>
        <w:pStyle w:val="CDIFigure-Table-Title"/>
      </w:pPr>
      <w:r w:rsidRPr="007B233F">
        <w:t>Table A.1: Changes in COVID-19 immunisation policy and program and significant safety events in 2021</w:t>
      </w:r>
      <w:r w:rsidRPr="007B233F">
        <w:rPr>
          <w:vertAlign w:val="superscript"/>
        </w:rPr>
        <w:t>24</w:t>
      </w:r>
    </w:p>
    <w:tbl>
      <w:tblPr>
        <w:tblW w:w="0" w:type="auto"/>
        <w:tblInd w:w="-8" w:type="dxa"/>
        <w:tblLayout w:type="fixed"/>
        <w:tblCellMar>
          <w:left w:w="0" w:type="dxa"/>
          <w:right w:w="0" w:type="dxa"/>
        </w:tblCellMar>
        <w:tblLook w:val="0000" w:firstRow="0" w:lastRow="0" w:firstColumn="0" w:lastColumn="0" w:noHBand="0" w:noVBand="0"/>
        <w:tblCaption w:val="Table A.1: Changes in COVID-19 immunisation policy and program and significant safety events in 2021"/>
        <w:tblDescription w:val="Table A.1 describes significant events relating to the COVID-19 immunisation program in Australia in 2021. These events include the introduction of new vaccines and the emergence of notable vaccine safety concerns."/>
      </w:tblPr>
      <w:tblGrid>
        <w:gridCol w:w="1474"/>
        <w:gridCol w:w="8164"/>
      </w:tblGrid>
      <w:tr w:rsidR="004D3BC3" w14:paraId="11DEC725" w14:textId="77777777" w:rsidTr="00D2205D">
        <w:trPr>
          <w:trHeight w:val="20"/>
          <w:tblHeader/>
        </w:trPr>
        <w:tc>
          <w:tcPr>
            <w:tcW w:w="1474" w:type="dxa"/>
            <w:shd w:val="clear" w:color="auto" w:fill="033636" w:themeFill="text2"/>
            <w:tcMar>
              <w:top w:w="113" w:type="dxa"/>
              <w:left w:w="113" w:type="dxa"/>
              <w:bottom w:w="113" w:type="dxa"/>
              <w:right w:w="113" w:type="dxa"/>
            </w:tcMar>
            <w:vAlign w:val="center"/>
          </w:tcPr>
          <w:p w14:paraId="370F7F93" w14:textId="77777777" w:rsidR="004D3BC3" w:rsidRDefault="004D3BC3" w:rsidP="00D2205D">
            <w:pPr>
              <w:pStyle w:val="CDIFigure-Table-H1Left"/>
            </w:pPr>
            <w:r>
              <w:t>Month</w:t>
            </w:r>
          </w:p>
        </w:tc>
        <w:tc>
          <w:tcPr>
            <w:tcW w:w="8164" w:type="dxa"/>
            <w:shd w:val="clear" w:color="auto" w:fill="033636" w:themeFill="text2"/>
            <w:tcMar>
              <w:top w:w="113" w:type="dxa"/>
              <w:left w:w="113" w:type="dxa"/>
              <w:bottom w:w="113" w:type="dxa"/>
              <w:right w:w="113" w:type="dxa"/>
            </w:tcMar>
            <w:vAlign w:val="center"/>
          </w:tcPr>
          <w:p w14:paraId="689E097C" w14:textId="77777777" w:rsidR="004D3BC3" w:rsidRPr="0003381F" w:rsidRDefault="004D3BC3" w:rsidP="0003381F">
            <w:pPr>
              <w:pStyle w:val="CDIFigure-Table-H1Left"/>
            </w:pPr>
            <w:r w:rsidRPr="0003381F">
              <w:t>Change</w:t>
            </w:r>
          </w:p>
        </w:tc>
      </w:tr>
      <w:tr w:rsidR="004D3BC3" w14:paraId="63C59B25" w14:textId="77777777" w:rsidTr="00D2205D">
        <w:trPr>
          <w:trHeight w:val="20"/>
        </w:trPr>
        <w:tc>
          <w:tcPr>
            <w:tcW w:w="147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A8A9BE7" w14:textId="77777777" w:rsidR="004D3BC3" w:rsidRDefault="004D3BC3" w:rsidP="00D2205D">
            <w:pPr>
              <w:pStyle w:val="CDIFigure-Table-BodyTextLeft"/>
            </w:pPr>
            <w:r>
              <w:t>January</w:t>
            </w:r>
          </w:p>
        </w:tc>
        <w:tc>
          <w:tcPr>
            <w:tcW w:w="8164" w:type="dxa"/>
            <w:tcBorders>
              <w:bottom w:val="single" w:sz="4" w:space="0" w:color="033636" w:themeColor="text2"/>
            </w:tcBorders>
            <w:tcMar>
              <w:top w:w="113" w:type="dxa"/>
              <w:left w:w="113" w:type="dxa"/>
              <w:bottom w:w="113" w:type="dxa"/>
              <w:right w:w="113" w:type="dxa"/>
            </w:tcMar>
            <w:vAlign w:val="center"/>
          </w:tcPr>
          <w:p w14:paraId="228BAF02" w14:textId="77777777" w:rsidR="004D3BC3" w:rsidRDefault="004D3BC3" w:rsidP="00D2205D">
            <w:pPr>
              <w:pStyle w:val="CDIFigure-Table-BodyTextLeft"/>
            </w:pPr>
            <w:r>
              <w:t xml:space="preserve">Comirnaty approved for ≥ 16 years by TGA </w:t>
            </w:r>
          </w:p>
        </w:tc>
      </w:tr>
      <w:tr w:rsidR="004D3BC3" w14:paraId="457EF11C" w14:textId="77777777" w:rsidTr="00D2205D">
        <w:trPr>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EDDB5DB" w14:textId="77777777" w:rsidR="004D3BC3" w:rsidRDefault="004D3BC3" w:rsidP="00D2205D">
            <w:pPr>
              <w:pStyle w:val="CDIFigure-Table-BodyTextLeft"/>
            </w:pPr>
            <w:r>
              <w:t>February</w:t>
            </w:r>
          </w:p>
        </w:tc>
        <w:tc>
          <w:tcPr>
            <w:tcW w:w="8164" w:type="dxa"/>
            <w:tcBorders>
              <w:top w:val="single" w:sz="4" w:space="0" w:color="033636" w:themeColor="text2"/>
            </w:tcBorders>
            <w:tcMar>
              <w:top w:w="113" w:type="dxa"/>
              <w:left w:w="113" w:type="dxa"/>
              <w:bottom w:w="113" w:type="dxa"/>
              <w:right w:w="113" w:type="dxa"/>
            </w:tcMar>
            <w:vAlign w:val="center"/>
          </w:tcPr>
          <w:p w14:paraId="0A965D1E" w14:textId="77777777" w:rsidR="004D3BC3" w:rsidRDefault="004D3BC3" w:rsidP="00D2205D">
            <w:pPr>
              <w:pStyle w:val="CDIFigure-Table-BodyTextLeft"/>
            </w:pPr>
            <w:r>
              <w:t xml:space="preserve">Vaxzevria approved for ≥ 18 years by TGA </w:t>
            </w:r>
          </w:p>
        </w:tc>
      </w:tr>
      <w:tr w:rsidR="004D3BC3" w14:paraId="525438B2" w14:textId="77777777" w:rsidTr="00D2205D">
        <w:trPr>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31F49544"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0F0F203B" w14:textId="44C01149" w:rsidR="004D3BC3" w:rsidRDefault="004D3BC3" w:rsidP="00D2205D">
            <w:pPr>
              <w:pStyle w:val="CDIFigure-Table-BodyTextLeft"/>
            </w:pPr>
            <w:r>
              <w:t>COVID-19 vaccination commences for Phase 1a population group, with Comirnaty</w:t>
            </w:r>
          </w:p>
        </w:tc>
      </w:tr>
      <w:tr w:rsidR="004D3BC3" w14:paraId="5C3CBF75"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40FE686" w14:textId="77777777" w:rsidR="004D3BC3" w:rsidRDefault="004D3BC3" w:rsidP="00D2205D">
            <w:pPr>
              <w:pStyle w:val="CDIFigure-Table-BodyTextLeft"/>
            </w:pPr>
            <w:r>
              <w:t>March</w:t>
            </w:r>
          </w:p>
        </w:tc>
        <w:tc>
          <w:tcPr>
            <w:tcW w:w="8164" w:type="dxa"/>
            <w:tcBorders>
              <w:top w:val="single" w:sz="4" w:space="0" w:color="033636" w:themeColor="text2"/>
            </w:tcBorders>
            <w:tcMar>
              <w:top w:w="113" w:type="dxa"/>
              <w:left w:w="113" w:type="dxa"/>
              <w:bottom w:w="113" w:type="dxa"/>
              <w:right w:w="113" w:type="dxa"/>
            </w:tcMar>
            <w:vAlign w:val="center"/>
          </w:tcPr>
          <w:p w14:paraId="710B5EB2" w14:textId="77777777" w:rsidR="004D3BC3" w:rsidRDefault="004D3BC3" w:rsidP="00D2205D">
            <w:pPr>
              <w:pStyle w:val="CDIFigure-Table-BodyTextLeft"/>
            </w:pPr>
            <w:r>
              <w:t xml:space="preserve">COVID-19 vaccination with Vaxzevria commences </w:t>
            </w:r>
          </w:p>
        </w:tc>
      </w:tr>
      <w:tr w:rsidR="004D3BC3" w14:paraId="06DFA56C"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2189E1D1"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41A8E17F" w14:textId="768B692D" w:rsidR="004D3BC3" w:rsidRDefault="004D3BC3" w:rsidP="00D2205D">
            <w:pPr>
              <w:pStyle w:val="CDIFigure-Table-BodyTextLeft"/>
            </w:pPr>
            <w:r>
              <w:t>COVID-19 vaccination commences for Phase 1b population group</w:t>
            </w:r>
          </w:p>
        </w:tc>
      </w:tr>
      <w:tr w:rsidR="004D3BC3" w14:paraId="086F97ED"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CD9E35F" w14:textId="77777777" w:rsidR="004D3BC3" w:rsidRDefault="004D3BC3" w:rsidP="00D2205D">
            <w:pPr>
              <w:pStyle w:val="CDIFigure-Table-BodyTextLeft"/>
            </w:pPr>
            <w:r>
              <w:t>April</w:t>
            </w:r>
          </w:p>
        </w:tc>
        <w:tc>
          <w:tcPr>
            <w:tcW w:w="8164" w:type="dxa"/>
            <w:tcBorders>
              <w:top w:val="single" w:sz="4" w:space="0" w:color="033636" w:themeColor="text2"/>
            </w:tcBorders>
            <w:tcMar>
              <w:top w:w="113" w:type="dxa"/>
              <w:left w:w="113" w:type="dxa"/>
              <w:bottom w:w="113" w:type="dxa"/>
              <w:right w:w="113" w:type="dxa"/>
            </w:tcMar>
            <w:vAlign w:val="center"/>
          </w:tcPr>
          <w:p w14:paraId="5DF483C2" w14:textId="77777777" w:rsidR="004D3BC3" w:rsidRDefault="004D3BC3" w:rsidP="00D2205D">
            <w:pPr>
              <w:pStyle w:val="CDIFigure-Table-BodyTextLeft"/>
            </w:pPr>
            <w:r>
              <w:t xml:space="preserve">First thrombosis with thrombocytopenia syndrome case reported in Australia </w:t>
            </w:r>
          </w:p>
        </w:tc>
      </w:tr>
      <w:tr w:rsidR="004D3BC3" w14:paraId="31AF3BF2"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3C240889"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4D683467" w14:textId="77777777" w:rsidR="004D3BC3" w:rsidRDefault="004D3BC3" w:rsidP="00D2205D">
            <w:pPr>
              <w:pStyle w:val="CDIFigure-Table-BodyTextLeft"/>
            </w:pPr>
            <w:r>
              <w:t xml:space="preserve">ATAGI recommends preferential use of Comirnaty to Vaxzevria in &lt; 50-year-olds due to risk of TTS </w:t>
            </w:r>
          </w:p>
        </w:tc>
      </w:tr>
      <w:tr w:rsidR="004D3BC3" w14:paraId="15C815A2"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A9B754D" w14:textId="77777777" w:rsidR="004D3BC3" w:rsidRDefault="004D3BC3" w:rsidP="00D2205D">
            <w:pPr>
              <w:pStyle w:val="CDIFigure-Table-BodyTextLeft"/>
            </w:pPr>
            <w:r>
              <w:t>May</w:t>
            </w:r>
          </w:p>
        </w:tc>
        <w:tc>
          <w:tcPr>
            <w:tcW w:w="8164" w:type="dxa"/>
            <w:tcBorders>
              <w:top w:val="single" w:sz="4" w:space="0" w:color="033636" w:themeColor="text2"/>
            </w:tcBorders>
            <w:tcMar>
              <w:top w:w="113" w:type="dxa"/>
              <w:left w:w="113" w:type="dxa"/>
              <w:bottom w:w="113" w:type="dxa"/>
              <w:right w:w="113" w:type="dxa"/>
            </w:tcMar>
            <w:vAlign w:val="center"/>
          </w:tcPr>
          <w:p w14:paraId="28EFE244" w14:textId="77777777" w:rsidR="004D3BC3" w:rsidRDefault="004D3BC3" w:rsidP="00D2205D">
            <w:pPr>
              <w:pStyle w:val="CDIFigure-Table-BodyTextLeft"/>
            </w:pPr>
            <w:r>
              <w:t>COVID-19 vaccination commences for Phase 2a population group</w:t>
            </w:r>
          </w:p>
        </w:tc>
      </w:tr>
      <w:tr w:rsidR="004D3BC3" w14:paraId="31E131F7"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37F2B3E8"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74EC8CC4" w14:textId="77777777" w:rsidR="004D3BC3" w:rsidRDefault="004D3BC3" w:rsidP="00D2205D">
            <w:pPr>
              <w:pStyle w:val="CDIFigure-Table-BodyTextLeft"/>
            </w:pPr>
            <w:r>
              <w:t xml:space="preserve">First reports of myocarditis following Comirnaty in Australia </w:t>
            </w:r>
          </w:p>
        </w:tc>
      </w:tr>
      <w:tr w:rsidR="004D3BC3" w14:paraId="6B6B94F9"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746A6D3" w14:textId="77777777" w:rsidR="004D3BC3" w:rsidRDefault="004D3BC3" w:rsidP="00D2205D">
            <w:pPr>
              <w:pStyle w:val="CDIFigure-Table-BodyTextLeft"/>
            </w:pPr>
            <w:r>
              <w:t>June</w:t>
            </w:r>
          </w:p>
        </w:tc>
        <w:tc>
          <w:tcPr>
            <w:tcW w:w="8164" w:type="dxa"/>
            <w:tcBorders>
              <w:top w:val="single" w:sz="4" w:space="0" w:color="033636" w:themeColor="text2"/>
            </w:tcBorders>
            <w:tcMar>
              <w:top w:w="113" w:type="dxa"/>
              <w:left w:w="113" w:type="dxa"/>
              <w:bottom w:w="113" w:type="dxa"/>
              <w:right w:w="113" w:type="dxa"/>
            </w:tcMar>
            <w:vAlign w:val="center"/>
          </w:tcPr>
          <w:p w14:paraId="5C7ABB2D" w14:textId="77777777" w:rsidR="004D3BC3" w:rsidRDefault="004D3BC3" w:rsidP="00D2205D">
            <w:pPr>
              <w:pStyle w:val="CDIFigure-Table-BodyTextLeft"/>
            </w:pPr>
            <w:r>
              <w:t xml:space="preserve">ATAGI recommends preferential use of Comirnaty to Vaxzevria in &lt; 60-year-olds due to risk of TTS </w:t>
            </w:r>
          </w:p>
        </w:tc>
      </w:tr>
      <w:tr w:rsidR="004D3BC3" w14:paraId="7C53C496" w14:textId="77777777" w:rsidTr="00D2205D">
        <w:trPr>
          <w:trHeight w:val="20"/>
        </w:trPr>
        <w:tc>
          <w:tcPr>
            <w:tcW w:w="1474" w:type="dxa"/>
            <w:vMerge/>
            <w:shd w:val="clear" w:color="auto" w:fill="C5FFEF" w:themeFill="background2" w:themeFillTint="33"/>
          </w:tcPr>
          <w:p w14:paraId="193EF651" w14:textId="77777777" w:rsidR="004D3BC3" w:rsidRDefault="004D3BC3" w:rsidP="00D2205D">
            <w:pPr>
              <w:pStyle w:val="CDIFigure-Table-BodyTextLeft"/>
            </w:pPr>
          </w:p>
        </w:tc>
        <w:tc>
          <w:tcPr>
            <w:tcW w:w="8164" w:type="dxa"/>
            <w:tcMar>
              <w:top w:w="113" w:type="dxa"/>
              <w:left w:w="113" w:type="dxa"/>
              <w:bottom w:w="113" w:type="dxa"/>
              <w:right w:w="113" w:type="dxa"/>
            </w:tcMar>
            <w:vAlign w:val="center"/>
          </w:tcPr>
          <w:p w14:paraId="1F7C3D98" w14:textId="77777777" w:rsidR="004D3BC3" w:rsidRDefault="004D3BC3" w:rsidP="00D2205D">
            <w:pPr>
              <w:pStyle w:val="CDIFigure-Table-BodyTextLeft"/>
            </w:pPr>
            <w:r>
              <w:t>ATAGI/RANZCOG</w:t>
            </w:r>
            <w:r>
              <w:rPr>
                <w:rStyle w:val="Superscript"/>
              </w:rPr>
              <w:t>a</w:t>
            </w:r>
            <w:r>
              <w:t xml:space="preserve"> recommends COVID-19 vaccination for pregnant women</w:t>
            </w:r>
          </w:p>
        </w:tc>
      </w:tr>
      <w:tr w:rsidR="004D3BC3" w14:paraId="0748E6F7"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34A99C90"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69E813B5" w14:textId="77777777" w:rsidR="004D3BC3" w:rsidRDefault="004D3BC3" w:rsidP="00D2205D">
            <w:pPr>
              <w:pStyle w:val="CDIFigure-Table-BodyTextLeft"/>
            </w:pPr>
            <w:r>
              <w:t>Janssen approved for ≥ 18 years by TGA</w:t>
            </w:r>
            <w:r w:rsidRPr="00D2205D">
              <w:rPr>
                <w:rStyle w:val="Superscript"/>
              </w:rPr>
              <w:t>b</w:t>
            </w:r>
          </w:p>
        </w:tc>
      </w:tr>
      <w:tr w:rsidR="004D3BC3" w14:paraId="3FAEFFCE"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2D14DE7" w14:textId="77777777" w:rsidR="004D3BC3" w:rsidRDefault="004D3BC3" w:rsidP="00D2205D">
            <w:pPr>
              <w:pStyle w:val="CDIFigure-Table-BodyTextLeft"/>
            </w:pPr>
            <w:r>
              <w:t>July</w:t>
            </w:r>
          </w:p>
        </w:tc>
        <w:tc>
          <w:tcPr>
            <w:tcW w:w="8164" w:type="dxa"/>
            <w:tcBorders>
              <w:top w:val="single" w:sz="4" w:space="0" w:color="033636" w:themeColor="text2"/>
            </w:tcBorders>
            <w:tcMar>
              <w:top w:w="113" w:type="dxa"/>
              <w:left w:w="113" w:type="dxa"/>
              <w:bottom w:w="113" w:type="dxa"/>
              <w:right w:w="113" w:type="dxa"/>
            </w:tcMar>
            <w:vAlign w:val="center"/>
          </w:tcPr>
          <w:p w14:paraId="02A644EE" w14:textId="77777777" w:rsidR="004D3BC3" w:rsidRDefault="004D3BC3" w:rsidP="00D2205D">
            <w:pPr>
              <w:pStyle w:val="CDIFigure-Table-BodyTextLeft"/>
            </w:pPr>
            <w:r>
              <w:t xml:space="preserve">ATAGI recommends individuals ≥18 years to receive any available vaccine, including Vaxzevria </w:t>
            </w:r>
          </w:p>
        </w:tc>
      </w:tr>
      <w:tr w:rsidR="004D3BC3" w14:paraId="48BABC84" w14:textId="77777777" w:rsidTr="00D2205D">
        <w:trPr>
          <w:trHeight w:val="20"/>
        </w:trPr>
        <w:tc>
          <w:tcPr>
            <w:tcW w:w="1474" w:type="dxa"/>
            <w:vMerge/>
            <w:shd w:val="clear" w:color="auto" w:fill="C5FFEF" w:themeFill="background2" w:themeFillTint="33"/>
          </w:tcPr>
          <w:p w14:paraId="37985529" w14:textId="77777777" w:rsidR="004D3BC3" w:rsidRDefault="004D3BC3" w:rsidP="00D2205D">
            <w:pPr>
              <w:pStyle w:val="CDIFigure-Table-BodyTextLeft"/>
            </w:pPr>
          </w:p>
        </w:tc>
        <w:tc>
          <w:tcPr>
            <w:tcW w:w="8164" w:type="dxa"/>
            <w:tcMar>
              <w:top w:w="113" w:type="dxa"/>
              <w:left w:w="113" w:type="dxa"/>
              <w:bottom w:w="113" w:type="dxa"/>
              <w:right w:w="113" w:type="dxa"/>
            </w:tcMar>
            <w:vAlign w:val="center"/>
          </w:tcPr>
          <w:p w14:paraId="6A07CFC6" w14:textId="77777777" w:rsidR="004D3BC3" w:rsidRDefault="004D3BC3" w:rsidP="00D2205D">
            <w:pPr>
              <w:pStyle w:val="CDIFigure-Table-BodyTextLeft"/>
            </w:pPr>
            <w:r>
              <w:t xml:space="preserve">ATAGI advises the dose interval between first and second dose of Vaxzevria can be short-ened to 4 weeks in outbreak situations </w:t>
            </w:r>
          </w:p>
        </w:tc>
      </w:tr>
      <w:tr w:rsidR="004D3BC3" w14:paraId="4D736996"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3EDEE8C6"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0894BF16" w14:textId="77777777" w:rsidR="004D3BC3" w:rsidRDefault="004D3BC3" w:rsidP="00D2205D">
            <w:pPr>
              <w:pStyle w:val="CDIFigure-Table-BodyTextLeft"/>
            </w:pPr>
            <w:r>
              <w:t xml:space="preserve">Comirnaty approved for 12–15 years by TGA </w:t>
            </w:r>
          </w:p>
        </w:tc>
      </w:tr>
      <w:tr w:rsidR="004D3BC3" w14:paraId="0095AB36"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FA67AFA" w14:textId="77777777" w:rsidR="004D3BC3" w:rsidRDefault="004D3BC3" w:rsidP="00D2205D">
            <w:pPr>
              <w:pStyle w:val="CDIFigure-Table-BodyTextLeft"/>
            </w:pPr>
            <w:r>
              <w:t>August</w:t>
            </w:r>
          </w:p>
        </w:tc>
        <w:tc>
          <w:tcPr>
            <w:tcW w:w="8164" w:type="dxa"/>
            <w:tcBorders>
              <w:top w:val="single" w:sz="4" w:space="0" w:color="033636" w:themeColor="text2"/>
            </w:tcBorders>
            <w:tcMar>
              <w:top w:w="113" w:type="dxa"/>
              <w:left w:w="113" w:type="dxa"/>
              <w:bottom w:w="113" w:type="dxa"/>
              <w:right w:w="113" w:type="dxa"/>
            </w:tcMar>
            <w:vAlign w:val="center"/>
          </w:tcPr>
          <w:p w14:paraId="10C8C0B5" w14:textId="77777777" w:rsidR="004D3BC3" w:rsidRDefault="004D3BC3" w:rsidP="00D2205D">
            <w:pPr>
              <w:pStyle w:val="CDIFigure-Table-BodyTextLeft"/>
            </w:pPr>
            <w:r>
              <w:t>Spikevax approved for ≥ 18 years by TGA</w:t>
            </w:r>
          </w:p>
        </w:tc>
      </w:tr>
      <w:tr w:rsidR="004D3BC3" w14:paraId="71248023"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08D5E6BA"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11011237" w14:textId="77777777" w:rsidR="004D3BC3" w:rsidRDefault="004D3BC3" w:rsidP="00D2205D">
            <w:pPr>
              <w:pStyle w:val="CDIFigure-Table-BodyTextLeft"/>
            </w:pPr>
            <w:r>
              <w:t>COVID-19 vaccination commences for Phase 2b population</w:t>
            </w:r>
          </w:p>
        </w:tc>
      </w:tr>
      <w:tr w:rsidR="004D3BC3" w14:paraId="57EBF15D"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054B118" w14:textId="77777777" w:rsidR="004D3BC3" w:rsidRDefault="004D3BC3" w:rsidP="00D2205D">
            <w:pPr>
              <w:pStyle w:val="CDIFigure-Table-BodyTextLeft"/>
            </w:pPr>
            <w:r>
              <w:t>September</w:t>
            </w:r>
          </w:p>
        </w:tc>
        <w:tc>
          <w:tcPr>
            <w:tcW w:w="8164" w:type="dxa"/>
            <w:tcBorders>
              <w:top w:val="single" w:sz="4" w:space="0" w:color="033636" w:themeColor="text2"/>
            </w:tcBorders>
            <w:tcMar>
              <w:top w:w="113" w:type="dxa"/>
              <w:left w:w="113" w:type="dxa"/>
              <w:bottom w:w="113" w:type="dxa"/>
              <w:right w:w="113" w:type="dxa"/>
            </w:tcMar>
            <w:vAlign w:val="center"/>
          </w:tcPr>
          <w:p w14:paraId="6C1AB703" w14:textId="77777777" w:rsidR="004D3BC3" w:rsidRDefault="004D3BC3" w:rsidP="00D2205D">
            <w:pPr>
              <w:pStyle w:val="CDIFigure-Table-BodyTextLeft"/>
            </w:pPr>
            <w:r>
              <w:t xml:space="preserve">Spikevax approved for ≥12 years by TGA </w:t>
            </w:r>
          </w:p>
        </w:tc>
      </w:tr>
      <w:tr w:rsidR="004D3BC3" w14:paraId="52FD5361" w14:textId="77777777" w:rsidTr="00D2205D">
        <w:trPr>
          <w:trHeight w:val="20"/>
        </w:trPr>
        <w:tc>
          <w:tcPr>
            <w:tcW w:w="1474" w:type="dxa"/>
            <w:vMerge/>
            <w:shd w:val="clear" w:color="auto" w:fill="C5FFEF" w:themeFill="background2" w:themeFillTint="33"/>
          </w:tcPr>
          <w:p w14:paraId="11975F9E" w14:textId="77777777" w:rsidR="004D3BC3" w:rsidRDefault="004D3BC3" w:rsidP="00D2205D">
            <w:pPr>
              <w:pStyle w:val="CDIFigure-Table-BodyTextLeft"/>
            </w:pPr>
          </w:p>
        </w:tc>
        <w:tc>
          <w:tcPr>
            <w:tcW w:w="8164" w:type="dxa"/>
            <w:tcMar>
              <w:top w:w="113" w:type="dxa"/>
              <w:left w:w="113" w:type="dxa"/>
              <w:bottom w:w="113" w:type="dxa"/>
              <w:right w:w="113" w:type="dxa"/>
            </w:tcMar>
            <w:vAlign w:val="center"/>
          </w:tcPr>
          <w:p w14:paraId="773BFA46" w14:textId="77777777" w:rsidR="004D3BC3" w:rsidRDefault="004D3BC3" w:rsidP="00D2205D">
            <w:pPr>
              <w:pStyle w:val="CDIFigure-Table-BodyTextLeft"/>
            </w:pPr>
            <w:r>
              <w:t xml:space="preserve">COVID-19 vaccination with Spikevax commences </w:t>
            </w:r>
          </w:p>
        </w:tc>
      </w:tr>
      <w:tr w:rsidR="004D3BC3" w14:paraId="290A6DCB"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5B748521"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20243B7A" w14:textId="77777777" w:rsidR="004D3BC3" w:rsidRDefault="004D3BC3" w:rsidP="00D2205D">
            <w:pPr>
              <w:pStyle w:val="CDIFigure-Table-BodyTextLeft"/>
            </w:pPr>
            <w:r>
              <w:t>COVID-19 vaccination commences for Phase 3 population</w:t>
            </w:r>
          </w:p>
        </w:tc>
      </w:tr>
      <w:tr w:rsidR="004D3BC3" w14:paraId="60E139B2" w14:textId="77777777" w:rsidTr="00D2205D">
        <w:trPr>
          <w:trHeight w:val="20"/>
        </w:trPr>
        <w:tc>
          <w:tcPr>
            <w:tcW w:w="1474"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022E09D" w14:textId="77777777" w:rsidR="004D3BC3" w:rsidRDefault="004D3BC3" w:rsidP="00D2205D">
            <w:pPr>
              <w:pStyle w:val="CDIFigure-Table-BodyTextLeft"/>
            </w:pPr>
            <w:r>
              <w:t>October</w:t>
            </w:r>
          </w:p>
        </w:tc>
        <w:tc>
          <w:tcPr>
            <w:tcW w:w="8164"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50F8EAD" w14:textId="77777777" w:rsidR="004D3BC3" w:rsidRDefault="004D3BC3" w:rsidP="00D2205D">
            <w:pPr>
              <w:pStyle w:val="CDIFigure-Table-BodyTextLeft"/>
            </w:pPr>
            <w:r>
              <w:t>Comirnaty booster dose approved for ≥ 18 years by TGA</w:t>
            </w:r>
          </w:p>
        </w:tc>
      </w:tr>
      <w:tr w:rsidR="004D3BC3" w14:paraId="6BD73C58" w14:textId="77777777" w:rsidTr="00D2205D">
        <w:trPr>
          <w:trHeight w:val="20"/>
        </w:trPr>
        <w:tc>
          <w:tcPr>
            <w:tcW w:w="1474"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B6F3A01" w14:textId="77777777" w:rsidR="004D3BC3" w:rsidRDefault="004D3BC3" w:rsidP="00D2205D">
            <w:pPr>
              <w:pStyle w:val="CDIFigure-Table-BodyTextLeft"/>
            </w:pPr>
            <w:r>
              <w:t>November</w:t>
            </w:r>
          </w:p>
        </w:tc>
        <w:tc>
          <w:tcPr>
            <w:tcW w:w="8164"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511181F" w14:textId="77777777" w:rsidR="004D3BC3" w:rsidRDefault="004D3BC3" w:rsidP="00D2205D">
            <w:pPr>
              <w:pStyle w:val="CDIFigure-Table-BodyTextLeft"/>
            </w:pPr>
            <w:r>
              <w:t xml:space="preserve">COVID-19 booster program commences </w:t>
            </w:r>
          </w:p>
        </w:tc>
      </w:tr>
      <w:tr w:rsidR="004D3BC3" w14:paraId="1DB98D4E" w14:textId="77777777" w:rsidTr="00D2205D">
        <w:trPr>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B32E911" w14:textId="77777777" w:rsidR="004D3BC3" w:rsidRDefault="004D3BC3" w:rsidP="00D2205D">
            <w:pPr>
              <w:pStyle w:val="CDIFigure-Table-BodyTextLeft"/>
            </w:pPr>
            <w:r>
              <w:t>December</w:t>
            </w:r>
          </w:p>
        </w:tc>
        <w:tc>
          <w:tcPr>
            <w:tcW w:w="8164" w:type="dxa"/>
            <w:tcBorders>
              <w:top w:val="single" w:sz="4" w:space="0" w:color="033636" w:themeColor="text2"/>
            </w:tcBorders>
            <w:tcMar>
              <w:top w:w="113" w:type="dxa"/>
              <w:left w:w="113" w:type="dxa"/>
              <w:bottom w:w="113" w:type="dxa"/>
              <w:right w:w="113" w:type="dxa"/>
            </w:tcMar>
            <w:vAlign w:val="center"/>
          </w:tcPr>
          <w:p w14:paraId="2B23F6A3" w14:textId="77777777" w:rsidR="004D3BC3" w:rsidRDefault="004D3BC3" w:rsidP="00D2205D">
            <w:pPr>
              <w:pStyle w:val="CDIFigure-Table-BodyTextLeft"/>
            </w:pPr>
            <w:r>
              <w:t>Spikevax booster dose approved for for ≥18 years by TGA</w:t>
            </w:r>
          </w:p>
        </w:tc>
      </w:tr>
      <w:tr w:rsidR="004D3BC3" w14:paraId="10CB149A" w14:textId="77777777" w:rsidTr="00D2205D">
        <w:trPr>
          <w:trHeight w:val="20"/>
        </w:trPr>
        <w:tc>
          <w:tcPr>
            <w:tcW w:w="1474" w:type="dxa"/>
            <w:vMerge/>
            <w:tcBorders>
              <w:bottom w:val="single" w:sz="4" w:space="0" w:color="033636" w:themeColor="text2"/>
            </w:tcBorders>
            <w:shd w:val="clear" w:color="auto" w:fill="C5FFEF" w:themeFill="background2" w:themeFillTint="33"/>
          </w:tcPr>
          <w:p w14:paraId="726EA4C0" w14:textId="77777777" w:rsidR="004D3BC3" w:rsidRDefault="004D3BC3" w:rsidP="00D2205D">
            <w:pPr>
              <w:pStyle w:val="CDIFigure-Table-BodyTextLeft"/>
            </w:pPr>
          </w:p>
        </w:tc>
        <w:tc>
          <w:tcPr>
            <w:tcW w:w="8164" w:type="dxa"/>
            <w:tcBorders>
              <w:bottom w:val="single" w:sz="4" w:space="0" w:color="033636" w:themeColor="text2"/>
            </w:tcBorders>
            <w:tcMar>
              <w:top w:w="113" w:type="dxa"/>
              <w:left w:w="113" w:type="dxa"/>
              <w:bottom w:w="113" w:type="dxa"/>
              <w:right w:w="113" w:type="dxa"/>
            </w:tcMar>
            <w:vAlign w:val="center"/>
          </w:tcPr>
          <w:p w14:paraId="19B35B87" w14:textId="77777777" w:rsidR="004D3BC3" w:rsidRDefault="004D3BC3" w:rsidP="00D2205D">
            <w:pPr>
              <w:pStyle w:val="CDIFigure-Table-BodyTextLeft"/>
            </w:pPr>
            <w:r>
              <w:t>Comirnaty approved for 5–11 years by TGA</w:t>
            </w:r>
            <w:r>
              <w:rPr>
                <w:rStyle w:val="Superscript"/>
              </w:rPr>
              <w:t>b</w:t>
            </w:r>
          </w:p>
        </w:tc>
      </w:tr>
    </w:tbl>
    <w:p w14:paraId="4FEC12EE" w14:textId="77777777" w:rsidR="004D3BC3" w:rsidRDefault="004D3BC3" w:rsidP="004D3BC3">
      <w:pPr>
        <w:pStyle w:val="CDIFigure-Table-FirstFootnote"/>
      </w:pPr>
      <w:r>
        <w:t>a</w:t>
      </w:r>
      <w:r>
        <w:tab/>
        <w:t>RANZGOC: Royal Australian and New Zealand College of Obstetricians and Gynaecologists.</w:t>
      </w:r>
    </w:p>
    <w:p w14:paraId="315AD9DC" w14:textId="2E9F13B2" w:rsidR="007B233F" w:rsidRDefault="004D3BC3" w:rsidP="004D3BC3">
      <w:pPr>
        <w:pStyle w:val="CDIFigure-Table-Footnote"/>
      </w:pPr>
      <w:r>
        <w:t>b</w:t>
      </w:r>
      <w:r>
        <w:tab/>
        <w:t>Vaccine not used or not in circulation.</w:t>
      </w:r>
    </w:p>
    <w:p w14:paraId="2F4C12D9" w14:textId="667045FC" w:rsidR="00AC0F5D" w:rsidRDefault="004D3BC3" w:rsidP="004D3BC3">
      <w:pPr>
        <w:pStyle w:val="CDIFigure-Table-Titlemorespacebefore"/>
      </w:pPr>
      <w:r w:rsidRPr="004D3BC3">
        <w:lastRenderedPageBreak/>
        <w:t>Table A.2: National COVID-19 vaccination program phases</w:t>
      </w:r>
    </w:p>
    <w:tbl>
      <w:tblPr>
        <w:tblW w:w="0" w:type="auto"/>
        <w:tblInd w:w="-8" w:type="dxa"/>
        <w:tblLayout w:type="fixed"/>
        <w:tblCellMar>
          <w:left w:w="0" w:type="dxa"/>
          <w:right w:w="0" w:type="dxa"/>
        </w:tblCellMar>
        <w:tblLook w:val="0000" w:firstRow="0" w:lastRow="0" w:firstColumn="0" w:lastColumn="0" w:noHBand="0" w:noVBand="0"/>
        <w:tblCaption w:val="Table A.2: National COVID-19 vaccination program phases"/>
        <w:tblDescription w:val="Table A.2 describes the population groups eligible for COVID-19 vaccination under each phase of the initial national COVID-19 program rollout in Australia."/>
      </w:tblPr>
      <w:tblGrid>
        <w:gridCol w:w="1077"/>
        <w:gridCol w:w="8561"/>
      </w:tblGrid>
      <w:tr w:rsidR="004D3BC3" w14:paraId="5F4FB732" w14:textId="77777777" w:rsidTr="00D2205D">
        <w:trPr>
          <w:trHeight w:val="20"/>
          <w:tblHeader/>
        </w:trPr>
        <w:tc>
          <w:tcPr>
            <w:tcW w:w="1077" w:type="dxa"/>
            <w:shd w:val="solid" w:color="033636" w:fill="auto"/>
            <w:tcMar>
              <w:top w:w="113" w:type="dxa"/>
              <w:left w:w="113" w:type="dxa"/>
              <w:bottom w:w="113" w:type="dxa"/>
              <w:right w:w="113" w:type="dxa"/>
            </w:tcMar>
            <w:vAlign w:val="center"/>
          </w:tcPr>
          <w:p w14:paraId="639B63E9" w14:textId="77777777" w:rsidR="004D3BC3" w:rsidRDefault="004D3BC3" w:rsidP="00D2205D">
            <w:pPr>
              <w:pStyle w:val="CDIFigure-Table-H1Left"/>
            </w:pPr>
            <w:r>
              <w:t>Phase</w:t>
            </w:r>
          </w:p>
        </w:tc>
        <w:tc>
          <w:tcPr>
            <w:tcW w:w="8561" w:type="dxa"/>
            <w:shd w:val="solid" w:color="033636" w:fill="auto"/>
            <w:tcMar>
              <w:top w:w="113" w:type="dxa"/>
              <w:left w:w="113" w:type="dxa"/>
              <w:bottom w:w="113" w:type="dxa"/>
              <w:right w:w="113" w:type="dxa"/>
            </w:tcMar>
            <w:vAlign w:val="center"/>
          </w:tcPr>
          <w:p w14:paraId="5B54CD2A" w14:textId="77777777" w:rsidR="004D3BC3" w:rsidRDefault="004D3BC3" w:rsidP="00D2205D">
            <w:pPr>
              <w:pStyle w:val="CDIFigure-Table-H1Left"/>
            </w:pPr>
            <w:r>
              <w:t>Population group</w:t>
            </w:r>
          </w:p>
        </w:tc>
      </w:tr>
      <w:tr w:rsidR="004D3BC3" w14:paraId="31B6CE04" w14:textId="77777777" w:rsidTr="009B2B5F">
        <w:trPr>
          <w:trHeight w:val="20"/>
        </w:trPr>
        <w:tc>
          <w:tcPr>
            <w:tcW w:w="1077" w:type="dxa"/>
            <w:vMerge w:val="restart"/>
            <w:shd w:val="clear" w:color="auto" w:fill="C5FFEF" w:themeFill="background2" w:themeFillTint="33"/>
            <w:tcMar>
              <w:top w:w="113" w:type="dxa"/>
              <w:left w:w="113" w:type="dxa"/>
              <w:bottom w:w="113" w:type="dxa"/>
              <w:right w:w="113" w:type="dxa"/>
            </w:tcMar>
            <w:vAlign w:val="center"/>
          </w:tcPr>
          <w:p w14:paraId="1033EB6F" w14:textId="77777777" w:rsidR="004D3BC3" w:rsidRDefault="004D3BC3" w:rsidP="00D2205D">
            <w:pPr>
              <w:pStyle w:val="CDIFigure-Table-BodyTextLeft"/>
            </w:pPr>
            <w:r>
              <w:t>1a</w:t>
            </w:r>
          </w:p>
        </w:tc>
        <w:tc>
          <w:tcPr>
            <w:tcW w:w="8561" w:type="dxa"/>
            <w:tcMar>
              <w:top w:w="113" w:type="dxa"/>
              <w:left w:w="113" w:type="dxa"/>
              <w:bottom w:w="113" w:type="dxa"/>
              <w:right w:w="113" w:type="dxa"/>
            </w:tcMar>
            <w:vAlign w:val="center"/>
          </w:tcPr>
          <w:p w14:paraId="32DBB4E0" w14:textId="77777777" w:rsidR="004D3BC3" w:rsidRDefault="004D3BC3" w:rsidP="009B2B5F">
            <w:pPr>
              <w:pStyle w:val="CDIFigure-Table-Bullets"/>
            </w:pPr>
            <w:r>
              <w:t>Quarantine and border workers</w:t>
            </w:r>
          </w:p>
        </w:tc>
      </w:tr>
      <w:tr w:rsidR="004D3BC3" w14:paraId="4A323C6E" w14:textId="77777777" w:rsidTr="009B2B5F">
        <w:trPr>
          <w:trHeight w:val="20"/>
        </w:trPr>
        <w:tc>
          <w:tcPr>
            <w:tcW w:w="1077" w:type="dxa"/>
            <w:vMerge/>
            <w:shd w:val="clear" w:color="auto" w:fill="C5FFEF" w:themeFill="background2" w:themeFillTint="33"/>
          </w:tcPr>
          <w:p w14:paraId="4D0A44B9"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1DFB3BCF" w14:textId="77777777" w:rsidR="004D3BC3" w:rsidRDefault="004D3BC3" w:rsidP="009B2B5F">
            <w:pPr>
              <w:pStyle w:val="CDIFigure-Table-Bullets"/>
            </w:pPr>
            <w:r>
              <w:t>Frontline health care workers</w:t>
            </w:r>
          </w:p>
        </w:tc>
      </w:tr>
      <w:tr w:rsidR="004D3BC3" w14:paraId="5950F225" w14:textId="77777777" w:rsidTr="00DD41CC">
        <w:trPr>
          <w:trHeight w:val="322"/>
        </w:trPr>
        <w:tc>
          <w:tcPr>
            <w:tcW w:w="1077" w:type="dxa"/>
            <w:vMerge/>
            <w:shd w:val="clear" w:color="auto" w:fill="C5FFEF" w:themeFill="background2" w:themeFillTint="33"/>
          </w:tcPr>
          <w:p w14:paraId="044525B3"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6BC4006B" w14:textId="77777777" w:rsidR="004D3BC3" w:rsidRDefault="004D3BC3" w:rsidP="009B2B5F">
            <w:pPr>
              <w:pStyle w:val="CDIFigure-Table-Bullets"/>
            </w:pPr>
            <w:r>
              <w:t>Aged care and disability care staff</w:t>
            </w:r>
          </w:p>
        </w:tc>
      </w:tr>
      <w:tr w:rsidR="004D3BC3" w14:paraId="3F90CCD1" w14:textId="77777777" w:rsidTr="009B2B5F">
        <w:trPr>
          <w:trHeight w:val="20"/>
        </w:trPr>
        <w:tc>
          <w:tcPr>
            <w:tcW w:w="1077" w:type="dxa"/>
            <w:vMerge/>
            <w:tcBorders>
              <w:bottom w:val="single" w:sz="4" w:space="0" w:color="033636" w:themeColor="text2"/>
            </w:tcBorders>
            <w:shd w:val="clear" w:color="auto" w:fill="C5FFEF" w:themeFill="background2" w:themeFillTint="33"/>
          </w:tcPr>
          <w:p w14:paraId="1166573A" w14:textId="77777777" w:rsidR="004D3BC3" w:rsidRDefault="004D3BC3" w:rsidP="00D2205D">
            <w:pPr>
              <w:pStyle w:val="CDIFigure-Table-BodyTextLeft"/>
            </w:pPr>
          </w:p>
        </w:tc>
        <w:tc>
          <w:tcPr>
            <w:tcW w:w="8561" w:type="dxa"/>
            <w:tcBorders>
              <w:bottom w:val="single" w:sz="4" w:space="0" w:color="033636" w:themeColor="text2"/>
            </w:tcBorders>
            <w:tcMar>
              <w:top w:w="113" w:type="dxa"/>
              <w:left w:w="113" w:type="dxa"/>
              <w:bottom w:w="113" w:type="dxa"/>
              <w:right w:w="113" w:type="dxa"/>
            </w:tcMar>
            <w:vAlign w:val="center"/>
          </w:tcPr>
          <w:p w14:paraId="1E2D011F" w14:textId="77777777" w:rsidR="004D3BC3" w:rsidRDefault="004D3BC3" w:rsidP="009B2B5F">
            <w:pPr>
              <w:pStyle w:val="CDIFigure-Table-Bullets"/>
            </w:pPr>
            <w:r>
              <w:t>Aged care and disability care residents</w:t>
            </w:r>
          </w:p>
        </w:tc>
      </w:tr>
      <w:tr w:rsidR="004D3BC3" w14:paraId="4093EEBE" w14:textId="77777777" w:rsidTr="009B2B5F">
        <w:trPr>
          <w:trHeight w:val="20"/>
        </w:trPr>
        <w:tc>
          <w:tcPr>
            <w:tcW w:w="107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10E3D80" w14:textId="77777777" w:rsidR="004D3BC3" w:rsidRDefault="004D3BC3" w:rsidP="00D2205D">
            <w:pPr>
              <w:pStyle w:val="CDIFigure-Table-BodyTextLeft"/>
            </w:pPr>
            <w:r>
              <w:t>1b</w:t>
            </w:r>
          </w:p>
        </w:tc>
        <w:tc>
          <w:tcPr>
            <w:tcW w:w="8561" w:type="dxa"/>
            <w:tcBorders>
              <w:top w:val="single" w:sz="4" w:space="0" w:color="033636" w:themeColor="text2"/>
            </w:tcBorders>
            <w:tcMar>
              <w:top w:w="113" w:type="dxa"/>
              <w:left w:w="113" w:type="dxa"/>
              <w:bottom w:w="113" w:type="dxa"/>
              <w:right w:w="113" w:type="dxa"/>
            </w:tcMar>
            <w:vAlign w:val="center"/>
          </w:tcPr>
          <w:p w14:paraId="0A5A2D99" w14:textId="77777777" w:rsidR="004D3BC3" w:rsidRDefault="004D3BC3" w:rsidP="009B2B5F">
            <w:pPr>
              <w:pStyle w:val="CDIFigure-Table-Bullets"/>
            </w:pPr>
            <w:r>
              <w:t>Healthcare workers currently employed and not included in Phase 1a</w:t>
            </w:r>
          </w:p>
        </w:tc>
      </w:tr>
      <w:tr w:rsidR="004D3BC3" w14:paraId="10C68747" w14:textId="77777777" w:rsidTr="009B2B5F">
        <w:trPr>
          <w:trHeight w:val="20"/>
        </w:trPr>
        <w:tc>
          <w:tcPr>
            <w:tcW w:w="1077" w:type="dxa"/>
            <w:vMerge/>
            <w:shd w:val="clear" w:color="auto" w:fill="C5FFEF" w:themeFill="background2" w:themeFillTint="33"/>
          </w:tcPr>
          <w:p w14:paraId="063AD6A7"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1A49802A" w14:textId="77777777" w:rsidR="004D3BC3" w:rsidRDefault="004D3BC3" w:rsidP="009B2B5F">
            <w:pPr>
              <w:pStyle w:val="CDIFigure-Table-Bullets"/>
            </w:pPr>
            <w:r>
              <w:t>Household contacts of quarantine and border workers</w:t>
            </w:r>
          </w:p>
        </w:tc>
      </w:tr>
      <w:tr w:rsidR="004D3BC3" w14:paraId="7A004C62" w14:textId="77777777" w:rsidTr="009B2B5F">
        <w:trPr>
          <w:trHeight w:val="20"/>
        </w:trPr>
        <w:tc>
          <w:tcPr>
            <w:tcW w:w="1077" w:type="dxa"/>
            <w:vMerge/>
            <w:shd w:val="clear" w:color="auto" w:fill="C5FFEF" w:themeFill="background2" w:themeFillTint="33"/>
          </w:tcPr>
          <w:p w14:paraId="2B40753A"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62DE0204" w14:textId="77777777" w:rsidR="004D3BC3" w:rsidRDefault="004D3BC3" w:rsidP="009B2B5F">
            <w:pPr>
              <w:pStyle w:val="CDIFigure-Table-Bullets"/>
            </w:pPr>
            <w:r>
              <w:t>Critical and high risk workers who are currently employed including defence, police, fire, emergency services and meat processing</w:t>
            </w:r>
          </w:p>
        </w:tc>
      </w:tr>
      <w:tr w:rsidR="004D3BC3" w14:paraId="0D1A9A29" w14:textId="77777777" w:rsidTr="009B2B5F">
        <w:trPr>
          <w:trHeight w:val="20"/>
        </w:trPr>
        <w:tc>
          <w:tcPr>
            <w:tcW w:w="1077" w:type="dxa"/>
            <w:vMerge/>
            <w:shd w:val="clear" w:color="auto" w:fill="C5FFEF" w:themeFill="background2" w:themeFillTint="33"/>
          </w:tcPr>
          <w:p w14:paraId="787F523F"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47832476" w14:textId="77777777" w:rsidR="004D3BC3" w:rsidRDefault="004D3BC3" w:rsidP="009B2B5F">
            <w:pPr>
              <w:pStyle w:val="CDIFigure-Table-Bullets"/>
            </w:pPr>
            <w:r>
              <w:t>Essential outbound travellers with a travel exemption</w:t>
            </w:r>
          </w:p>
        </w:tc>
      </w:tr>
      <w:tr w:rsidR="004D3BC3" w14:paraId="172C0C3E" w14:textId="77777777" w:rsidTr="009B2B5F">
        <w:trPr>
          <w:trHeight w:val="20"/>
        </w:trPr>
        <w:tc>
          <w:tcPr>
            <w:tcW w:w="1077" w:type="dxa"/>
            <w:vMerge/>
            <w:shd w:val="clear" w:color="auto" w:fill="C5FFEF" w:themeFill="background2" w:themeFillTint="33"/>
          </w:tcPr>
          <w:p w14:paraId="5098E1D2"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141C27B5" w14:textId="77777777" w:rsidR="004D3BC3" w:rsidRDefault="004D3BC3" w:rsidP="009B2B5F">
            <w:pPr>
              <w:pStyle w:val="CDIFigure-Table-Bullets"/>
            </w:pPr>
            <w:r>
              <w:t>Elderly people aged ≥ 80 years</w:t>
            </w:r>
          </w:p>
        </w:tc>
      </w:tr>
      <w:tr w:rsidR="004D3BC3" w14:paraId="6006E0AB" w14:textId="77777777" w:rsidTr="009B2B5F">
        <w:trPr>
          <w:trHeight w:val="20"/>
        </w:trPr>
        <w:tc>
          <w:tcPr>
            <w:tcW w:w="1077" w:type="dxa"/>
            <w:vMerge/>
            <w:shd w:val="clear" w:color="auto" w:fill="C5FFEF" w:themeFill="background2" w:themeFillTint="33"/>
          </w:tcPr>
          <w:p w14:paraId="0FDE76ED"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648511C0" w14:textId="77777777" w:rsidR="004D3BC3" w:rsidRDefault="004D3BC3" w:rsidP="009B2B5F">
            <w:pPr>
              <w:pStyle w:val="CDIFigure-Table-Bullets"/>
            </w:pPr>
            <w:r>
              <w:t>Elderly people aged ≥ 70 years</w:t>
            </w:r>
          </w:p>
        </w:tc>
      </w:tr>
      <w:tr w:rsidR="004D3BC3" w14:paraId="2E7E28E5" w14:textId="77777777" w:rsidTr="009B2B5F">
        <w:trPr>
          <w:trHeight w:val="20"/>
        </w:trPr>
        <w:tc>
          <w:tcPr>
            <w:tcW w:w="1077" w:type="dxa"/>
            <w:vMerge/>
            <w:shd w:val="clear" w:color="auto" w:fill="C5FFEF" w:themeFill="background2" w:themeFillTint="33"/>
          </w:tcPr>
          <w:p w14:paraId="02E5EBDF"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49968521" w14:textId="77777777" w:rsidR="004D3BC3" w:rsidRDefault="004D3BC3" w:rsidP="009B2B5F">
            <w:pPr>
              <w:pStyle w:val="CDIFigure-Table-Bullets"/>
            </w:pPr>
            <w:r>
              <w:t>Aboriginal and Torres Strait Islander people aged ≥ 50 years</w:t>
            </w:r>
          </w:p>
        </w:tc>
      </w:tr>
      <w:tr w:rsidR="004D3BC3" w14:paraId="4954D8D2" w14:textId="77777777" w:rsidTr="009B2B5F">
        <w:trPr>
          <w:trHeight w:val="20"/>
        </w:trPr>
        <w:tc>
          <w:tcPr>
            <w:tcW w:w="1077" w:type="dxa"/>
            <w:vMerge/>
            <w:tcBorders>
              <w:bottom w:val="single" w:sz="4" w:space="0" w:color="033636" w:themeColor="text2"/>
            </w:tcBorders>
            <w:shd w:val="clear" w:color="auto" w:fill="C5FFEF" w:themeFill="background2" w:themeFillTint="33"/>
          </w:tcPr>
          <w:p w14:paraId="38F3A4DF" w14:textId="77777777" w:rsidR="004D3BC3" w:rsidRDefault="004D3BC3" w:rsidP="00D2205D">
            <w:pPr>
              <w:pStyle w:val="CDIFigure-Table-BodyTextLeft"/>
            </w:pPr>
          </w:p>
        </w:tc>
        <w:tc>
          <w:tcPr>
            <w:tcW w:w="8561" w:type="dxa"/>
            <w:tcBorders>
              <w:bottom w:val="single" w:sz="4" w:space="0" w:color="033636" w:themeColor="text2"/>
            </w:tcBorders>
            <w:tcMar>
              <w:top w:w="113" w:type="dxa"/>
              <w:left w:w="113" w:type="dxa"/>
              <w:bottom w:w="113" w:type="dxa"/>
              <w:right w:w="113" w:type="dxa"/>
            </w:tcMar>
            <w:vAlign w:val="center"/>
          </w:tcPr>
          <w:p w14:paraId="7608C405" w14:textId="77777777" w:rsidR="004D3BC3" w:rsidRDefault="004D3BC3" w:rsidP="009B2B5F">
            <w:pPr>
              <w:pStyle w:val="CDIFigure-Table-Bullets"/>
            </w:pPr>
            <w:r>
              <w:t>Adults with an underlying medical condition or significant disability</w:t>
            </w:r>
          </w:p>
        </w:tc>
      </w:tr>
      <w:tr w:rsidR="004D3BC3" w14:paraId="52632E18" w14:textId="77777777" w:rsidTr="009B2B5F">
        <w:trPr>
          <w:trHeight w:val="20"/>
        </w:trPr>
        <w:tc>
          <w:tcPr>
            <w:tcW w:w="107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70EC46F" w14:textId="77777777" w:rsidR="004D3BC3" w:rsidRDefault="004D3BC3" w:rsidP="00D2205D">
            <w:pPr>
              <w:pStyle w:val="CDIFigure-Table-BodyTextLeft"/>
            </w:pPr>
            <w:r>
              <w:t>2a</w:t>
            </w:r>
          </w:p>
        </w:tc>
        <w:tc>
          <w:tcPr>
            <w:tcW w:w="8561" w:type="dxa"/>
            <w:tcBorders>
              <w:top w:val="single" w:sz="4" w:space="0" w:color="033636" w:themeColor="text2"/>
            </w:tcBorders>
            <w:tcMar>
              <w:top w:w="113" w:type="dxa"/>
              <w:left w:w="113" w:type="dxa"/>
              <w:bottom w:w="113" w:type="dxa"/>
              <w:right w:w="113" w:type="dxa"/>
            </w:tcMar>
            <w:vAlign w:val="center"/>
          </w:tcPr>
          <w:p w14:paraId="6C92AF7D" w14:textId="50BC549F" w:rsidR="004D3BC3" w:rsidRDefault="004D3BC3" w:rsidP="009B2B5F">
            <w:pPr>
              <w:pStyle w:val="CDIFigure-Table-Bullets"/>
            </w:pPr>
            <w:r>
              <w:t>People aged ≥ 50 year</w:t>
            </w:r>
            <w:r w:rsidR="00C0195D">
              <w:t>s</w:t>
            </w:r>
          </w:p>
        </w:tc>
      </w:tr>
      <w:tr w:rsidR="004D3BC3" w14:paraId="05D5DE8F" w14:textId="77777777" w:rsidTr="009B2B5F">
        <w:trPr>
          <w:trHeight w:val="20"/>
        </w:trPr>
        <w:tc>
          <w:tcPr>
            <w:tcW w:w="1077" w:type="dxa"/>
            <w:vMerge/>
            <w:shd w:val="clear" w:color="auto" w:fill="C5FFEF" w:themeFill="background2" w:themeFillTint="33"/>
          </w:tcPr>
          <w:p w14:paraId="41EC26E9" w14:textId="77777777" w:rsidR="004D3BC3" w:rsidRDefault="004D3BC3" w:rsidP="00D2205D">
            <w:pPr>
              <w:pStyle w:val="CDIFigure-Table-BodyTextLeft"/>
            </w:pPr>
          </w:p>
        </w:tc>
        <w:tc>
          <w:tcPr>
            <w:tcW w:w="8561" w:type="dxa"/>
            <w:tcMar>
              <w:top w:w="113" w:type="dxa"/>
              <w:left w:w="113" w:type="dxa"/>
              <w:bottom w:w="113" w:type="dxa"/>
              <w:right w:w="113" w:type="dxa"/>
            </w:tcMar>
            <w:vAlign w:val="center"/>
          </w:tcPr>
          <w:p w14:paraId="1B9D8A78" w14:textId="77777777" w:rsidR="004D3BC3" w:rsidRDefault="004D3BC3" w:rsidP="009B2B5F">
            <w:pPr>
              <w:pStyle w:val="CDIFigure-Table-Bullets"/>
            </w:pPr>
            <w:r>
              <w:t>Aboriginal and Torres Strait Islander people ≥ 16–49 years</w:t>
            </w:r>
          </w:p>
        </w:tc>
      </w:tr>
      <w:tr w:rsidR="004D3BC3" w14:paraId="7A2EC585" w14:textId="77777777" w:rsidTr="009B2B5F">
        <w:trPr>
          <w:trHeight w:val="20"/>
        </w:trPr>
        <w:tc>
          <w:tcPr>
            <w:tcW w:w="1077" w:type="dxa"/>
            <w:vMerge/>
            <w:tcBorders>
              <w:bottom w:val="single" w:sz="4" w:space="0" w:color="033636" w:themeColor="text2"/>
            </w:tcBorders>
            <w:shd w:val="clear" w:color="auto" w:fill="C5FFEF" w:themeFill="background2" w:themeFillTint="33"/>
          </w:tcPr>
          <w:p w14:paraId="78C7D9EE" w14:textId="77777777" w:rsidR="004D3BC3" w:rsidRDefault="004D3BC3" w:rsidP="00D2205D">
            <w:pPr>
              <w:pStyle w:val="CDIFigure-Table-BodyTextLeft"/>
            </w:pPr>
          </w:p>
        </w:tc>
        <w:tc>
          <w:tcPr>
            <w:tcW w:w="8561" w:type="dxa"/>
            <w:tcBorders>
              <w:bottom w:val="single" w:sz="4" w:space="0" w:color="033636" w:themeColor="text2"/>
            </w:tcBorders>
            <w:tcMar>
              <w:top w:w="113" w:type="dxa"/>
              <w:left w:w="113" w:type="dxa"/>
              <w:bottom w:w="113" w:type="dxa"/>
              <w:right w:w="113" w:type="dxa"/>
            </w:tcMar>
            <w:vAlign w:val="center"/>
          </w:tcPr>
          <w:p w14:paraId="26007254" w14:textId="77777777" w:rsidR="004D3BC3" w:rsidRDefault="004D3BC3" w:rsidP="009B2B5F">
            <w:pPr>
              <w:pStyle w:val="CDIFigure-Table-Bullets"/>
            </w:pPr>
            <w:r>
              <w:t>Other critical and high risk workers</w:t>
            </w:r>
          </w:p>
        </w:tc>
      </w:tr>
      <w:tr w:rsidR="004D3BC3" w14:paraId="7BD07F14" w14:textId="77777777" w:rsidTr="009B2B5F">
        <w:trPr>
          <w:trHeight w:val="20"/>
        </w:trPr>
        <w:tc>
          <w:tcPr>
            <w:tcW w:w="1077"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F5C8AAE" w14:textId="77777777" w:rsidR="004D3BC3" w:rsidRDefault="004D3BC3" w:rsidP="00D2205D">
            <w:pPr>
              <w:pStyle w:val="CDIFigure-Table-BodyTextLeft"/>
            </w:pPr>
            <w:r>
              <w:t>2b</w:t>
            </w:r>
          </w:p>
        </w:tc>
        <w:tc>
          <w:tcPr>
            <w:tcW w:w="8561"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4C412FB8" w14:textId="77777777" w:rsidR="004D3BC3" w:rsidRDefault="004D3BC3" w:rsidP="009B2B5F">
            <w:pPr>
              <w:pStyle w:val="CDIFigure-Table-Bullets"/>
            </w:pPr>
            <w:r>
              <w:t>People aged 16–49 years</w:t>
            </w:r>
          </w:p>
        </w:tc>
      </w:tr>
      <w:tr w:rsidR="004D3BC3" w14:paraId="7BE0B022" w14:textId="77777777" w:rsidTr="009B2B5F">
        <w:trPr>
          <w:trHeight w:val="20"/>
        </w:trPr>
        <w:tc>
          <w:tcPr>
            <w:tcW w:w="1077"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8A82F49" w14:textId="77777777" w:rsidR="004D3BC3" w:rsidRDefault="004D3BC3" w:rsidP="00D2205D">
            <w:pPr>
              <w:pStyle w:val="CDIFigure-Table-BodyTextLeft"/>
            </w:pPr>
            <w:r>
              <w:t>3</w:t>
            </w:r>
          </w:p>
        </w:tc>
        <w:tc>
          <w:tcPr>
            <w:tcW w:w="8561"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72AB14D" w14:textId="77777777" w:rsidR="004D3BC3" w:rsidRDefault="004D3BC3" w:rsidP="009B2B5F">
            <w:pPr>
              <w:pStyle w:val="CDIFigure-Table-Bullets"/>
            </w:pPr>
            <w:r>
              <w:t>People aged &lt; 16 years</w:t>
            </w:r>
          </w:p>
        </w:tc>
      </w:tr>
    </w:tbl>
    <w:p w14:paraId="162A7031" w14:textId="7DCAE6FD" w:rsidR="004D3BC3" w:rsidRDefault="004D3BC3" w:rsidP="004D3BC3">
      <w:pPr>
        <w:pStyle w:val="CDIFigure-Table-Titlemorespacebefore"/>
      </w:pPr>
      <w:r w:rsidRPr="004D3BC3">
        <w:t>Table A.3: Description of PT to SMQ mapping</w:t>
      </w:r>
    </w:p>
    <w:tbl>
      <w:tblPr>
        <w:tblW w:w="9638" w:type="dxa"/>
        <w:tblInd w:w="-8" w:type="dxa"/>
        <w:tblLayout w:type="fixed"/>
        <w:tblCellMar>
          <w:left w:w="0" w:type="dxa"/>
          <w:right w:w="0" w:type="dxa"/>
        </w:tblCellMar>
        <w:tblLook w:val="0000" w:firstRow="0" w:lastRow="0" w:firstColumn="0" w:lastColumn="0" w:noHBand="0" w:noVBand="0"/>
        <w:tblCaption w:val="Table A.3: Description of PT to SMQ mapping"/>
        <w:tblDescription w:val="Table A.3 describes the procedure for determining the MedDRA term used in this article to describe a reported adverse event, when zero, one, or more than one standardised MedDRA queries (SMQ) were retrieved for the event."/>
      </w:tblPr>
      <w:tblGrid>
        <w:gridCol w:w="2551"/>
        <w:gridCol w:w="7087"/>
      </w:tblGrid>
      <w:tr w:rsidR="004D3BC3" w14:paraId="47909F01" w14:textId="77777777" w:rsidTr="009B2B5F">
        <w:trPr>
          <w:trHeight w:val="20"/>
          <w:tblHeader/>
        </w:trPr>
        <w:tc>
          <w:tcPr>
            <w:tcW w:w="2551" w:type="dxa"/>
            <w:shd w:val="clear" w:color="auto" w:fill="033636" w:themeFill="text2"/>
            <w:tcMar>
              <w:top w:w="113" w:type="dxa"/>
              <w:left w:w="113" w:type="dxa"/>
              <w:bottom w:w="113" w:type="dxa"/>
              <w:right w:w="113" w:type="dxa"/>
            </w:tcMar>
            <w:vAlign w:val="center"/>
          </w:tcPr>
          <w:p w14:paraId="66E5AF2D" w14:textId="77777777" w:rsidR="004D3BC3" w:rsidRDefault="004D3BC3" w:rsidP="009B2B5F">
            <w:pPr>
              <w:pStyle w:val="CDIFigure-Table-H1Left"/>
            </w:pPr>
            <w:r>
              <w:t>Number of SMQs mapped</w:t>
            </w:r>
          </w:p>
        </w:tc>
        <w:tc>
          <w:tcPr>
            <w:tcW w:w="7087" w:type="dxa"/>
            <w:shd w:val="clear" w:color="auto" w:fill="033636" w:themeFill="text2"/>
            <w:tcMar>
              <w:top w:w="113" w:type="dxa"/>
              <w:left w:w="113" w:type="dxa"/>
              <w:bottom w:w="113" w:type="dxa"/>
              <w:right w:w="113" w:type="dxa"/>
            </w:tcMar>
            <w:vAlign w:val="center"/>
          </w:tcPr>
          <w:p w14:paraId="147E2CFD" w14:textId="77777777" w:rsidR="004D3BC3" w:rsidRDefault="004D3BC3" w:rsidP="009B2B5F">
            <w:pPr>
              <w:pStyle w:val="CDIFigure-Table-H1Left"/>
            </w:pPr>
            <w:r>
              <w:t>Term reported</w:t>
            </w:r>
          </w:p>
        </w:tc>
      </w:tr>
      <w:tr w:rsidR="004D3BC3" w14:paraId="3BCA11BE" w14:textId="77777777" w:rsidTr="009B2B5F">
        <w:trPr>
          <w:trHeight w:val="20"/>
        </w:trPr>
        <w:tc>
          <w:tcPr>
            <w:tcW w:w="2551" w:type="dxa"/>
            <w:shd w:val="clear" w:color="auto" w:fill="F2F2F2" w:themeFill="background1" w:themeFillShade="F2"/>
            <w:tcMar>
              <w:top w:w="113" w:type="dxa"/>
              <w:left w:w="113" w:type="dxa"/>
              <w:bottom w:w="113" w:type="dxa"/>
              <w:right w:w="113" w:type="dxa"/>
            </w:tcMar>
            <w:vAlign w:val="center"/>
          </w:tcPr>
          <w:p w14:paraId="1230D2F1" w14:textId="77777777" w:rsidR="004D3BC3" w:rsidRDefault="004D3BC3" w:rsidP="009B2B5F">
            <w:pPr>
              <w:pStyle w:val="CDIFigure-Table-BodyTextLeft"/>
            </w:pPr>
            <w:r>
              <w:t>0</w:t>
            </w:r>
          </w:p>
        </w:tc>
        <w:tc>
          <w:tcPr>
            <w:tcW w:w="7087" w:type="dxa"/>
            <w:shd w:val="clear" w:color="auto" w:fill="F2F2F2" w:themeFill="background1" w:themeFillShade="F2"/>
            <w:tcMar>
              <w:top w:w="113" w:type="dxa"/>
              <w:left w:w="113" w:type="dxa"/>
              <w:bottom w:w="113" w:type="dxa"/>
              <w:right w:w="113" w:type="dxa"/>
            </w:tcMar>
            <w:vAlign w:val="center"/>
          </w:tcPr>
          <w:p w14:paraId="76191867" w14:textId="77777777" w:rsidR="004D3BC3" w:rsidRDefault="004D3BC3" w:rsidP="009B2B5F">
            <w:pPr>
              <w:pStyle w:val="CDIFigure-Table-BodyTextLeft"/>
            </w:pPr>
            <w:r>
              <w:t>PT</w:t>
            </w:r>
          </w:p>
        </w:tc>
      </w:tr>
      <w:tr w:rsidR="004D3BC3" w14:paraId="375C2864" w14:textId="77777777" w:rsidTr="009B2B5F">
        <w:trPr>
          <w:trHeight w:val="20"/>
        </w:trPr>
        <w:tc>
          <w:tcPr>
            <w:tcW w:w="2551" w:type="dxa"/>
            <w:tcMar>
              <w:top w:w="113" w:type="dxa"/>
              <w:left w:w="113" w:type="dxa"/>
              <w:bottom w:w="113" w:type="dxa"/>
              <w:right w:w="113" w:type="dxa"/>
            </w:tcMar>
            <w:vAlign w:val="center"/>
          </w:tcPr>
          <w:p w14:paraId="52177645" w14:textId="77777777" w:rsidR="004D3BC3" w:rsidRDefault="004D3BC3" w:rsidP="009B2B5F">
            <w:pPr>
              <w:pStyle w:val="CDIFigure-Table-BodyTextLeft"/>
            </w:pPr>
            <w:r>
              <w:t>1</w:t>
            </w:r>
          </w:p>
        </w:tc>
        <w:tc>
          <w:tcPr>
            <w:tcW w:w="7087" w:type="dxa"/>
            <w:tcMar>
              <w:top w:w="113" w:type="dxa"/>
              <w:left w:w="113" w:type="dxa"/>
              <w:bottom w:w="113" w:type="dxa"/>
              <w:right w:w="113" w:type="dxa"/>
            </w:tcMar>
            <w:vAlign w:val="center"/>
          </w:tcPr>
          <w:p w14:paraId="69212382" w14:textId="77777777" w:rsidR="004D3BC3" w:rsidRDefault="004D3BC3" w:rsidP="009B2B5F">
            <w:pPr>
              <w:pStyle w:val="CDIFigure-Table-BodyTextLeft"/>
            </w:pPr>
            <w:r>
              <w:t>SMQ</w:t>
            </w:r>
          </w:p>
        </w:tc>
      </w:tr>
      <w:tr w:rsidR="004D3BC3" w14:paraId="71182C93" w14:textId="77777777" w:rsidTr="009B2B5F">
        <w:trPr>
          <w:trHeight w:val="20"/>
        </w:trPr>
        <w:tc>
          <w:tcPr>
            <w:tcW w:w="2551" w:type="dxa"/>
            <w:shd w:val="clear" w:color="auto" w:fill="F2F2F2" w:themeFill="background1" w:themeFillShade="F2"/>
            <w:tcMar>
              <w:top w:w="113" w:type="dxa"/>
              <w:left w:w="113" w:type="dxa"/>
              <w:bottom w:w="113" w:type="dxa"/>
              <w:right w:w="113" w:type="dxa"/>
            </w:tcMar>
            <w:vAlign w:val="center"/>
          </w:tcPr>
          <w:p w14:paraId="658648F6" w14:textId="77777777" w:rsidR="004D3BC3" w:rsidRDefault="004D3BC3" w:rsidP="009B2B5F">
            <w:pPr>
              <w:pStyle w:val="CDIFigure-Table-BodyTextLeft"/>
            </w:pPr>
            <w:r>
              <w:t>&gt; 1 (different levels)</w:t>
            </w:r>
          </w:p>
        </w:tc>
        <w:tc>
          <w:tcPr>
            <w:tcW w:w="7087" w:type="dxa"/>
            <w:shd w:val="clear" w:color="auto" w:fill="F2F2F2" w:themeFill="background1" w:themeFillShade="F2"/>
            <w:tcMar>
              <w:top w:w="113" w:type="dxa"/>
              <w:left w:w="113" w:type="dxa"/>
              <w:bottom w:w="113" w:type="dxa"/>
              <w:right w:w="113" w:type="dxa"/>
            </w:tcMar>
            <w:vAlign w:val="center"/>
          </w:tcPr>
          <w:p w14:paraId="6BA9EDE4" w14:textId="77777777" w:rsidR="004D3BC3" w:rsidRDefault="004D3BC3" w:rsidP="009B2B5F">
            <w:pPr>
              <w:pStyle w:val="CDIFigure-Table-BodyTextLeft"/>
            </w:pPr>
            <w:r>
              <w:t>SMQ of highest level (most descriptive)</w:t>
            </w:r>
          </w:p>
        </w:tc>
      </w:tr>
      <w:tr w:rsidR="004D3BC3" w14:paraId="47A673F1" w14:textId="77777777" w:rsidTr="009B2B5F">
        <w:trPr>
          <w:trHeight w:val="20"/>
        </w:trPr>
        <w:tc>
          <w:tcPr>
            <w:tcW w:w="2551" w:type="dxa"/>
            <w:tcBorders>
              <w:bottom w:val="single" w:sz="4" w:space="0" w:color="033636" w:themeColor="text2"/>
            </w:tcBorders>
            <w:tcMar>
              <w:top w:w="113" w:type="dxa"/>
              <w:left w:w="113" w:type="dxa"/>
              <w:bottom w:w="113" w:type="dxa"/>
              <w:right w:w="113" w:type="dxa"/>
            </w:tcMar>
            <w:vAlign w:val="center"/>
          </w:tcPr>
          <w:p w14:paraId="47730135" w14:textId="77777777" w:rsidR="004D3BC3" w:rsidRDefault="004D3BC3" w:rsidP="009B2B5F">
            <w:pPr>
              <w:pStyle w:val="CDIFigure-Table-BodyTextLeft"/>
            </w:pPr>
            <w:r>
              <w:t>&gt; 1 (same level)</w:t>
            </w:r>
          </w:p>
        </w:tc>
        <w:tc>
          <w:tcPr>
            <w:tcW w:w="7087" w:type="dxa"/>
            <w:tcBorders>
              <w:bottom w:val="single" w:sz="4" w:space="0" w:color="033636" w:themeColor="text2"/>
            </w:tcBorders>
            <w:tcMar>
              <w:top w:w="113" w:type="dxa"/>
              <w:left w:w="113" w:type="dxa"/>
              <w:bottom w:w="113" w:type="dxa"/>
              <w:right w:w="113" w:type="dxa"/>
            </w:tcMar>
            <w:vAlign w:val="center"/>
          </w:tcPr>
          <w:p w14:paraId="22022732" w14:textId="77777777" w:rsidR="004D3BC3" w:rsidRDefault="004D3BC3" w:rsidP="009B2B5F">
            <w:pPr>
              <w:pStyle w:val="CDIFigure-Table-BodyTextLeft"/>
            </w:pPr>
            <w:r>
              <w:t>SMQ preferred following clinician review and adjudication, or PT if preferred SMQ could not be chosen</w:t>
            </w:r>
          </w:p>
        </w:tc>
      </w:tr>
    </w:tbl>
    <w:p w14:paraId="378529F8" w14:textId="42064FCB" w:rsidR="00AC0F5D" w:rsidRDefault="004D0C0D" w:rsidP="004D3BC3">
      <w:pPr>
        <w:pStyle w:val="CDIFigure-Table-Titlemorespacebefore"/>
      </w:pPr>
      <w:r w:rsidRPr="004D0C0D">
        <w:lastRenderedPageBreak/>
        <w:t>Figure A.1: Adverse event following immunisation (AEFI) reporting rates per 100,000 COVID-19 vaccine doses in 2021, by age and brand</w:t>
      </w:r>
      <w:r w:rsidRPr="004D0C0D">
        <w:rPr>
          <w:vertAlign w:val="superscript"/>
        </w:rPr>
        <w:t>a</w:t>
      </w:r>
    </w:p>
    <w:p w14:paraId="1A3EDC74" w14:textId="52B9099E" w:rsidR="004D3BC3" w:rsidRDefault="004D0C0D" w:rsidP="004D0C0D">
      <w:pPr>
        <w:pStyle w:val="CDIFigure-Table-ImagePlaceholder"/>
      </w:pPr>
      <w:r>
        <w:rPr>
          <w:noProof/>
          <w14:ligatures w14:val="none"/>
        </w:rPr>
        <w:drawing>
          <wp:inline distT="0" distB="0" distL="0" distR="0" wp14:anchorId="1FB2CA24" wp14:editId="50E65F96">
            <wp:extent cx="6068861" cy="3709424"/>
            <wp:effectExtent l="0" t="0" r="8255" b="5715"/>
            <wp:docPr id="9" name="Picture 9" descr="Figure A.1 are panelled line graphs describing the adverse event reporting rates for COVID-19 vaccines per 100,000 doses each month from February to December 2021. Each of the three panels corresponds to an age group. The top panel shows that in the 12-15 age group, AEFI reporting started in August 2021, reflecting the later start of the COVID-19 vaccination program in this age group. The middle panel with data from the 16-59 year age group showed that in the initial months of the COVID-19 vaccine rollout, there were higher adverse event reporting rates per 100,000 doses in this group than in the ≥60 age group shown in the bottom panel. In all age groups and for all vaccines, adverse event reporting rates were the highest in the initial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A.1 are panelled line graphs describing the adverse event reporting rates for COVID-19 vaccines per 100,000 doses each month from February to December 2021. Each of the three panels corresponds to an age group. The top panel shows that in the 12-15 age group, AEFI reporting started in August 2021, reflecting the later start of the COVID-19 vaccination program in this age group. The middle panel with data from the 16-59 year age group showed that in the initial months of the COVID-19 vaccine rollout, there were higher adverse event reporting rates per 100,000 doses in this group than in the ≥60 age group shown in the bottom panel. In all age groups and for all vaccines, adverse event reporting rates were the highest in the initial months."/>
                    <pic:cNvPicPr/>
                  </pic:nvPicPr>
                  <pic:blipFill>
                    <a:blip r:embed="rId25">
                      <a:extLst>
                        <a:ext uri="{28A0092B-C50C-407E-A947-70E740481C1C}">
                          <a14:useLocalDpi xmlns:a14="http://schemas.microsoft.com/office/drawing/2010/main" val="0"/>
                        </a:ext>
                      </a:extLst>
                    </a:blip>
                    <a:stretch>
                      <a:fillRect/>
                    </a:stretch>
                  </pic:blipFill>
                  <pic:spPr>
                    <a:xfrm>
                      <a:off x="0" y="0"/>
                      <a:ext cx="6068861" cy="3709424"/>
                    </a:xfrm>
                    <a:prstGeom prst="rect">
                      <a:avLst/>
                    </a:prstGeom>
                  </pic:spPr>
                </pic:pic>
              </a:graphicData>
            </a:graphic>
          </wp:inline>
        </w:drawing>
      </w:r>
    </w:p>
    <w:p w14:paraId="3068AC82" w14:textId="70AB8318" w:rsidR="004D0C0D" w:rsidRDefault="004D0C0D" w:rsidP="004D0C0D">
      <w:pPr>
        <w:pStyle w:val="CDIFigure-Table-FirstFootnote"/>
      </w:pPr>
      <w:r w:rsidRPr="004D0C0D">
        <w:t>a</w:t>
      </w:r>
      <w:r w:rsidRPr="004D0C0D">
        <w:tab/>
        <w:t>Reports are excluded from the figure where the date of vaccination was not recorded, or vaccination was recorded for January 2021; where Spikevax vaccination was recorded as before September 2021; where 12–15 year-old adolescent vaccination was recorded as before August 2021; and where Vaxzevria vaccination was recorded for adolescents aged 12–15 years or in February.</w:t>
      </w:r>
    </w:p>
    <w:p w14:paraId="5F974AD9" w14:textId="2466CC06" w:rsidR="004D0C0D" w:rsidRDefault="004D0C0D" w:rsidP="004D0C0D">
      <w:pPr>
        <w:pStyle w:val="CDIFigure-Table-Titlemorespacebefore"/>
        <w:rPr>
          <w:vertAlign w:val="superscript"/>
        </w:rPr>
      </w:pPr>
      <w:r w:rsidRPr="004D0C0D">
        <w:lastRenderedPageBreak/>
        <w:t>Figure A.2: Adverse event following immunisation (AEFI) reporting rates per 100,000 COVID-19 vaccine doses in 2021, by brand</w:t>
      </w:r>
      <w:r w:rsidRPr="004D0C0D">
        <w:rPr>
          <w:vertAlign w:val="superscript"/>
        </w:rPr>
        <w:t>a</w:t>
      </w:r>
    </w:p>
    <w:p w14:paraId="21835B2E" w14:textId="4E8142EA" w:rsidR="004D0C0D" w:rsidRDefault="004D0C0D" w:rsidP="004D0C0D">
      <w:pPr>
        <w:pStyle w:val="CDIFigure-Table-ImagePlaceholder"/>
      </w:pPr>
      <w:r>
        <w:rPr>
          <w:noProof/>
          <w14:ligatures w14:val="none"/>
        </w:rPr>
        <w:drawing>
          <wp:inline distT="0" distB="0" distL="0" distR="0" wp14:anchorId="4FF0DCE7" wp14:editId="48469C5A">
            <wp:extent cx="6074676" cy="3413767"/>
            <wp:effectExtent l="0" t="0" r="2540" b="0"/>
            <wp:docPr id="10" name="Picture 10" descr="Figure A.2 is a line graph describing the Australian adverse event reporting rates for each brand of COVID-19 vaccines per 100,000 doses administered, each month from February to December 2021. For all vaccines, adverse event reporting rates were the highest in the initial months of thei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A.2 is a line graph describing the Australian adverse event reporting rates for each brand of COVID-19 vaccines per 100,000 doses administered, each month from February to December 2021. For all vaccines, adverse event reporting rates were the highest in the initial months of their use."/>
                    <pic:cNvPicPr/>
                  </pic:nvPicPr>
                  <pic:blipFill>
                    <a:blip r:embed="rId26" cstate="print">
                      <a:extLst>
                        <a:ext uri="{28A0092B-C50C-407E-A947-70E740481C1C}">
                          <a14:useLocalDpi xmlns:a14="http://schemas.microsoft.com/office/drawing/2010/main"/>
                        </a:ext>
                      </a:extLst>
                    </a:blip>
                    <a:stretch>
                      <a:fillRect/>
                    </a:stretch>
                  </pic:blipFill>
                  <pic:spPr>
                    <a:xfrm>
                      <a:off x="0" y="0"/>
                      <a:ext cx="6074676" cy="3413767"/>
                    </a:xfrm>
                    <a:prstGeom prst="rect">
                      <a:avLst/>
                    </a:prstGeom>
                  </pic:spPr>
                </pic:pic>
              </a:graphicData>
            </a:graphic>
          </wp:inline>
        </w:drawing>
      </w:r>
    </w:p>
    <w:p w14:paraId="18A86604" w14:textId="4BA2FFE4" w:rsidR="004D3BC3" w:rsidRDefault="004D0C0D" w:rsidP="004D0C0D">
      <w:pPr>
        <w:pStyle w:val="CDIFigure-Table-Footnote"/>
      </w:pPr>
      <w:r w:rsidRPr="004D0C0D">
        <w:t>a</w:t>
      </w:r>
      <w:r w:rsidRPr="004D0C0D">
        <w:tab/>
        <w:t>Reports are excluded from the figure where the date of vaccination was not recorded, or vaccination was recorded for January 2021; or where Spikevax vaccination was recorded as before September 2021; or Vaxzevria vaccination was recorded as before March 2021.</w:t>
      </w:r>
    </w:p>
    <w:p w14:paraId="147BDC16" w14:textId="77777777" w:rsidR="004D3BC3" w:rsidRDefault="004D3BC3" w:rsidP="00B33E0B">
      <w:pPr>
        <w:sectPr w:rsidR="004D3BC3" w:rsidSect="007B233F">
          <w:footerReference w:type="default" r:id="rId27"/>
          <w:pgSz w:w="11907" w:h="16840" w:code="9"/>
          <w:pgMar w:top="1304" w:right="1134" w:bottom="1304" w:left="1134" w:header="709" w:footer="527" w:gutter="0"/>
          <w:cols w:space="708"/>
          <w:docGrid w:linePitch="360"/>
        </w:sectPr>
      </w:pPr>
    </w:p>
    <w:p w14:paraId="6EB6F5E1"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C03BA49"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60E84F8" w14:textId="77777777" w:rsidR="000705FF" w:rsidRPr="0089025E" w:rsidRDefault="000705FF" w:rsidP="00194A12">
      <w:pPr>
        <w:pStyle w:val="CDICopyrightText"/>
      </w:pPr>
      <w:r w:rsidRPr="0089025E">
        <w:t xml:space="preserve">© </w:t>
      </w:r>
      <w:r w:rsidR="0086566E">
        <w:fldChar w:fldCharType="begin"/>
      </w:r>
      <w:r w:rsidR="0086566E">
        <w:instrText xml:space="preserve"> DOCPROPERTY  Year  \* MERGEFORMAT </w:instrText>
      </w:r>
      <w:r w:rsidR="0086566E">
        <w:fldChar w:fldCharType="separate"/>
      </w:r>
      <w:r w:rsidR="002D0E77">
        <w:t>2024</w:t>
      </w:r>
      <w:r w:rsidR="0086566E">
        <w:fldChar w:fldCharType="end"/>
      </w:r>
      <w:r w:rsidRPr="0089025E">
        <w:t xml:space="preserve"> Commonwealth of Australia as represented by the Department of Health and Aged Care</w:t>
      </w:r>
    </w:p>
    <w:p w14:paraId="66100112" w14:textId="77777777" w:rsidR="00DE4482" w:rsidRPr="0089025E" w:rsidRDefault="00DE4482" w:rsidP="00194A12">
      <w:pPr>
        <w:pStyle w:val="CDICopyrightText"/>
      </w:pPr>
      <w:r w:rsidRPr="0089025E">
        <w:t>ISSN: 2209-6051 Online</w:t>
      </w:r>
    </w:p>
    <w:p w14:paraId="0F060DB9" w14:textId="77777777" w:rsidR="00DE4482" w:rsidRPr="0089025E" w:rsidRDefault="00DE4482" w:rsidP="00194A12">
      <w:pPr>
        <w:pStyle w:val="CDICopyrightText"/>
      </w:pPr>
      <w:r w:rsidRPr="0089025E">
        <w:t>This journal is indexed by Index Medicus and Medline.</w:t>
      </w:r>
    </w:p>
    <w:p w14:paraId="7649212F"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E8B0401" w14:textId="77777777" w:rsidR="000705FF" w:rsidRPr="00194A12" w:rsidRDefault="000705FF" w:rsidP="00194A12">
      <w:pPr>
        <w:pStyle w:val="CDICopyrightHeading"/>
      </w:pPr>
      <w:r w:rsidRPr="00194A12">
        <w:t>Restrictions</w:t>
      </w:r>
    </w:p>
    <w:p w14:paraId="662584FC"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86BA3AB" w14:textId="77777777" w:rsidR="000705FF" w:rsidRPr="0003381F" w:rsidRDefault="000705FF" w:rsidP="0003381F">
      <w:pPr>
        <w:pStyle w:val="CDICopyrightBullets"/>
      </w:pPr>
      <w:r w:rsidRPr="008355D9">
        <w:t xml:space="preserve">the </w:t>
      </w:r>
      <w:r w:rsidRPr="0003381F">
        <w:t xml:space="preserve">Commonwealth Coat of Arms (by way of information, the terms under which the Coat of Arms may be used can be found at </w:t>
      </w:r>
      <w:r w:rsidR="008355D9" w:rsidRPr="0003381F">
        <w:t>www.pmc.gov.au/resources/commonwealth-coat-arms-information-and-guidelines)</w:t>
      </w:r>
      <w:r w:rsidRPr="0003381F">
        <w:t>;</w:t>
      </w:r>
    </w:p>
    <w:p w14:paraId="6472B514" w14:textId="77777777" w:rsidR="000705FF" w:rsidRPr="0003381F" w:rsidRDefault="000705FF" w:rsidP="0003381F">
      <w:pPr>
        <w:pStyle w:val="CDICopyrightBullets"/>
      </w:pPr>
      <w:r w:rsidRPr="0003381F">
        <w:t>any logos (including the Department of Health and Aged Care’s logo) and trademarks;</w:t>
      </w:r>
    </w:p>
    <w:p w14:paraId="1F99B7EE" w14:textId="77777777" w:rsidR="000705FF" w:rsidRPr="0003381F" w:rsidRDefault="000705FF" w:rsidP="0003381F">
      <w:pPr>
        <w:pStyle w:val="CDICopyrightBullets"/>
      </w:pPr>
      <w:r w:rsidRPr="0003381F">
        <w:t xml:space="preserve">any photographs and images; </w:t>
      </w:r>
    </w:p>
    <w:p w14:paraId="6731DC02" w14:textId="77777777" w:rsidR="000705FF" w:rsidRPr="0003381F" w:rsidRDefault="000705FF" w:rsidP="0003381F">
      <w:pPr>
        <w:pStyle w:val="CDICopyrightBullets"/>
      </w:pPr>
      <w:r w:rsidRPr="0003381F">
        <w:t>any signatures; and</w:t>
      </w:r>
    </w:p>
    <w:p w14:paraId="7ED21B8E" w14:textId="77777777" w:rsidR="000705FF" w:rsidRPr="0089025E" w:rsidRDefault="000705FF" w:rsidP="0003381F">
      <w:pPr>
        <w:pStyle w:val="CDICopyrightBullets"/>
      </w:pPr>
      <w:r w:rsidRPr="0003381F">
        <w:t>any material</w:t>
      </w:r>
      <w:r w:rsidRPr="0089025E">
        <w:t xml:space="preserve"> belonging to third parties. </w:t>
      </w:r>
    </w:p>
    <w:p w14:paraId="5D7806D4" w14:textId="77777777" w:rsidR="000F223B" w:rsidRPr="0089025E" w:rsidRDefault="000705FF" w:rsidP="00194A12">
      <w:pPr>
        <w:pStyle w:val="CDICopyrightHeading"/>
      </w:pPr>
      <w:r w:rsidRPr="0089025E">
        <w:t>Disclaimer</w:t>
      </w:r>
    </w:p>
    <w:p w14:paraId="60AAD0C0"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4173882" w14:textId="77777777" w:rsidR="000F223B" w:rsidRPr="0089025E" w:rsidRDefault="000705FF" w:rsidP="00194A12">
      <w:pPr>
        <w:pStyle w:val="CDICopyrightHeading"/>
      </w:pPr>
      <w:r w:rsidRPr="0089025E">
        <w:t>Enquiries</w:t>
      </w:r>
    </w:p>
    <w:p w14:paraId="59DF9623" w14:textId="1C4EA8C5"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8" w:history="1">
        <w:r w:rsidR="0003381F" w:rsidRPr="008817B9">
          <w:rPr>
            <w:rStyle w:val="Hyperlink"/>
          </w:rPr>
          <w:t>cdi.editor@health.gov.au</w:t>
        </w:r>
      </w:hyperlink>
      <w:r w:rsidR="0003381F">
        <w:t xml:space="preserve"> </w:t>
      </w:r>
      <w:r w:rsidRPr="0089025E">
        <w:t xml:space="preserve"> </w:t>
      </w:r>
    </w:p>
    <w:p w14:paraId="718F9E6B" w14:textId="77777777" w:rsidR="000F223B" w:rsidRPr="0089025E" w:rsidRDefault="000705FF" w:rsidP="00194A12">
      <w:pPr>
        <w:pStyle w:val="CDICopyrightHeading"/>
      </w:pPr>
      <w:r w:rsidRPr="0089025E">
        <w:t>Communicable Diseases Network Australia</w:t>
      </w:r>
    </w:p>
    <w:p w14:paraId="2DBD69AE"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68C06F6"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4F3E189"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2B201A44" w14:textId="77777777" w:rsidR="00DE4482" w:rsidRPr="0089025E" w:rsidRDefault="000A5F42" w:rsidP="00194A12">
      <w:pPr>
        <w:pStyle w:val="CDICopyrightHeading"/>
      </w:pPr>
      <w:r w:rsidRPr="0089025E">
        <w:t>Contacts</w:t>
      </w:r>
    </w:p>
    <w:p w14:paraId="099C5FD9" w14:textId="77777777" w:rsidR="00682E53" w:rsidRDefault="00E54BBD" w:rsidP="00194A12">
      <w:pPr>
        <w:pStyle w:val="CDICopyrightText"/>
      </w:pPr>
      <w:r w:rsidRPr="0089025E">
        <w:t>CDI is produced by</w:t>
      </w:r>
      <w:r w:rsidR="00682E53">
        <w:t>:</w:t>
      </w:r>
    </w:p>
    <w:p w14:paraId="4F15C3B3"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10188E4" w14:textId="77777777" w:rsidR="00DA2E9E" w:rsidRPr="0089025E" w:rsidRDefault="00DA2E9E" w:rsidP="00194A12">
      <w:pPr>
        <w:pStyle w:val="CDICopyrightText"/>
      </w:pPr>
      <w:r w:rsidRPr="0089025E">
        <w:t xml:space="preserve">Website: </w:t>
      </w:r>
      <w:hyperlink r:id="rId29" w:history="1">
        <w:r w:rsidR="00AC0F5D" w:rsidRPr="000C6EB5">
          <w:rPr>
            <w:rStyle w:val="Hyperlink"/>
          </w:rPr>
          <w:t>www.health.gov.au/cdi</w:t>
        </w:r>
      </w:hyperlink>
      <w:r w:rsidR="00AC0F5D">
        <w:t xml:space="preserve"> </w:t>
      </w:r>
    </w:p>
    <w:p w14:paraId="02ED44A9" w14:textId="77777777" w:rsidR="000A5F42" w:rsidRPr="0089025E" w:rsidRDefault="000A5F42" w:rsidP="00194A12">
      <w:pPr>
        <w:pStyle w:val="CDICopyrightText"/>
      </w:pPr>
      <w:r w:rsidRPr="0089025E">
        <w:t xml:space="preserve">Email: </w:t>
      </w:r>
      <w:hyperlink r:id="rId30" w:history="1">
        <w:r w:rsidR="00AC0F5D" w:rsidRPr="000C6EB5">
          <w:rPr>
            <w:rStyle w:val="Hyperlink"/>
          </w:rPr>
          <w:t>cdi.editor@health.gov.au</w:t>
        </w:r>
      </w:hyperlink>
      <w:r w:rsidR="00AC0F5D">
        <w:t xml:space="preserve"> </w:t>
      </w:r>
    </w:p>
    <w:p w14:paraId="636FB2DA" w14:textId="77777777" w:rsidR="00DE4482" w:rsidRPr="0089025E" w:rsidRDefault="000A5F42" w:rsidP="00194A12">
      <w:pPr>
        <w:pStyle w:val="CDICopyrightHeading"/>
      </w:pPr>
      <w:r w:rsidRPr="0089025E">
        <w:t>Submit an Article</w:t>
      </w:r>
    </w:p>
    <w:p w14:paraId="4F2D3C8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577BDAB" w14:textId="77777777" w:rsidR="000A5F42" w:rsidRPr="0089025E" w:rsidRDefault="000A5F42" w:rsidP="00194A12">
      <w:pPr>
        <w:pStyle w:val="CDICopyrightText"/>
      </w:pPr>
      <w:r w:rsidRPr="0089025E">
        <w:t xml:space="preserve">Further enquiries should be directed to: </w:t>
      </w:r>
      <w:hyperlink r:id="rId31" w:history="1">
        <w:r w:rsidR="00AC0F5D" w:rsidRPr="000C6EB5">
          <w:rPr>
            <w:rStyle w:val="Hyperlink"/>
          </w:rPr>
          <w:t>cdi.editor@health.gov.au</w:t>
        </w:r>
      </w:hyperlink>
      <w:r w:rsidR="00AC0F5D">
        <w:t xml:space="preserve"> </w:t>
      </w:r>
    </w:p>
    <w:sectPr w:rsidR="000A5F42" w:rsidRPr="0089025E" w:rsidSect="001A26DD">
      <w:footerReference w:type="default" r:id="rId3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443B" w14:textId="77777777" w:rsidR="002D0E77" w:rsidRDefault="002D0E77" w:rsidP="00E54DBA">
      <w:r>
        <w:separator/>
      </w:r>
    </w:p>
    <w:p w14:paraId="5000803F" w14:textId="77777777" w:rsidR="002D0E77" w:rsidRDefault="002D0E77"/>
    <w:p w14:paraId="3E44D19F" w14:textId="77777777" w:rsidR="002D0E77" w:rsidRDefault="002D0E77" w:rsidP="008714B0"/>
  </w:endnote>
  <w:endnote w:type="continuationSeparator" w:id="0">
    <w:p w14:paraId="079718DC" w14:textId="77777777" w:rsidR="002D0E77" w:rsidRDefault="002D0E77" w:rsidP="00E54DBA">
      <w:r>
        <w:continuationSeparator/>
      </w:r>
    </w:p>
    <w:p w14:paraId="4AA153F6" w14:textId="77777777" w:rsidR="002D0E77" w:rsidRDefault="002D0E77"/>
    <w:p w14:paraId="2A1EEC5F" w14:textId="77777777" w:rsidR="002D0E77" w:rsidRDefault="002D0E7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B2E9"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0BB" w14:textId="77777777" w:rsidR="00A14629" w:rsidRDefault="00A14629" w:rsidP="001A26DD">
    <w:pPr>
      <w:pStyle w:val="CDIFirs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33B5"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47B" w14:textId="27858B15" w:rsidR="001A26DD" w:rsidRDefault="001A26DD"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6566E">
      <w:fldChar w:fldCharType="begin"/>
    </w:r>
    <w:r w:rsidR="0086566E">
      <w:instrText xml:space="preserve"> DOCPROPERTY  Year  \* MERGEFORMAT </w:instrText>
    </w:r>
    <w:r w:rsidR="0086566E">
      <w:fldChar w:fldCharType="separate"/>
    </w:r>
    <w:r w:rsidR="002D0E77">
      <w:t>2024</w:t>
    </w:r>
    <w:r w:rsidR="0086566E">
      <w:fldChar w:fldCharType="end"/>
    </w:r>
    <w:r w:rsidRPr="001D0612">
      <w:t xml:space="preserve"> </w:t>
    </w:r>
    <w:r w:rsidR="0086566E">
      <w:fldChar w:fldCharType="begin"/>
    </w:r>
    <w:r w:rsidR="0086566E">
      <w:instrText xml:space="preserve"> DOCPROPERTY  Vol  \* MERGEFORMAT </w:instrText>
    </w:r>
    <w:r w:rsidR="0086566E">
      <w:fldChar w:fldCharType="separate"/>
    </w:r>
    <w:r w:rsidR="002D0E77">
      <w:t>48</w:t>
    </w:r>
    <w:r w:rsidR="0086566E">
      <w:fldChar w:fldCharType="end"/>
    </w:r>
    <w:r w:rsidRPr="001D0612">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F48F" w14:textId="309F56FF" w:rsidR="002F1A7C" w:rsidRDefault="002F1A7C" w:rsidP="002F1A7C">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6566E">
      <w:fldChar w:fldCharType="begin"/>
    </w:r>
    <w:r w:rsidR="0086566E">
      <w:instrText xml:space="preserve"> DOCPROPERTY  Year  \* MERGEFORMAT </w:instrText>
    </w:r>
    <w:r w:rsidR="0086566E">
      <w:fldChar w:fldCharType="separate"/>
    </w:r>
    <w:r>
      <w:t>2024</w:t>
    </w:r>
    <w:r w:rsidR="0086566E">
      <w:fldChar w:fldCharType="end"/>
    </w:r>
    <w:r w:rsidRPr="001D0612">
      <w:t xml:space="preserve"> </w:t>
    </w:r>
    <w:r w:rsidR="0086566E">
      <w:fldChar w:fldCharType="begin"/>
    </w:r>
    <w:r w:rsidR="0086566E">
      <w:instrText xml:space="preserve"> DOCPROPERTY  Vol  \* MERGEFORMAT </w:instrText>
    </w:r>
    <w:r w:rsidR="0086566E">
      <w:fldChar w:fldCharType="separate"/>
    </w:r>
    <w:r>
      <w:t>48</w:t>
    </w:r>
    <w:r w:rsidR="0086566E">
      <w:fldChar w:fldCharType="end"/>
    </w:r>
    <w:r w:rsidRPr="001D0612">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0EC7" w14:textId="27BF4558" w:rsidR="002F1A7C" w:rsidRDefault="002F1A7C"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6566E">
      <w:fldChar w:fldCharType="begin"/>
    </w:r>
    <w:r w:rsidR="0086566E">
      <w:instrText xml:space="preserve"> DOCPROPERTY  Year  \* MERGEFORMAT </w:instrText>
    </w:r>
    <w:r w:rsidR="0086566E">
      <w:fldChar w:fldCharType="separate"/>
    </w:r>
    <w:r>
      <w:t>2024</w:t>
    </w:r>
    <w:r w:rsidR="0086566E">
      <w:fldChar w:fldCharType="end"/>
    </w:r>
    <w:r w:rsidRPr="001D0612">
      <w:t xml:space="preserve"> </w:t>
    </w:r>
    <w:r w:rsidR="0086566E">
      <w:fldChar w:fldCharType="begin"/>
    </w:r>
    <w:r w:rsidR="0086566E">
      <w:instrText xml:space="preserve"> DOCPROPERTY  Vol  \* MERGEFORMAT </w:instrText>
    </w:r>
    <w:r w:rsidR="0086566E">
      <w:fldChar w:fldCharType="separate"/>
    </w:r>
    <w:r>
      <w:t>48</w:t>
    </w:r>
    <w:r w:rsidR="0086566E">
      <w:fldChar w:fldCharType="end"/>
    </w:r>
    <w:r w:rsidRPr="001D0612">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AFE" w14:textId="33B40FCD" w:rsidR="008322B9" w:rsidRDefault="008322B9" w:rsidP="008322B9">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6566E">
      <w:fldChar w:fldCharType="begin"/>
    </w:r>
    <w:r w:rsidR="0086566E">
      <w:instrText xml:space="preserve"> DOCPROPERTY  Year  \* MERGEFORMAT </w:instrText>
    </w:r>
    <w:r w:rsidR="0086566E">
      <w:fldChar w:fldCharType="separate"/>
    </w:r>
    <w:r>
      <w:t>2024</w:t>
    </w:r>
    <w:r w:rsidR="0086566E">
      <w:fldChar w:fldCharType="end"/>
    </w:r>
    <w:r w:rsidRPr="001D0612">
      <w:t xml:space="preserve"> </w:t>
    </w:r>
    <w:r w:rsidR="0086566E">
      <w:fldChar w:fldCharType="begin"/>
    </w:r>
    <w:r w:rsidR="0086566E">
      <w:instrText xml:space="preserve"> DOCPROPERTY  Vol  \* MERGEFORMAT </w:instrText>
    </w:r>
    <w:r w:rsidR="0086566E">
      <w:fldChar w:fldCharType="separate"/>
    </w:r>
    <w:r>
      <w:t>48</w:t>
    </w:r>
    <w:r w:rsidR="0086566E">
      <w:fldChar w:fldCharType="end"/>
    </w:r>
    <w:r w:rsidRPr="001D0612">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A695" w14:textId="7BE35A79"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6566E">
      <w:fldChar w:fldCharType="begin"/>
    </w:r>
    <w:r w:rsidR="0086566E">
      <w:instrText xml:space="preserve"> DOCPROPERTY  Year  \* MERGEFORMAT </w:instrText>
    </w:r>
    <w:r w:rsidR="0086566E">
      <w:fldChar w:fldCharType="separate"/>
    </w:r>
    <w:r w:rsidR="002D0E77">
      <w:t>2024</w:t>
    </w:r>
    <w:r w:rsidR="0086566E">
      <w:fldChar w:fldCharType="end"/>
    </w:r>
    <w:r w:rsidRPr="001D0612">
      <w:t xml:space="preserve"> </w:t>
    </w:r>
    <w:r w:rsidR="0086566E">
      <w:fldChar w:fldCharType="begin"/>
    </w:r>
    <w:r w:rsidR="0086566E">
      <w:instrText xml:space="preserve"> DOCPROPERTY  Vol  \* MERGEFORMAT </w:instrText>
    </w:r>
    <w:r w:rsidR="0086566E">
      <w:fldChar w:fldCharType="separate"/>
    </w:r>
    <w:r w:rsidR="002D0E77">
      <w:t>48</w:t>
    </w:r>
    <w:r w:rsidR="0086566E">
      <w:fldChar w:fldCharType="end"/>
    </w:r>
    <w:r w:rsidRPr="001D0612">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2651" w14:textId="5A986CAC" w:rsidR="00354810" w:rsidRDefault="00343991" w:rsidP="0003381F">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6566E">
      <w:fldChar w:fldCharType="begin"/>
    </w:r>
    <w:r w:rsidR="0086566E">
      <w:instrText xml:space="preserve"> DOCPROPERTY  Year  \* MERGEFORMAT </w:instrText>
    </w:r>
    <w:r w:rsidR="0086566E">
      <w:fldChar w:fldCharType="separate"/>
    </w:r>
    <w:r w:rsidR="002D0E77">
      <w:t>2024</w:t>
    </w:r>
    <w:r w:rsidR="0086566E">
      <w:fldChar w:fldCharType="end"/>
    </w:r>
    <w:r w:rsidRPr="001D0612">
      <w:t xml:space="preserve"> </w:t>
    </w:r>
    <w:r w:rsidR="0086566E">
      <w:fldChar w:fldCharType="begin"/>
    </w:r>
    <w:r w:rsidR="0086566E">
      <w:instrText xml:space="preserve"> DOCPROPERTY  Vol  \* MERGEFORMAT </w:instrText>
    </w:r>
    <w:r w:rsidR="0086566E">
      <w:fldChar w:fldCharType="separate"/>
    </w:r>
    <w:r w:rsidR="002D0E77">
      <w:t>48</w:t>
    </w:r>
    <w:r w:rsidR="0086566E">
      <w:fldChar w:fldCharType="end"/>
    </w:r>
    <w:r w:rsidRPr="001D0612">
      <w:t xml:space="preserve">  (</w:t>
    </w:r>
    <w:r w:rsidR="0086566E">
      <w:fldChar w:fldCharType="begin"/>
    </w:r>
    <w:r w:rsidR="0086566E">
      <w:instrText xml:space="preserve"> DOCPROPERTY  DOI  \* MERGEFORMAT </w:instrText>
    </w:r>
    <w:r w:rsidR="0086566E">
      <w:fldChar w:fldCharType="separate"/>
    </w:r>
    <w:r w:rsidR="00DD41CC">
      <w:t>https://doi.org/10.33321/cdi.2024.48.2</w:t>
    </w:r>
    <w:r w:rsidR="0086566E">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6566E">
      <w:fldChar w:fldCharType="begin"/>
    </w:r>
    <w:r w:rsidR="0086566E">
      <w:instrText xml:space="preserve"> DOCPROPERTY  ePubDate  \* MERGEFORMAT </w:instrText>
    </w:r>
    <w:r w:rsidR="0086566E">
      <w:fldChar w:fldCharType="separate"/>
    </w:r>
    <w:r w:rsidR="00CA64FE">
      <w:t>24/06/2024</w:t>
    </w:r>
    <w:r w:rsidR="0086566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0C8F" w14:textId="77777777" w:rsidR="002D0E77" w:rsidRPr="00B91FB5" w:rsidRDefault="002D0E77" w:rsidP="00B91FB5">
      <w:pPr>
        <w:spacing w:line="240" w:lineRule="auto"/>
        <w:rPr>
          <w:sz w:val="18"/>
          <w:szCs w:val="18"/>
        </w:rPr>
      </w:pPr>
      <w:r w:rsidRPr="00B91FB5">
        <w:rPr>
          <w:sz w:val="18"/>
          <w:szCs w:val="18"/>
        </w:rPr>
        <w:separator/>
      </w:r>
    </w:p>
  </w:footnote>
  <w:footnote w:type="continuationSeparator" w:id="0">
    <w:p w14:paraId="4D5FF0B7" w14:textId="77777777" w:rsidR="002D0E77" w:rsidRDefault="002D0E77" w:rsidP="00E54DBA">
      <w:r>
        <w:continuationSeparator/>
      </w:r>
    </w:p>
  </w:footnote>
  <w:footnote w:type="continuationNotice" w:id="1">
    <w:p w14:paraId="166007F3" w14:textId="77777777" w:rsidR="002D0E77" w:rsidRPr="00224EFF" w:rsidRDefault="002D0E77"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52D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CB86" w14:textId="16628ED2" w:rsidR="008B5348" w:rsidRPr="00830070" w:rsidRDefault="008B5348" w:rsidP="00962C2F">
    <w:pPr>
      <w:pStyle w:val="CDIHeaderplacemen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8DBC"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BF5CFAE" wp14:editId="502D3913">
          <wp:simplePos x="0" y="0"/>
          <wp:positionH relativeFrom="page">
            <wp:align>left</wp:align>
          </wp:positionH>
          <wp:positionV relativeFrom="page">
            <wp:align>top</wp:align>
          </wp:positionV>
          <wp:extent cx="7567200" cy="2268000"/>
          <wp:effectExtent l="0" t="0" r="0" b="0"/>
          <wp:wrapNone/>
          <wp:docPr id="11" name="Picture 1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90F6" w14:textId="77777777" w:rsidR="001A26DD" w:rsidRPr="00584848" w:rsidRDefault="001A26DD" w:rsidP="0058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091CDB18"/>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885947923">
    <w:abstractNumId w:val="5"/>
    <w:lvlOverride w:ilvl="0">
      <w:startOverride w:val="1"/>
    </w:lvlOverride>
  </w:num>
  <w:num w:numId="30" w16cid:durableId="1936942340">
    <w:abstractNumId w:val="5"/>
    <w:lvlOverride w:ilvl="0">
      <w:startOverride w:val="1"/>
    </w:lvlOverride>
  </w:num>
  <w:num w:numId="31" w16cid:durableId="1591038874">
    <w:abstractNumId w:val="2"/>
  </w:num>
  <w:num w:numId="32" w16cid:durableId="2096852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77"/>
    <w:rsid w:val="00000B5B"/>
    <w:rsid w:val="00001611"/>
    <w:rsid w:val="00002B8D"/>
    <w:rsid w:val="000104A8"/>
    <w:rsid w:val="0001246E"/>
    <w:rsid w:val="000124B1"/>
    <w:rsid w:val="000147ED"/>
    <w:rsid w:val="000149CB"/>
    <w:rsid w:val="00014B0F"/>
    <w:rsid w:val="0001562E"/>
    <w:rsid w:val="00016FE6"/>
    <w:rsid w:val="0002642D"/>
    <w:rsid w:val="00026D55"/>
    <w:rsid w:val="00031064"/>
    <w:rsid w:val="00031692"/>
    <w:rsid w:val="00032531"/>
    <w:rsid w:val="000325A0"/>
    <w:rsid w:val="00032BCB"/>
    <w:rsid w:val="0003381F"/>
    <w:rsid w:val="00034DCB"/>
    <w:rsid w:val="000420DA"/>
    <w:rsid w:val="000471BF"/>
    <w:rsid w:val="00047B68"/>
    <w:rsid w:val="00052600"/>
    <w:rsid w:val="0005643C"/>
    <w:rsid w:val="0006264A"/>
    <w:rsid w:val="00066764"/>
    <w:rsid w:val="000705FF"/>
    <w:rsid w:val="000733B3"/>
    <w:rsid w:val="00073D77"/>
    <w:rsid w:val="00075F41"/>
    <w:rsid w:val="00081655"/>
    <w:rsid w:val="00084BAB"/>
    <w:rsid w:val="000864E0"/>
    <w:rsid w:val="00087301"/>
    <w:rsid w:val="000969B3"/>
    <w:rsid w:val="000A5F42"/>
    <w:rsid w:val="000B2A20"/>
    <w:rsid w:val="000B5A7F"/>
    <w:rsid w:val="000C34E2"/>
    <w:rsid w:val="000C3D48"/>
    <w:rsid w:val="000C3FB4"/>
    <w:rsid w:val="000D4B4D"/>
    <w:rsid w:val="000E6C4C"/>
    <w:rsid w:val="000F223B"/>
    <w:rsid w:val="000F73D7"/>
    <w:rsid w:val="00112868"/>
    <w:rsid w:val="00112E44"/>
    <w:rsid w:val="00113D58"/>
    <w:rsid w:val="001200CB"/>
    <w:rsid w:val="001371D9"/>
    <w:rsid w:val="001378A3"/>
    <w:rsid w:val="00146435"/>
    <w:rsid w:val="00153D94"/>
    <w:rsid w:val="00155582"/>
    <w:rsid w:val="00156A98"/>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45A7"/>
    <w:rsid w:val="001D6888"/>
    <w:rsid w:val="001E4E1D"/>
    <w:rsid w:val="001F0D9D"/>
    <w:rsid w:val="001F231A"/>
    <w:rsid w:val="001F6248"/>
    <w:rsid w:val="00216B2C"/>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9A8"/>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C62C7"/>
    <w:rsid w:val="002D0E77"/>
    <w:rsid w:val="002E2FB3"/>
    <w:rsid w:val="002F1A7C"/>
    <w:rsid w:val="002F327B"/>
    <w:rsid w:val="00301626"/>
    <w:rsid w:val="003028BD"/>
    <w:rsid w:val="003059EC"/>
    <w:rsid w:val="00316727"/>
    <w:rsid w:val="00316CCD"/>
    <w:rsid w:val="00324F7E"/>
    <w:rsid w:val="0032526F"/>
    <w:rsid w:val="003316F4"/>
    <w:rsid w:val="003323BC"/>
    <w:rsid w:val="00341720"/>
    <w:rsid w:val="00343991"/>
    <w:rsid w:val="00344114"/>
    <w:rsid w:val="00346D42"/>
    <w:rsid w:val="00346E11"/>
    <w:rsid w:val="00351364"/>
    <w:rsid w:val="00354810"/>
    <w:rsid w:val="003601C0"/>
    <w:rsid w:val="003635F5"/>
    <w:rsid w:val="00371080"/>
    <w:rsid w:val="0037146D"/>
    <w:rsid w:val="00372A88"/>
    <w:rsid w:val="00381A0F"/>
    <w:rsid w:val="00381E8E"/>
    <w:rsid w:val="00390F66"/>
    <w:rsid w:val="00392D07"/>
    <w:rsid w:val="003A1B3A"/>
    <w:rsid w:val="003A40F5"/>
    <w:rsid w:val="003B3487"/>
    <w:rsid w:val="003B3665"/>
    <w:rsid w:val="003B5B8C"/>
    <w:rsid w:val="003B6FCD"/>
    <w:rsid w:val="003B7ADD"/>
    <w:rsid w:val="003C554E"/>
    <w:rsid w:val="003C5E16"/>
    <w:rsid w:val="003C7841"/>
    <w:rsid w:val="003D15AE"/>
    <w:rsid w:val="003D5EAA"/>
    <w:rsid w:val="003D79B1"/>
    <w:rsid w:val="003D7DC8"/>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64EC"/>
    <w:rsid w:val="00460E27"/>
    <w:rsid w:val="00461653"/>
    <w:rsid w:val="00463A6D"/>
    <w:rsid w:val="0046447C"/>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0C0D"/>
    <w:rsid w:val="004D29DE"/>
    <w:rsid w:val="004D3BC3"/>
    <w:rsid w:val="004E1094"/>
    <w:rsid w:val="004E20B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484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332C"/>
    <w:rsid w:val="00604098"/>
    <w:rsid w:val="00606DFF"/>
    <w:rsid w:val="00607115"/>
    <w:rsid w:val="006108F2"/>
    <w:rsid w:val="006162E7"/>
    <w:rsid w:val="00620509"/>
    <w:rsid w:val="00620768"/>
    <w:rsid w:val="00624477"/>
    <w:rsid w:val="0062594B"/>
    <w:rsid w:val="00627997"/>
    <w:rsid w:val="006306A8"/>
    <w:rsid w:val="00631406"/>
    <w:rsid w:val="006324FF"/>
    <w:rsid w:val="00632787"/>
    <w:rsid w:val="006351D6"/>
    <w:rsid w:val="00636E0D"/>
    <w:rsid w:val="0064142F"/>
    <w:rsid w:val="00643CB4"/>
    <w:rsid w:val="00644B9D"/>
    <w:rsid w:val="00656427"/>
    <w:rsid w:val="00660255"/>
    <w:rsid w:val="00663EA5"/>
    <w:rsid w:val="006667E1"/>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41192"/>
    <w:rsid w:val="007430BF"/>
    <w:rsid w:val="00743A3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233F"/>
    <w:rsid w:val="007B7854"/>
    <w:rsid w:val="007C1779"/>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328C"/>
    <w:rsid w:val="00824FD3"/>
    <w:rsid w:val="00826589"/>
    <w:rsid w:val="00830070"/>
    <w:rsid w:val="00830F91"/>
    <w:rsid w:val="008322B9"/>
    <w:rsid w:val="00834BCC"/>
    <w:rsid w:val="00834F33"/>
    <w:rsid w:val="008355D9"/>
    <w:rsid w:val="00850D54"/>
    <w:rsid w:val="00852E2B"/>
    <w:rsid w:val="00860445"/>
    <w:rsid w:val="0086566E"/>
    <w:rsid w:val="008714B0"/>
    <w:rsid w:val="00872A7F"/>
    <w:rsid w:val="00876331"/>
    <w:rsid w:val="00877B90"/>
    <w:rsid w:val="00880726"/>
    <w:rsid w:val="0089025E"/>
    <w:rsid w:val="0089323F"/>
    <w:rsid w:val="008A3532"/>
    <w:rsid w:val="008A3544"/>
    <w:rsid w:val="008A39B2"/>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5F"/>
    <w:rsid w:val="009B2B83"/>
    <w:rsid w:val="009C49F8"/>
    <w:rsid w:val="009D56E7"/>
    <w:rsid w:val="009D77CC"/>
    <w:rsid w:val="009D797A"/>
    <w:rsid w:val="009E2423"/>
    <w:rsid w:val="009E2959"/>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40A7"/>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2C2C"/>
    <w:rsid w:val="00B85F35"/>
    <w:rsid w:val="00B8720B"/>
    <w:rsid w:val="00B876EF"/>
    <w:rsid w:val="00B91551"/>
    <w:rsid w:val="00B91FB5"/>
    <w:rsid w:val="00B92C70"/>
    <w:rsid w:val="00BA4697"/>
    <w:rsid w:val="00BA5893"/>
    <w:rsid w:val="00BB5378"/>
    <w:rsid w:val="00BB6F53"/>
    <w:rsid w:val="00BC086C"/>
    <w:rsid w:val="00BC0BD3"/>
    <w:rsid w:val="00BC5BA6"/>
    <w:rsid w:val="00BD0107"/>
    <w:rsid w:val="00BD2220"/>
    <w:rsid w:val="00BD4DBE"/>
    <w:rsid w:val="00BE0269"/>
    <w:rsid w:val="00BE0C33"/>
    <w:rsid w:val="00BE0FE9"/>
    <w:rsid w:val="00BE262C"/>
    <w:rsid w:val="00BE4C25"/>
    <w:rsid w:val="00BE6C3D"/>
    <w:rsid w:val="00BF42FE"/>
    <w:rsid w:val="00C0195D"/>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088B"/>
    <w:rsid w:val="00C62EAC"/>
    <w:rsid w:val="00C63F9F"/>
    <w:rsid w:val="00C6558E"/>
    <w:rsid w:val="00C66F97"/>
    <w:rsid w:val="00C7723C"/>
    <w:rsid w:val="00C838F5"/>
    <w:rsid w:val="00C841C0"/>
    <w:rsid w:val="00C97348"/>
    <w:rsid w:val="00CA1AF4"/>
    <w:rsid w:val="00CA6068"/>
    <w:rsid w:val="00CA64FE"/>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205D"/>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279"/>
    <w:rsid w:val="00DD2DE8"/>
    <w:rsid w:val="00DD41CC"/>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C4373"/>
    <w:rsid w:val="00ED442D"/>
    <w:rsid w:val="00ED70C2"/>
    <w:rsid w:val="00EE18FF"/>
    <w:rsid w:val="00EE1D64"/>
    <w:rsid w:val="00EE30F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094C"/>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9FB"/>
    <w:rsid w:val="00F90D76"/>
    <w:rsid w:val="00F94055"/>
    <w:rsid w:val="00F95581"/>
    <w:rsid w:val="00FB17AB"/>
    <w:rsid w:val="00FB48CF"/>
    <w:rsid w:val="00FC002E"/>
    <w:rsid w:val="00FC4C23"/>
    <w:rsid w:val="00FC6204"/>
    <w:rsid w:val="00FC642E"/>
    <w:rsid w:val="00FE2AE4"/>
    <w:rsid w:val="00FE3F9E"/>
    <w:rsid w:val="00FE689F"/>
    <w:rsid w:val="00FE6B2F"/>
    <w:rsid w:val="00FE7809"/>
    <w:rsid w:val="00FF1223"/>
    <w:rsid w:val="00FF32CC"/>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0576F"/>
  <w15:docId w15:val="{8EE4E961-7A8E-41D2-B77C-4C97DA28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47"/>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DB0DF2"/>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DB0DF2"/>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DB0DF2"/>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6D6625"/>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6D6625"/>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E1094"/>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72"/>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A2D74"/>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066764"/>
    <w:rPr>
      <w:b/>
      <w:bCs/>
      <w:sz w:val="48"/>
    </w:rPr>
  </w:style>
  <w:style w:type="paragraph" w:styleId="Title">
    <w:name w:val="Title"/>
    <w:basedOn w:val="Normal"/>
    <w:next w:val="Normal"/>
    <w:link w:val="TitleChar"/>
    <w:uiPriority w:val="10"/>
    <w:qFormat/>
    <w:rsid w:val="00EE30F4"/>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EE30F4"/>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3F5172"/>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6D6625"/>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6D6625"/>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E1094"/>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C1779"/>
    <w:pPr>
      <w:keepNext/>
    </w:pPr>
    <w:rPr>
      <w:rFonts w:ascii="Arial Narrow" w:hAnsi="Arial Narrow"/>
      <w:sz w:val="26"/>
    </w:rPr>
  </w:style>
  <w:style w:type="character" w:customStyle="1" w:styleId="SubtitleChar">
    <w:name w:val="Subtitle Char"/>
    <w:basedOn w:val="DefaultParagraphFont"/>
    <w:link w:val="Subtitle"/>
    <w:uiPriority w:val="11"/>
    <w:rsid w:val="007C177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PlaceholderText">
    <w:name w:val="Placeholder Text"/>
    <w:basedOn w:val="DefaultParagraphFont"/>
    <w:uiPriority w:val="99"/>
    <w:semiHidden/>
    <w:rsid w:val="00433DFA"/>
    <w:rPr>
      <w:color w:val="808080"/>
    </w:r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8019B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8019B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AC0F5D"/>
    <w:pPr>
      <w:spacing w:before="0"/>
    </w:pPr>
    <w:rPr>
      <w:sz w:val="20"/>
      <w:szCs w:val="20"/>
    </w:rPr>
  </w:style>
  <w:style w:type="paragraph" w:customStyle="1" w:styleId="CDICopyrightBullets">
    <w:name w:val="CDI_Copyright_Bullets"/>
    <w:basedOn w:val="CDIBoxBulletGreen"/>
    <w:qFormat/>
    <w:rsid w:val="0003381F"/>
    <w:pPr>
      <w:numPr>
        <w:numId w:val="32"/>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8019B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8019B9"/>
    <w:pPr>
      <w:numPr>
        <w:numId w:val="18"/>
      </w:numPr>
      <w:suppressAutoHyphens/>
      <w:autoSpaceDE w:val="0"/>
      <w:autoSpaceDN w:val="0"/>
      <w:adjustRightInd w:val="0"/>
      <w:ind w:left="714" w:hanging="357"/>
      <w:textAlignment w:val="center"/>
    </w:pPr>
    <w:rPr>
      <w:rFonts w:cs="Minion3-Regular"/>
      <w:szCs w:val="23"/>
      <w:lang w:val="en-GB"/>
    </w:rPr>
  </w:style>
  <w:style w:type="paragraph" w:customStyle="1" w:styleId="CDINumberedList1L1">
    <w:name w:val="CDI_Numbered List (1.) L1"/>
    <w:basedOn w:val="Normal"/>
    <w:uiPriority w:val="99"/>
    <w:rsid w:val="0060332C"/>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AA78FF"/>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AA78FF"/>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AA78FF"/>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A240A7"/>
    <w:rPr>
      <w:rFonts w:ascii="Arial Narrow" w:hAnsi="Arial Narrow"/>
    </w:rPr>
  </w:style>
  <w:style w:type="paragraph" w:customStyle="1" w:styleId="CDIFigure-Table-ImagePlaceholder">
    <w:name w:val="CDI_Figure-Table - Image Placeholder"/>
    <w:basedOn w:val="Normal"/>
    <w:qFormat/>
    <w:rsid w:val="00223F42"/>
    <w:pPr>
      <w:spacing w:after="240"/>
      <w:jc w:val="center"/>
    </w:pPr>
  </w:style>
  <w:style w:type="paragraph" w:customStyle="1" w:styleId="CDIFigure-Table-FirstFootnote">
    <w:name w:val="CDI_Figure-Table - First Footnote"/>
    <w:basedOn w:val="CDIFigure-Table-Footnote"/>
    <w:qFormat/>
    <w:rsid w:val="00937F3C"/>
    <w:pPr>
      <w:spacing w:before="240"/>
    </w:pPr>
  </w:style>
  <w:style w:type="paragraph" w:customStyle="1" w:styleId="CDICopyrightTitle">
    <w:name w:val="CDI_Copyright_Title"/>
    <w:basedOn w:val="CDIBoxHeadingGreen"/>
    <w:qFormat/>
    <w:rsid w:val="007E610C"/>
    <w:pPr>
      <w:spacing w:before="0" w:after="120"/>
      <w:outlineLvl w:val="0"/>
    </w:pPr>
    <w:rPr>
      <w:sz w:val="28"/>
    </w:rPr>
  </w:style>
  <w:style w:type="character" w:customStyle="1" w:styleId="CDICopyrightTextBullet">
    <w:name w:val="CDI_Copyright_Text_Bullet"/>
    <w:basedOn w:val="DefaultParagraphFont"/>
    <w:uiPriority w:val="1"/>
    <w:qFormat/>
    <w:rsid w:val="00D43E8E"/>
    <w:rPr>
      <w:rFonts w:cs="Arial"/>
      <w:color w:val="033636" w:themeColor="text2"/>
    </w:rPr>
  </w:style>
  <w:style w:type="paragraph" w:customStyle="1" w:styleId="CDICopyrightHeading">
    <w:name w:val="CDI_Copyright_Heading"/>
    <w:basedOn w:val="CDICopyrightText"/>
    <w:qFormat/>
    <w:rsid w:val="00194A12"/>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1C5F0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A240A7"/>
    <w:pPr>
      <w:spacing w:before="100" w:beforeAutospacing="1" w:after="100" w:afterAutospacing="1" w:line="240" w:lineRule="auto"/>
    </w:pPr>
    <w:rPr>
      <w:sz w:val="18"/>
    </w:rPr>
  </w:style>
  <w:style w:type="paragraph" w:customStyle="1" w:styleId="CDIFigure-Table-TotalLeft">
    <w:name w:val="CDI_Figure-Table - Total Left"/>
    <w:basedOn w:val="Normal"/>
    <w:qFormat/>
    <w:rsid w:val="000F73D7"/>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F57C42"/>
    <w:pPr>
      <w:jc w:val="center"/>
    </w:pPr>
  </w:style>
  <w:style w:type="paragraph" w:customStyle="1" w:styleId="CDIFigure-Table-BodyTextCentre">
    <w:name w:val="CDI_Figure-Table - Body Text Centre"/>
    <w:basedOn w:val="CDIFigure-Table-BodyTextLeft"/>
    <w:qFormat/>
    <w:rsid w:val="00E271F7"/>
    <w:pPr>
      <w:jc w:val="center"/>
    </w:pPr>
    <w:rPr>
      <w:lang w:val="en-GB"/>
    </w:rPr>
  </w:style>
  <w:style w:type="paragraph" w:customStyle="1" w:styleId="CDIFigure-Table-H1">
    <w:name w:val="CDI_Figure-Table - H1"/>
    <w:basedOn w:val="Normal"/>
    <w:qFormat/>
    <w:rsid w:val="00CA757A"/>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styleId="Header">
    <w:name w:val="header"/>
    <w:basedOn w:val="Normal"/>
    <w:link w:val="HeaderChar"/>
    <w:uiPriority w:val="99"/>
    <w:unhideWhenUsed/>
    <w:rsid w:val="0058484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84848"/>
    <w:rPr>
      <w:rFonts w:ascii="Calibri" w:hAnsi="Calibri"/>
      <w14:ligatures w14:val="standardContextual"/>
    </w:rPr>
  </w:style>
  <w:style w:type="paragraph" w:customStyle="1" w:styleId="CDIFigure-Table-Titlemorespacebefore">
    <w:name w:val="CDI_Figure-Table - Title more space before"/>
    <w:basedOn w:val="CDIFigure-Table-Title"/>
    <w:qFormat/>
    <w:rsid w:val="00834F33"/>
    <w:pPr>
      <w:spacing w:before="360"/>
    </w:pPr>
  </w:style>
  <w:style w:type="paragraph" w:styleId="Footer">
    <w:name w:val="footer"/>
    <w:basedOn w:val="Normal"/>
    <w:link w:val="FooterChar"/>
    <w:uiPriority w:val="99"/>
    <w:unhideWhenUsed/>
    <w:rsid w:val="002F1A7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F1A7C"/>
    <w:rPr>
      <w:rFonts w:ascii="Calibri" w:hAnsi="Calibri"/>
      <w14:ligatures w14:val="standardContextual"/>
    </w:rPr>
  </w:style>
  <w:style w:type="paragraph" w:customStyle="1" w:styleId="CDIFigure-Table-Bullets">
    <w:name w:val="CDI_Figure-Table - Bullets"/>
    <w:basedOn w:val="CDIFigure-Table-BodyTextLeft"/>
    <w:qFormat/>
    <w:rsid w:val="00DD41CC"/>
    <w:pPr>
      <w:numPr>
        <w:numId w:val="31"/>
      </w:numPr>
      <w:spacing w:before="0" w:beforeAutospacing="0" w:after="0" w:afterAutospacing="0"/>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1</TotalTime>
  <Pages>42</Pages>
  <Words>13950</Words>
  <Characters>79519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Communicable Diseases Intelligence - Surveillance of adverse effects following immunisation in Australia, COVID-19 vaccines, 2021</vt:lpstr>
    </vt:vector>
  </TitlesOfParts>
  <Company>Interim Australian Centre for Disease Control</Company>
  <LinksUpToDate>false</LinksUpToDate>
  <CharactersWithSpaces>93283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Surveillance of adverse effects following immunisation in Australia, COVID-19 vaccines, 2021</dc:title>
  <dc:subject>The Therapeutic Goods Administration monitors the safety of vaccines in Australia through collecting and reviewing spontaneous reports of adverse events following immunisation. This report describes the data collected through this spontaneous surveillance system in 2021 for all COVID-19 vaccines.</dc:subject>
  <dc:creator>Catherine Glover;Lucy Deng;Claire Larter;Catherine Brogan;Olivia Richardson;Yuanfei Anny Huang;Elspeth Kay;Kristine Macartney and Nicholas Wood</dc:creator>
  <cp:keywords>AEFI; adverse events; vaccines; surveillance; immunisation; COVID-19; Australia</cp:keywords>
  <dc:description>© Commonwealth of Australia CC BY-NC-ND</dc:description>
  <cp:lastModifiedBy>PETRIE, Simon</cp:lastModifiedBy>
  <cp:revision>2</cp:revision>
  <cp:lastPrinted>2024-03-07T01:06:00Z</cp:lastPrinted>
  <dcterms:created xsi:type="dcterms:W3CDTF">2024-08-20T06:31:00Z</dcterms:created>
  <dcterms:modified xsi:type="dcterms:W3CDTF">2024-08-20T06:31:00Z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24/06/2024</vt:lpwstr>
  </property>
  <property fmtid="{D5CDD505-2E9C-101B-9397-08002B2CF9AE}" pid="5" name="DOI">
    <vt:lpwstr>https://doi.org/10.33321/cdi.2024.48.2</vt:lpwstr>
  </property>
</Properties>
</file>