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D9B08" w14:textId="77777777" w:rsidR="00B623CB" w:rsidRPr="00DD3B5B" w:rsidRDefault="00B623CB" w:rsidP="00DD3B5B">
      <w:pPr>
        <w:pStyle w:val="Subtitle"/>
      </w:pPr>
      <w:r w:rsidRPr="00DD3B5B">
        <w:t xml:space="preserve">Letter to the editor </w:t>
      </w:r>
    </w:p>
    <w:p w14:paraId="35115B26" w14:textId="77777777" w:rsidR="00FF0315" w:rsidRDefault="00FF0315" w:rsidP="005708FA">
      <w:pPr>
        <w:pStyle w:val="Title"/>
        <w:rPr>
          <w:rFonts w:eastAsia="Times New Roman"/>
          <w:sz w:val="48"/>
          <w:szCs w:val="48"/>
        </w:rPr>
      </w:pPr>
      <w:r>
        <w:rPr>
          <w:rFonts w:eastAsia="Times New Roman"/>
        </w:rPr>
        <w:t xml:space="preserve">Influenza vaccination uptake in our most vulnerable groups: how well are we protecting them in 2019? </w:t>
      </w:r>
    </w:p>
    <w:p w14:paraId="75E28117" w14:textId="77777777" w:rsidR="00FF0315" w:rsidRDefault="00FF0315" w:rsidP="00541236">
      <w:r>
        <w:t xml:space="preserve">Frank Beard, Alexandra Hendry, Kristine Macartney </w:t>
      </w:r>
    </w:p>
    <w:p w14:paraId="0D7F49B7" w14:textId="77777777" w:rsidR="00FF0315" w:rsidRDefault="00FF0315" w:rsidP="005708FA">
      <w:r>
        <w:t>Annual influenza vaccination is strongly recommended for children aged 6 months to &lt; 5 years, adults aged ≥ 65 years, Indigenous people aged ≥ 6 months, and anyone aged ≥ 6 months with specified medical conditions.</w:t>
      </w:r>
      <w:r>
        <w:rPr>
          <w:vertAlign w:val="superscript"/>
        </w:rPr>
        <w:t>1</w:t>
      </w:r>
      <w:r>
        <w:t xml:space="preserve"> We previously reported a fivefold increase in influenza vaccine uptake in children aged 6 months to &lt; 5 years, from 5.0% in 2017 to 25.6% in 2018,</w:t>
      </w:r>
      <w:r>
        <w:rPr>
          <w:vertAlign w:val="superscript"/>
        </w:rPr>
        <w:t>2</w:t>
      </w:r>
      <w:r>
        <w:t xml:space="preserve"> in the context of new state/territory-funded programs. We aimed to review whether uptake improved in 2019, and to report the first national influenza vaccine uptake estimates in older adults (≥ 65 years of age) from the ‘whole-of-life’ Australian Immunisation Register (AIR) established in late 2016. Previously published adult uptake data have been limited to sporadic surveys based on self-report.</w:t>
      </w:r>
      <w:r>
        <w:rPr>
          <w:vertAlign w:val="superscript"/>
        </w:rPr>
        <w:t xml:space="preserve">3 </w:t>
      </w:r>
    </w:p>
    <w:p w14:paraId="673BBCC8" w14:textId="77777777" w:rsidR="00FF0315" w:rsidRDefault="00FF0315" w:rsidP="005708FA">
      <w:r>
        <w:t xml:space="preserve">With Australian Government Health Department approval, we analysed de-identified AIR data as </w:t>
      </w:r>
      <w:proofErr w:type="gramStart"/>
      <w:r>
        <w:t>at</w:t>
      </w:r>
      <w:proofErr w:type="gramEnd"/>
      <w:r>
        <w:t xml:space="preserve"> 30 September 2019. Influenza vaccine uptake estimates were calculated weekly for 1 March to 31 August 2019, by age and Indigenous status (Figure 1). </w:t>
      </w:r>
    </w:p>
    <w:p w14:paraId="79C6338C" w14:textId="77777777" w:rsidR="00FF0315" w:rsidRDefault="00FF0315" w:rsidP="005708FA">
      <w:r>
        <w:t>Between March and August 2019, a total of 568,510 (39.7%) children aged 6 months to &lt; 5 years had ≥ 1 dose of influenza vaccine recorded on the AIR, up from 25.6% in 2018.</w:t>
      </w:r>
      <w:r>
        <w:rPr>
          <w:vertAlign w:val="superscript"/>
        </w:rPr>
        <w:t>2</w:t>
      </w:r>
      <w:r>
        <w:t xml:space="preserve"> Uptake varied by age subgroup, highest in the youngest (6 months to &lt; 1 year; 56.7%) and lowest in the oldest (3 to &lt; 5 years; 35.6%). Uptake was similar in Indigenous and non-Indigenous children (39.9% versus 39.7%). </w:t>
      </w:r>
    </w:p>
    <w:p w14:paraId="43B47B78" w14:textId="77777777" w:rsidR="00FF0315" w:rsidRDefault="00FF0315" w:rsidP="005708FA">
      <w:r>
        <w:t>Analysis of AIR adult vaccination data showed recorded influenza vaccine uptake was 58.0% for adults aged ≥</w:t>
      </w:r>
      <w:r w:rsidR="00B623CB">
        <w:t xml:space="preserve"> </w:t>
      </w:r>
      <w:r>
        <w:t>65 years in 2019. As anticipated, this was lower than that reported in the most recent (2014) national survey (73%),</w:t>
      </w:r>
      <w:r>
        <w:rPr>
          <w:vertAlign w:val="superscript"/>
        </w:rPr>
        <w:t>3</w:t>
      </w:r>
      <w:r>
        <w:t xml:space="preserve"> and in test-negative controls from the Influenza Complications Alert Network (FluCAN) sentinel hospital-based surveillance program in 2018 (77%),</w:t>
      </w:r>
      <w:r>
        <w:rPr>
          <w:vertAlign w:val="superscript"/>
        </w:rPr>
        <w:t>4</w:t>
      </w:r>
      <w:r>
        <w:t xml:space="preserve"> but higher than initial years of the AIR where recorded uptake in this age group was 31.5% (2017) and 46.3% (2018),</w:t>
      </w:r>
      <w:r>
        <w:rPr>
          <w:vertAlign w:val="superscript"/>
        </w:rPr>
        <w:t>5</w:t>
      </w:r>
      <w:r>
        <w:t xml:space="preserve"> demonstrating improved completeness of reporting over time. However, true coverage is certainly higher, based on knowledge of vaccine doses distributed, emphasising the importance of continuing efforts to encourage reporting to the AIR. </w:t>
      </w:r>
    </w:p>
    <w:p w14:paraId="7DF17CF0" w14:textId="77777777" w:rsidR="00FF0315" w:rsidRDefault="00FF0315" w:rsidP="005708FA">
      <w:r>
        <w:t>In contrast, recorded uptake in Indigenous adults aged ≥ 65 years was 75.1%, very similar to the 74% reported in the most recent (2012/2013) National Aboriginal and Torres Strait Islander Health Survey.</w:t>
      </w:r>
      <w:r>
        <w:rPr>
          <w:vertAlign w:val="superscript"/>
        </w:rPr>
        <w:t>6</w:t>
      </w:r>
      <w:r>
        <w:t xml:space="preserve"> Recorded uptake in 2019 for Indigenous people in the 15 to &lt; 50 and 50 to &lt; 65 year age groups was lower (28.9% and 52.0%, respectively, data not shown), but also consistent with 2012/2013 survey findings.</w:t>
      </w:r>
      <w:r>
        <w:rPr>
          <w:vertAlign w:val="superscript"/>
        </w:rPr>
        <w:t>6</w:t>
      </w:r>
      <w:r>
        <w:t xml:space="preserve"> </w:t>
      </w:r>
    </w:p>
    <w:p w14:paraId="3452F4EE" w14:textId="77777777" w:rsidR="00FF0315" w:rsidRDefault="00FF0315" w:rsidP="005708FA">
      <w:r>
        <w:t xml:space="preserve">The different vaccination patterns observed are also noteworthy, commencing and peaking several weeks earlier in adults aged ≥ 65 years than in young children. This may be due to early rollout and prioritisation following the early onset of influenza activity in 2019. The steeper uptake from June to August in children aged 6 to &lt; 12 months likely reflects children reaching 6 months of age throughout the season, and the routine scheduled visit for other vaccines at this milestone. These data can help inform program and immunisation provider service delivery. </w:t>
      </w:r>
    </w:p>
    <w:p w14:paraId="6D8B1E1B" w14:textId="77777777" w:rsidR="00FF0315" w:rsidRDefault="00FF0315" w:rsidP="005708FA">
      <w:r>
        <w:t xml:space="preserve">In conclusion, uptake of influenza vaccine in young children continues to increase, driven by state/territory-funded universal influenza vaccination programs. Funding for this age group under the NIP, commencing 2020, should underpin further improvement. AIR data underestimate true adult influenza vaccine uptake, although data completeness has improved substantially. We advocate that: </w:t>
      </w:r>
    </w:p>
    <w:p w14:paraId="0D0EF53C" w14:textId="77777777" w:rsidR="00FF0315" w:rsidRPr="005708FA" w:rsidRDefault="00FF0315" w:rsidP="005708FA">
      <w:pPr>
        <w:pStyle w:val="ListParagraph"/>
        <w:numPr>
          <w:ilvl w:val="0"/>
          <w:numId w:val="10"/>
        </w:numPr>
        <w:rPr>
          <w:rFonts w:eastAsia="Times New Roman"/>
        </w:rPr>
      </w:pPr>
      <w:r w:rsidRPr="005708FA">
        <w:rPr>
          <w:rFonts w:eastAsia="Times New Roman"/>
        </w:rPr>
        <w:lastRenderedPageBreak/>
        <w:t xml:space="preserve">Clinicians and public health programs continue to enhance strategies to increase influenza vaccination for all at-risk individuals as recommended, and </w:t>
      </w:r>
    </w:p>
    <w:p w14:paraId="11E2C95B" w14:textId="77777777" w:rsidR="00FF0315" w:rsidRPr="005708FA" w:rsidRDefault="00FF0315" w:rsidP="005708FA">
      <w:pPr>
        <w:pStyle w:val="ListParagraph"/>
        <w:numPr>
          <w:ilvl w:val="0"/>
          <w:numId w:val="10"/>
        </w:numPr>
        <w:rPr>
          <w:rFonts w:eastAsia="Times New Roman"/>
        </w:rPr>
      </w:pPr>
      <w:r w:rsidRPr="005708FA">
        <w:rPr>
          <w:rFonts w:eastAsia="Times New Roman"/>
        </w:rPr>
        <w:t xml:space="preserve">Immunisation providers, including those in primary care, vaccinating pharmacists and workplace and hospital-based providers, report </w:t>
      </w:r>
      <w:r w:rsidRPr="00597D02">
        <w:rPr>
          <w:rStyle w:val="Emphasis"/>
          <w:rFonts w:eastAsia="Times New Roman"/>
          <w:b w:val="0"/>
        </w:rPr>
        <w:t>all</w:t>
      </w:r>
      <w:r w:rsidRPr="005708FA">
        <w:rPr>
          <w:rFonts w:eastAsia="Times New Roman"/>
        </w:rPr>
        <w:t xml:space="preserve"> vaccinations, including influenza, to the AIR, so that individual and population-level data can inform both clinical management and public health policy and practice. </w:t>
      </w:r>
    </w:p>
    <w:p w14:paraId="44535145" w14:textId="77777777" w:rsidR="00FF0315" w:rsidRPr="005708FA" w:rsidRDefault="00FF0315" w:rsidP="005708FA">
      <w:pPr>
        <w:pStyle w:val="Heading1"/>
      </w:pPr>
      <w:r w:rsidRPr="005708FA">
        <w:t xml:space="preserve">Author details </w:t>
      </w:r>
    </w:p>
    <w:p w14:paraId="4B619A29" w14:textId="77777777" w:rsidR="00FF0315" w:rsidRDefault="00FF0315" w:rsidP="005708FA">
      <w:r>
        <w:t xml:space="preserve">Dr Frank Beard, </w:t>
      </w:r>
      <w:r>
        <w:rPr>
          <w:vertAlign w:val="superscript"/>
        </w:rPr>
        <w:t>1,2</w:t>
      </w:r>
      <w:r>
        <w:t xml:space="preserve"> Dr Alexandra Hendry,</w:t>
      </w:r>
      <w:r>
        <w:rPr>
          <w:vertAlign w:val="superscript"/>
        </w:rPr>
        <w:t>1</w:t>
      </w:r>
      <w:r>
        <w:t xml:space="preserve"> Prof Kristine Macartney</w:t>
      </w:r>
      <w:r>
        <w:rPr>
          <w:vertAlign w:val="superscript"/>
        </w:rPr>
        <w:t xml:space="preserve">1,2 </w:t>
      </w:r>
    </w:p>
    <w:p w14:paraId="7A63E56B" w14:textId="77777777" w:rsidR="00FF0315" w:rsidRPr="005708FA" w:rsidRDefault="00FF0315" w:rsidP="005708FA">
      <w:pPr>
        <w:pStyle w:val="ListParagraph"/>
        <w:numPr>
          <w:ilvl w:val="0"/>
          <w:numId w:val="11"/>
        </w:numPr>
        <w:rPr>
          <w:rFonts w:eastAsia="Times New Roman"/>
        </w:rPr>
      </w:pPr>
      <w:r w:rsidRPr="005708FA">
        <w:rPr>
          <w:rFonts w:eastAsia="Times New Roman"/>
        </w:rPr>
        <w:t xml:space="preserve">National Centre for Immunisation Research and Surveillance, Westmead, NSW, Australia </w:t>
      </w:r>
    </w:p>
    <w:p w14:paraId="6565217F" w14:textId="77777777" w:rsidR="00FF0315" w:rsidRPr="005708FA" w:rsidRDefault="00FF0315" w:rsidP="005708FA">
      <w:pPr>
        <w:pStyle w:val="ListParagraph"/>
        <w:numPr>
          <w:ilvl w:val="0"/>
          <w:numId w:val="11"/>
        </w:numPr>
        <w:rPr>
          <w:rFonts w:eastAsia="Times New Roman"/>
        </w:rPr>
      </w:pPr>
      <w:r w:rsidRPr="005708FA">
        <w:rPr>
          <w:rFonts w:eastAsia="Times New Roman"/>
        </w:rPr>
        <w:t xml:space="preserve">The University of Sydney, NSW, Australia </w:t>
      </w:r>
    </w:p>
    <w:p w14:paraId="73C2E711" w14:textId="77777777" w:rsidR="00FF0315" w:rsidRPr="005708FA" w:rsidRDefault="00FF0315" w:rsidP="005708FA">
      <w:pPr>
        <w:pStyle w:val="Heading1"/>
      </w:pPr>
      <w:r w:rsidRPr="005708FA">
        <w:t xml:space="preserve">Corresponding author </w:t>
      </w:r>
    </w:p>
    <w:p w14:paraId="17276087" w14:textId="77777777" w:rsidR="00C9302D" w:rsidRDefault="00FF0315" w:rsidP="00C74FC4">
      <w:pPr>
        <w:pStyle w:val="NoSpacing"/>
      </w:pPr>
      <w:r>
        <w:t xml:space="preserve">Dr Frank Beard </w:t>
      </w:r>
    </w:p>
    <w:p w14:paraId="5CAEDD81" w14:textId="77777777" w:rsidR="00C9302D" w:rsidRDefault="00FF0315" w:rsidP="00C74FC4">
      <w:pPr>
        <w:pStyle w:val="NoSpacing"/>
      </w:pPr>
      <w:r>
        <w:t xml:space="preserve">Associate Director, Coverage, Evaluation, Surveillance and Social Science National Centre for Immunisation Research and Surveillance Locked Bag 4001, Westmead NSW 2145 </w:t>
      </w:r>
    </w:p>
    <w:p w14:paraId="3B747C20" w14:textId="77777777" w:rsidR="00C9302D" w:rsidRDefault="00FF0315" w:rsidP="00C74FC4">
      <w:pPr>
        <w:pStyle w:val="NoSpacing"/>
      </w:pPr>
      <w:r>
        <w:t xml:space="preserve">Phone (02) 9845 1406 </w:t>
      </w:r>
    </w:p>
    <w:p w14:paraId="7ECA9E6E" w14:textId="77777777" w:rsidR="00FF0315" w:rsidRDefault="00FF0315" w:rsidP="00C74FC4">
      <w:pPr>
        <w:pStyle w:val="NoSpacing"/>
      </w:pPr>
      <w:r>
        <w:t xml:space="preserve">Email: frank.beard@health.nsw.gov.au </w:t>
      </w:r>
    </w:p>
    <w:p w14:paraId="3E2CD4C0" w14:textId="77777777" w:rsidR="00FF0315" w:rsidRPr="005708FA" w:rsidRDefault="00FF0315" w:rsidP="005708FA">
      <w:pPr>
        <w:pStyle w:val="Heading1"/>
      </w:pPr>
      <w:r w:rsidRPr="005708FA">
        <w:t xml:space="preserve">References </w:t>
      </w:r>
    </w:p>
    <w:p w14:paraId="58EAAE14" w14:textId="77777777" w:rsidR="00FF0315" w:rsidRPr="005708FA" w:rsidRDefault="00FF0315" w:rsidP="005708FA">
      <w:pPr>
        <w:pStyle w:val="ListParagraph"/>
        <w:numPr>
          <w:ilvl w:val="0"/>
          <w:numId w:val="12"/>
        </w:numPr>
        <w:rPr>
          <w:rFonts w:eastAsia="Times New Roman"/>
        </w:rPr>
      </w:pPr>
      <w:r w:rsidRPr="005708FA">
        <w:rPr>
          <w:rFonts w:eastAsia="Times New Roman"/>
        </w:rPr>
        <w:t xml:space="preserve">Australian Technical Advisory Group on Immunisation (ATAGI). Australian Immunisation Handbook. [Internet.] Canberra: Australian Government Department of Health; 2019. [Accessed 8 November 2019.] Available from: https://immunisationhandbook.health.gov.au. </w:t>
      </w:r>
    </w:p>
    <w:p w14:paraId="3E25176C" w14:textId="77777777" w:rsidR="00FF0315" w:rsidRPr="005708FA" w:rsidRDefault="00FF0315" w:rsidP="005708FA">
      <w:pPr>
        <w:pStyle w:val="ListParagraph"/>
        <w:numPr>
          <w:ilvl w:val="0"/>
          <w:numId w:val="12"/>
        </w:numPr>
        <w:rPr>
          <w:rFonts w:eastAsia="Times New Roman"/>
        </w:rPr>
      </w:pPr>
      <w:r w:rsidRPr="005708FA">
        <w:rPr>
          <w:rFonts w:eastAsia="Times New Roman"/>
        </w:rPr>
        <w:t xml:space="preserve">Beard FH, Hendry AJ, Macartney K. Early success with room for improvement: influenza vaccination of young Australian children. </w:t>
      </w:r>
      <w:r w:rsidRPr="00597D02">
        <w:rPr>
          <w:rStyle w:val="Emphasis"/>
          <w:rFonts w:eastAsia="Times New Roman"/>
          <w:b w:val="0"/>
        </w:rPr>
        <w:t>Med J Aust</w:t>
      </w:r>
      <w:r w:rsidRPr="005708FA">
        <w:rPr>
          <w:rFonts w:eastAsia="Times New Roman"/>
        </w:rPr>
        <w:t xml:space="preserve">. 2019;210(11):484–6. </w:t>
      </w:r>
    </w:p>
    <w:p w14:paraId="30006220" w14:textId="77777777" w:rsidR="00FF0315" w:rsidRPr="005708FA" w:rsidRDefault="00FF0315" w:rsidP="005708FA">
      <w:pPr>
        <w:pStyle w:val="ListParagraph"/>
        <w:numPr>
          <w:ilvl w:val="0"/>
          <w:numId w:val="12"/>
        </w:numPr>
        <w:rPr>
          <w:rFonts w:eastAsia="Times New Roman"/>
        </w:rPr>
      </w:pPr>
      <w:r w:rsidRPr="005708FA">
        <w:rPr>
          <w:rFonts w:eastAsia="Times New Roman"/>
        </w:rPr>
        <w:t xml:space="preserve">Newspoll. Newspoll Omnibus Survey on adult flu vaccinations: summary report. 2014. [Accessed 8 April 2019.] Available from: https://beta.health.gov.au/resources/publications/newspoll-omnibus-survey-on-adult-flu-vaccinations-summary-report. </w:t>
      </w:r>
    </w:p>
    <w:p w14:paraId="19C141F0" w14:textId="77777777" w:rsidR="00FF0315" w:rsidRPr="005708FA" w:rsidRDefault="00FF0315" w:rsidP="005708FA">
      <w:pPr>
        <w:pStyle w:val="ListParagraph"/>
        <w:numPr>
          <w:ilvl w:val="0"/>
          <w:numId w:val="12"/>
        </w:numPr>
        <w:rPr>
          <w:rFonts w:eastAsia="Times New Roman"/>
        </w:rPr>
      </w:pPr>
      <w:r w:rsidRPr="005708FA">
        <w:rPr>
          <w:rFonts w:eastAsia="Times New Roman"/>
        </w:rPr>
        <w:t xml:space="preserve">Cheng AC, Holmes M, Dwyer DE, Senanayake S, Cooley L, Irving LB et al. Influenza epidemiology in patients admitted to sentinel Australian hospitals in 2018: the Influenza Complications Alert Network (FluCAN). </w:t>
      </w:r>
      <w:r w:rsidRPr="00597D02">
        <w:rPr>
          <w:rStyle w:val="Emphasis"/>
          <w:rFonts w:eastAsia="Times New Roman"/>
          <w:b w:val="0"/>
        </w:rPr>
        <w:t>Commun Dis Intell (2018)</w:t>
      </w:r>
      <w:r w:rsidRPr="005708FA">
        <w:rPr>
          <w:rFonts w:eastAsia="Times New Roman"/>
        </w:rPr>
        <w:t xml:space="preserve">. 2019;43. doi: https://doi.org/10.33321/cdi.2019.43.48. </w:t>
      </w:r>
    </w:p>
    <w:p w14:paraId="260B65A3" w14:textId="77777777" w:rsidR="00FF0315" w:rsidRPr="005708FA" w:rsidRDefault="00FF0315" w:rsidP="005708FA">
      <w:pPr>
        <w:pStyle w:val="ListParagraph"/>
        <w:numPr>
          <w:ilvl w:val="0"/>
          <w:numId w:val="12"/>
        </w:numPr>
        <w:rPr>
          <w:rFonts w:eastAsia="Times New Roman"/>
        </w:rPr>
      </w:pPr>
      <w:r w:rsidRPr="005708FA">
        <w:rPr>
          <w:rFonts w:eastAsia="Times New Roman"/>
        </w:rPr>
        <w:t xml:space="preserve">Hull B, Hendry A, Dey A, Macartney K, McIntyre P, Beard F. Exploratory analysis of the first 2 years of adult vaccination data recorded on AIR. Sydney: National Centre for Immunisation Research and Surveillance; 2019. [Accessed on 29 November 2019.] Available from: http://ncirs.org.au/sites/default/files/2019-11/Analysis%20of%20adult%20vaccination%20data%20on%20AIR_Nov%202019.pdf </w:t>
      </w:r>
    </w:p>
    <w:p w14:paraId="1E46E2B4" w14:textId="77777777" w:rsidR="00FF0315" w:rsidRPr="005708FA" w:rsidRDefault="00FF0315" w:rsidP="005708FA">
      <w:pPr>
        <w:pStyle w:val="ListParagraph"/>
        <w:numPr>
          <w:ilvl w:val="0"/>
          <w:numId w:val="12"/>
        </w:numPr>
        <w:rPr>
          <w:rFonts w:eastAsia="Times New Roman"/>
        </w:rPr>
      </w:pPr>
      <w:r w:rsidRPr="005708FA">
        <w:rPr>
          <w:rFonts w:eastAsia="Times New Roman"/>
        </w:rPr>
        <w:t xml:space="preserve">Webster F, Gidding H, Matthews V, Taylor R, Menzies R. What isn’t measured isn’t done – eight years with no progress in Aboriginal and Torres Strait Islander adult influenza and pneumococcal vaccination. </w:t>
      </w:r>
      <w:r w:rsidRPr="00597D02">
        <w:rPr>
          <w:rStyle w:val="Emphasis"/>
          <w:rFonts w:eastAsia="Times New Roman"/>
          <w:b w:val="0"/>
        </w:rPr>
        <w:t>Aust N Z J Public Health</w:t>
      </w:r>
      <w:r w:rsidRPr="005708FA">
        <w:rPr>
          <w:rFonts w:eastAsia="Times New Roman"/>
        </w:rPr>
        <w:t>. 2019;</w:t>
      </w:r>
      <w:r w:rsidR="00C9302D">
        <w:rPr>
          <w:rFonts w:eastAsia="Times New Roman"/>
        </w:rPr>
        <w:t>43(6):558–62</w:t>
      </w:r>
      <w:r w:rsidRPr="005708FA">
        <w:rPr>
          <w:rFonts w:eastAsia="Times New Roman"/>
        </w:rPr>
        <w:t>.</w:t>
      </w:r>
    </w:p>
    <w:p w14:paraId="2073C79E" w14:textId="77777777" w:rsidR="00664778" w:rsidRDefault="00664778" w:rsidP="00664778">
      <w:pPr>
        <w:pStyle w:val="CDIFigures"/>
        <w:sectPr w:rsidR="0066477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4BDC308" w14:textId="77777777" w:rsidR="00FF0315" w:rsidRDefault="00FF0315" w:rsidP="00664778">
      <w:pPr>
        <w:pStyle w:val="CDIFigures"/>
      </w:pPr>
      <w:r>
        <w:lastRenderedPageBreak/>
        <w:t>Figure 1. Cumulative influenza vaccine uptake (≥1 dose) by age group, all Australians (A) and Indigenous Australians (B), 1 March to 31 August 2019</w:t>
      </w:r>
    </w:p>
    <w:p w14:paraId="4EEFBA16" w14:textId="77777777" w:rsidR="008B5348" w:rsidRDefault="00FF0315" w:rsidP="00673A93">
      <w:pPr>
        <w:pStyle w:val="NormalWeb"/>
        <w:rPr>
          <w:rStyle w:val="A10"/>
        </w:rPr>
      </w:pPr>
      <w:r>
        <w:t xml:space="preserve">A) </w:t>
      </w:r>
      <w:r w:rsidR="00673A93">
        <w:br/>
      </w:r>
      <w:r>
        <w:rPr>
          <w:noProof/>
        </w:rPr>
        <w:drawing>
          <wp:inline distT="0" distB="0" distL="0" distR="0" wp14:anchorId="2F3E78EC" wp14:editId="65B2B651">
            <wp:extent cx="6629400" cy="4120265"/>
            <wp:effectExtent l="0" t="0" r="0" b="0"/>
            <wp:docPr id="3" name="Picture 3" descr="Line graph showing cumulative influenza vaccine uptake (≥1 dose) by age group (6 months-&lt;1 year, 1-&lt;2 years, 2-&lt;3 years, 3-&lt; 5 years, ≥65 years), for all Australians (A) and Indigenous Australians (B), 1 March to 31 August 2019. Uptake (for both all Australians and Indigenous Australians) commences in mid-April in young children and increases steeply through to the end of May before flattening off, but commences and peaks several weeks earlier in adults aged ≥65 years. Uptake achieved by 31 August varies by age subgroup – highest in the youngest (6 months–&lt;1 year; 56.7% for all Australians and 51.9% for Indigenous Australians) and lowest in the oldest (3–&lt;5 years; 35.6% for all Australians and 35.6% for Indigenous Australians). Cumulative uptake is similar in Indigenous and non-Indigenous children (39.9% versus 39.7% for 6 months-&lt;5 years combined), but higher for Indigenous adults aged ≥65 years (75.1% versus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graph showing cumulative influenza vaccine uptake (≥1 dose) by age group (6 months-&lt;1 year, 1-&lt;2 years, 2-&lt;3 years, 3-&lt; 5 years, ≥65 years), for all Australians (A) and Indigenous Australians (B), 1 March to 31 August 2019. Uptake (for both all Australians and Indigenous Australians) commences in mid-April in young children and increases steeply through to the end of May before flattening off, but commences and peaks several weeks earlier in adults aged ≥65 years. Uptake achieved by 31 August varies by age subgroup – highest in the youngest (6 months–&lt;1 year; 56.7% for all Australians and 51.9% for Indigenous Australians) and lowest in the oldest (3–&lt;5 years; 35.6% for all Australians and 35.6% for Indigenous Australians). Cumulative uptake is similar in Indigenous and non-Indigenous children (39.9% versus 39.7% for 6 months-&lt;5 years combined), but higher for Indigenous adults aged ≥65 years (75.1% versus 58.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7730" cy="4125442"/>
                    </a:xfrm>
                    <a:prstGeom prst="rect">
                      <a:avLst/>
                    </a:prstGeom>
                  </pic:spPr>
                </pic:pic>
              </a:graphicData>
            </a:graphic>
          </wp:inline>
        </w:drawing>
      </w:r>
      <w:r w:rsidR="00673A93">
        <w:br/>
      </w:r>
      <w:r>
        <w:t>B)</w:t>
      </w:r>
      <w:r w:rsidR="00673A93">
        <w:br/>
      </w:r>
      <w:r>
        <w:rPr>
          <w:noProof/>
        </w:rPr>
        <w:drawing>
          <wp:inline distT="0" distB="0" distL="0" distR="0" wp14:anchorId="0AB1CF47" wp14:editId="0CB3B851">
            <wp:extent cx="6672228" cy="4151462"/>
            <wp:effectExtent l="0" t="0" r="0" b="1905"/>
            <wp:docPr id="2" name="Picture 2" descr="Line graph showing cumulative influenza vaccine uptake (≥1 dose) by age group (6 months-&lt;1 year, 1-&lt;2 years, 2-&lt;3 years, 3-&lt; 5 years, ≥65 years), for all Australians (A) and Indigenous Australians (B), 1 March to 31 August 2019. Uptake (for both all Australians and Indigenous Australians) commences in mid-April in young children and increases steeply through to the end of May before flattening off, but commences and peaks several weeks earlier in adults aged ≥65 years. Uptake achieved by 31 August varies by age subgroup – highest in the youngest (6 months–&lt;1 year; 56.7% for all Australians and 51.9% for Indigenous Australians) and lowest in the oldest (3–&lt;5 years; 35.6% for all Australians and 35.6% for Indigenous Australians). Cumulative uptake is similar in Indigenous and non-Indigenous children (39.9% versus 39.7% for 6 months-&lt;5 years combined), but higher for Indigenous adults aged ≥65 years (75.1% versus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ph showing cumulative influenza vaccine uptake (≥1 dose) by age group (6 months-&lt;1 year, 1-&lt;2 years, 2-&lt;3 years, 3-&lt; 5 years, ≥65 years), for all Australians (A) and Indigenous Australians (B), 1 March to 31 August 2019. Uptake (for both all Australians and Indigenous Australians) commences in mid-April in young children and increases steeply through to the end of May before flattening off, but commences and peaks several weeks earlier in adults aged ≥65 years. Uptake achieved by 31 August varies by age subgroup – highest in the youngest (6 months–&lt;1 year; 56.7% for all Australians and 51.9% for Indigenous Australians) and lowest in the oldest (3–&lt;5 years; 35.6% for all Australians and 35.6% for Indigenous Australians). Cumulative uptake is similar in Indigenous and non-Indigenous children (39.9% versus 39.7% for 6 months-&lt;5 years combined), but higher for Indigenous adults aged ≥65 years (75.1% versus 58.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79304" cy="4155864"/>
                    </a:xfrm>
                    <a:prstGeom prst="rect">
                      <a:avLst/>
                    </a:prstGeom>
                  </pic:spPr>
                </pic:pic>
              </a:graphicData>
            </a:graphic>
          </wp:inline>
        </w:drawing>
      </w:r>
      <w:r w:rsidR="008B5348">
        <w:rPr>
          <w:rStyle w:val="A10"/>
        </w:rPr>
        <w:br w:type="page"/>
      </w:r>
    </w:p>
    <w:p w14:paraId="5DC2AFF6"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10E565A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B78B59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0DB5578" w14:textId="77777777" w:rsidR="000A5F42" w:rsidRPr="000606CC" w:rsidRDefault="000A5F42" w:rsidP="000A5F42">
      <w:pPr>
        <w:pStyle w:val="NoSpacing"/>
        <w:rPr>
          <w:rStyle w:val="URI"/>
          <w:rFonts w:cstheme="minorHAnsi"/>
          <w:sz w:val="20"/>
          <w:szCs w:val="18"/>
        </w:rPr>
      </w:pPr>
    </w:p>
    <w:p w14:paraId="296AC0D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F75202B" w14:textId="77777777" w:rsidR="000A5F42" w:rsidRPr="000606CC" w:rsidRDefault="000A5F42" w:rsidP="000A5F42">
      <w:pPr>
        <w:pStyle w:val="NoSpacing"/>
        <w:rPr>
          <w:rStyle w:val="Strong"/>
          <w:rFonts w:cstheme="minorHAnsi"/>
          <w:sz w:val="20"/>
          <w:szCs w:val="18"/>
        </w:rPr>
      </w:pPr>
    </w:p>
    <w:p w14:paraId="4B5FFB9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55A7A" w:rsidRPr="00855A7A">
        <w:rPr>
          <w:rFonts w:cstheme="minorHAnsi"/>
          <w:sz w:val="20"/>
          <w:szCs w:val="18"/>
        </w:rPr>
        <w:t>Tanja Farmer</w:t>
      </w:r>
    </w:p>
    <w:p w14:paraId="3C42E3E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D2D38C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AE7344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12CD84DA" w14:textId="77777777" w:rsidR="000A5F42" w:rsidRPr="000606CC" w:rsidRDefault="000A5F42" w:rsidP="000A5F42">
      <w:pPr>
        <w:pStyle w:val="NoSpacing"/>
        <w:rPr>
          <w:rStyle w:val="Strong"/>
          <w:rFonts w:cstheme="minorHAnsi"/>
          <w:sz w:val="20"/>
          <w:szCs w:val="18"/>
        </w:rPr>
      </w:pPr>
    </w:p>
    <w:p w14:paraId="716E58D0" w14:textId="3CEA51E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152178D" w14:textId="77777777" w:rsidR="000A5F42" w:rsidRPr="000606CC" w:rsidRDefault="000A5F42" w:rsidP="000A5F42">
      <w:pPr>
        <w:pStyle w:val="NoSpacing"/>
        <w:rPr>
          <w:rStyle w:val="Strong"/>
          <w:rFonts w:cstheme="minorHAnsi"/>
          <w:sz w:val="20"/>
          <w:szCs w:val="18"/>
        </w:rPr>
      </w:pPr>
    </w:p>
    <w:p w14:paraId="355E5CF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020E997" w14:textId="77777777" w:rsidR="000A5F42" w:rsidRPr="000606CC" w:rsidRDefault="000A5F42" w:rsidP="000A5F42">
      <w:pPr>
        <w:pStyle w:val="NoSpacing"/>
        <w:rPr>
          <w:rStyle w:val="Strong"/>
          <w:rFonts w:cstheme="minorHAnsi"/>
          <w:sz w:val="20"/>
          <w:szCs w:val="18"/>
        </w:rPr>
      </w:pPr>
    </w:p>
    <w:p w14:paraId="09ADFD62" w14:textId="5FBB0B8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2DE3C91" w14:textId="77777777" w:rsidR="000A5F42" w:rsidRPr="000606CC" w:rsidRDefault="000A5F42" w:rsidP="000A5F42">
      <w:pPr>
        <w:pStyle w:val="NoSpacing"/>
        <w:rPr>
          <w:rStyle w:val="Strong"/>
          <w:rFonts w:cstheme="minorHAnsi"/>
          <w:sz w:val="20"/>
          <w:szCs w:val="18"/>
        </w:rPr>
      </w:pPr>
    </w:p>
    <w:p w14:paraId="52C67615" w14:textId="04AA783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2ACF872" w14:textId="287C9F4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60C3E7B5" w14:textId="77777777" w:rsidR="000A5F42" w:rsidRPr="000606CC" w:rsidRDefault="000A5F42" w:rsidP="000A5F42">
      <w:pPr>
        <w:pStyle w:val="NoSpacing"/>
        <w:pBdr>
          <w:bottom w:val="single" w:sz="6" w:space="1" w:color="auto"/>
        </w:pBdr>
        <w:rPr>
          <w:rStyle w:val="Strong"/>
          <w:rFonts w:cstheme="minorHAnsi"/>
          <w:sz w:val="12"/>
          <w:szCs w:val="18"/>
        </w:rPr>
      </w:pPr>
    </w:p>
    <w:p w14:paraId="569CF0BB" w14:textId="77777777" w:rsidR="000A5F42" w:rsidRPr="000606CC" w:rsidRDefault="000A5F42" w:rsidP="000A5F42">
      <w:pPr>
        <w:pStyle w:val="NoSpacing"/>
        <w:rPr>
          <w:rFonts w:cstheme="minorHAnsi"/>
          <w:sz w:val="20"/>
          <w:szCs w:val="18"/>
        </w:rPr>
      </w:pPr>
    </w:p>
    <w:p w14:paraId="5DCC17F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9BF4280" w14:textId="77777777" w:rsidR="000A5F42" w:rsidRPr="000606CC" w:rsidRDefault="000A5F42" w:rsidP="000A5F42">
      <w:pPr>
        <w:pStyle w:val="NoSpacing"/>
        <w:rPr>
          <w:rFonts w:cstheme="minorHAnsi"/>
          <w:sz w:val="20"/>
          <w:szCs w:val="18"/>
        </w:rPr>
      </w:pPr>
    </w:p>
    <w:p w14:paraId="3967336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72C60B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CA4FBE">
        <w:rPr>
          <w:rFonts w:cstheme="minorHAnsi"/>
          <w:sz w:val="20"/>
          <w:szCs w:val="18"/>
        </w:rPr>
        <w:t>2020</w:t>
      </w:r>
      <w:r w:rsidRPr="000606CC">
        <w:rPr>
          <w:rFonts w:cstheme="minorHAnsi"/>
          <w:sz w:val="20"/>
          <w:szCs w:val="18"/>
        </w:rPr>
        <w:t xml:space="preserve"> Commonwealth of Australia as represented by the Department of Health</w:t>
      </w:r>
    </w:p>
    <w:p w14:paraId="0C874C50" w14:textId="1704AF5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D8747E5" w14:textId="77777777" w:rsidR="000A5F42" w:rsidRPr="000606CC" w:rsidRDefault="000A5F42" w:rsidP="000A5F42">
      <w:pPr>
        <w:pStyle w:val="NoSpacing"/>
        <w:rPr>
          <w:rFonts w:cstheme="minorHAnsi"/>
          <w:sz w:val="20"/>
          <w:szCs w:val="18"/>
        </w:rPr>
      </w:pPr>
    </w:p>
    <w:p w14:paraId="09DDE3D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079E202" w14:textId="6FB9461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EE01DB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6E1287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6DAF4A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8E7F81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6257341" w14:textId="77777777" w:rsidR="000A5F42" w:rsidRPr="000606CC" w:rsidRDefault="000A5F42" w:rsidP="000A5F42">
      <w:pPr>
        <w:pStyle w:val="NoSpacing"/>
        <w:rPr>
          <w:rStyle w:val="Strong"/>
          <w:rFonts w:cstheme="minorHAnsi"/>
          <w:sz w:val="20"/>
          <w:szCs w:val="18"/>
        </w:rPr>
      </w:pPr>
    </w:p>
    <w:p w14:paraId="25C369D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4C04627" w14:textId="77777777" w:rsidR="000A5F42" w:rsidRPr="000606CC" w:rsidRDefault="000A5F42" w:rsidP="000A5F42">
      <w:pPr>
        <w:pStyle w:val="NoSpacing"/>
        <w:rPr>
          <w:rStyle w:val="Strong"/>
          <w:rFonts w:cstheme="minorHAnsi"/>
          <w:sz w:val="20"/>
          <w:szCs w:val="18"/>
        </w:rPr>
      </w:pPr>
    </w:p>
    <w:p w14:paraId="6F503955" w14:textId="3B5A379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3B452AF" w14:textId="77777777" w:rsidR="000A5F42" w:rsidRPr="000606CC" w:rsidRDefault="000A5F42" w:rsidP="000A5F42">
      <w:pPr>
        <w:pStyle w:val="NoSpacing"/>
        <w:rPr>
          <w:rStyle w:val="URI"/>
          <w:rFonts w:cstheme="minorHAnsi"/>
          <w:sz w:val="20"/>
          <w:szCs w:val="18"/>
        </w:rPr>
      </w:pPr>
    </w:p>
    <w:p w14:paraId="67D4F77C" w14:textId="51F5B83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7027503F"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DDC6" w14:textId="77777777" w:rsidR="00DB507A" w:rsidRDefault="00DB507A" w:rsidP="00E54DBA">
      <w:r>
        <w:separator/>
      </w:r>
    </w:p>
    <w:p w14:paraId="44A9C0AF" w14:textId="77777777" w:rsidR="00DB507A" w:rsidRDefault="00DB507A"/>
    <w:p w14:paraId="3F51C58D" w14:textId="77777777" w:rsidR="00DB507A" w:rsidRDefault="00DB507A" w:rsidP="008714B0"/>
  </w:endnote>
  <w:endnote w:type="continuationSeparator" w:id="0">
    <w:p w14:paraId="135C4755" w14:textId="77777777" w:rsidR="00DB507A" w:rsidRDefault="00DB507A" w:rsidP="00E54DBA">
      <w:r>
        <w:continuationSeparator/>
      </w:r>
    </w:p>
    <w:p w14:paraId="56293728" w14:textId="77777777" w:rsidR="00DB507A" w:rsidRDefault="00DB507A"/>
    <w:p w14:paraId="0635EAFA" w14:textId="77777777" w:rsidR="00DB507A" w:rsidRDefault="00DB507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197E"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A4FBE">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A4FBE">
      <w:rPr>
        <w:noProof/>
        <w:sz w:val="18"/>
      </w:rPr>
      <w:t>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597D02">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60CA9">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60CA9">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549A5">
      <w:rPr>
        <w:sz w:val="18"/>
      </w:rPr>
      <w:t>https://doi.org/10.33321/cdi.2020.44.27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549A5">
      <w:rPr>
        <w:sz w:val="18"/>
      </w:rPr>
      <w:t>15/04/2020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4D2C"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B507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DB507A">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597D02">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60CA9">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60CA9">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B70F8">
      <w:rPr>
        <w:sz w:val="18"/>
      </w:rPr>
      <w:t>https://doi.org/10.33321/cdi.2020.44.27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B70F8">
      <w:rPr>
        <w:sz w:val="18"/>
      </w:rPr>
      <w:t>15/04/2020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8C97" w14:textId="77777777" w:rsidR="00DB507A" w:rsidRDefault="00DB507A" w:rsidP="00E54DBA">
      <w:r>
        <w:separator/>
      </w:r>
    </w:p>
  </w:footnote>
  <w:footnote w:type="continuationSeparator" w:id="0">
    <w:p w14:paraId="62C8E0A9" w14:textId="77777777" w:rsidR="00DB507A" w:rsidRDefault="00DB507A" w:rsidP="00E54DBA">
      <w:r>
        <w:continuationSeparator/>
      </w:r>
    </w:p>
  </w:footnote>
  <w:footnote w:type="continuationNotice" w:id="1">
    <w:p w14:paraId="1FBA0879" w14:textId="77777777" w:rsidR="00DB507A" w:rsidRPr="00224EFF" w:rsidRDefault="00DB507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F106" w14:textId="79A5FF79" w:rsidR="00257484" w:rsidRPr="00A153B6" w:rsidRDefault="00C959D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01EE5">
          <w:t>Letter to the editor</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9D9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0B89C3A"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E16"/>
    <w:multiLevelType w:val="hybridMultilevel"/>
    <w:tmpl w:val="2CDC6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86205"/>
    <w:multiLevelType w:val="hybridMultilevel"/>
    <w:tmpl w:val="5830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A65E98"/>
    <w:multiLevelType w:val="multilevel"/>
    <w:tmpl w:val="7F14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F055A"/>
    <w:multiLevelType w:val="multilevel"/>
    <w:tmpl w:val="11007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20423"/>
    <w:multiLevelType w:val="multilevel"/>
    <w:tmpl w:val="E66C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3058ED"/>
    <w:multiLevelType w:val="hybridMultilevel"/>
    <w:tmpl w:val="78EC8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9513651">
    <w:abstractNumId w:val="4"/>
  </w:num>
  <w:num w:numId="2" w16cid:durableId="494957553">
    <w:abstractNumId w:val="5"/>
  </w:num>
  <w:num w:numId="3" w16cid:durableId="889347640">
    <w:abstractNumId w:val="6"/>
  </w:num>
  <w:num w:numId="4" w16cid:durableId="1512986452">
    <w:abstractNumId w:val="1"/>
  </w:num>
  <w:num w:numId="5" w16cid:durableId="1297683119">
    <w:abstractNumId w:val="9"/>
  </w:num>
  <w:num w:numId="6" w16cid:durableId="196699822">
    <w:abstractNumId w:val="11"/>
  </w:num>
  <w:num w:numId="7" w16cid:durableId="299461862">
    <w:abstractNumId w:val="8"/>
  </w:num>
  <w:num w:numId="8" w16cid:durableId="834224902">
    <w:abstractNumId w:val="7"/>
  </w:num>
  <w:num w:numId="9" w16cid:durableId="1647273832">
    <w:abstractNumId w:val="3"/>
  </w:num>
  <w:num w:numId="10" w16cid:durableId="1855873917">
    <w:abstractNumId w:val="0"/>
  </w:num>
  <w:num w:numId="11" w16cid:durableId="1028528739">
    <w:abstractNumId w:val="2"/>
  </w:num>
  <w:num w:numId="12" w16cid:durableId="1400785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A9"/>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03AA"/>
    <w:rsid w:val="000A5F42"/>
    <w:rsid w:val="000D4B4D"/>
    <w:rsid w:val="00113D58"/>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B70F8"/>
    <w:rsid w:val="001C0893"/>
    <w:rsid w:val="001C1303"/>
    <w:rsid w:val="001C70B2"/>
    <w:rsid w:val="001D37C7"/>
    <w:rsid w:val="001D6888"/>
    <w:rsid w:val="00206A82"/>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C5976"/>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1D69"/>
    <w:rsid w:val="003B5B8C"/>
    <w:rsid w:val="003C0BBE"/>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1236"/>
    <w:rsid w:val="00542A57"/>
    <w:rsid w:val="00565974"/>
    <w:rsid w:val="005708FA"/>
    <w:rsid w:val="005732C0"/>
    <w:rsid w:val="0057336D"/>
    <w:rsid w:val="0057489A"/>
    <w:rsid w:val="00574ACF"/>
    <w:rsid w:val="00581588"/>
    <w:rsid w:val="0058540B"/>
    <w:rsid w:val="00587C87"/>
    <w:rsid w:val="00590B80"/>
    <w:rsid w:val="00597D02"/>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5804"/>
    <w:rsid w:val="00656427"/>
    <w:rsid w:val="00660255"/>
    <w:rsid w:val="00664778"/>
    <w:rsid w:val="00673A93"/>
    <w:rsid w:val="006971F3"/>
    <w:rsid w:val="006C74A3"/>
    <w:rsid w:val="006D1381"/>
    <w:rsid w:val="006D31BC"/>
    <w:rsid w:val="006E7943"/>
    <w:rsid w:val="006F24EA"/>
    <w:rsid w:val="00704CA9"/>
    <w:rsid w:val="0071048D"/>
    <w:rsid w:val="00710F86"/>
    <w:rsid w:val="007111A8"/>
    <w:rsid w:val="007132C7"/>
    <w:rsid w:val="0073128A"/>
    <w:rsid w:val="00731BC3"/>
    <w:rsid w:val="00732C52"/>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55A7A"/>
    <w:rsid w:val="00862F65"/>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49A5"/>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23CB"/>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4FC4"/>
    <w:rsid w:val="00C7723C"/>
    <w:rsid w:val="00C838F5"/>
    <w:rsid w:val="00C9302D"/>
    <w:rsid w:val="00CA1AF4"/>
    <w:rsid w:val="00CA4FBE"/>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B507A"/>
    <w:rsid w:val="00DC6705"/>
    <w:rsid w:val="00DD2DE8"/>
    <w:rsid w:val="00DD3B5B"/>
    <w:rsid w:val="00DE38B4"/>
    <w:rsid w:val="00DE5D02"/>
    <w:rsid w:val="00E005A9"/>
    <w:rsid w:val="00E01EE5"/>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07940"/>
    <w:rsid w:val="00F10CE3"/>
    <w:rsid w:val="00F14F3B"/>
    <w:rsid w:val="00F16362"/>
    <w:rsid w:val="00F207C7"/>
    <w:rsid w:val="00F36B6D"/>
    <w:rsid w:val="00F43FA3"/>
    <w:rsid w:val="00F5342F"/>
    <w:rsid w:val="00F55648"/>
    <w:rsid w:val="00F60CA9"/>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0305"/>
    <w:rsid w:val="00FF0315"/>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088F16"/>
  <w15:docId w15:val="{3F62E045-11ED-4685-83EC-57B4BF5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B623CB"/>
    <w:rPr>
      <w:sz w:val="16"/>
      <w:szCs w:val="16"/>
    </w:rPr>
  </w:style>
  <w:style w:type="paragraph" w:styleId="CommentText">
    <w:name w:val="annotation text"/>
    <w:basedOn w:val="Normal"/>
    <w:link w:val="CommentTextChar"/>
    <w:uiPriority w:val="99"/>
    <w:semiHidden/>
    <w:unhideWhenUsed/>
    <w:rsid w:val="00B623CB"/>
    <w:pPr>
      <w:spacing w:line="240" w:lineRule="auto"/>
    </w:pPr>
    <w:rPr>
      <w:sz w:val="20"/>
      <w:szCs w:val="20"/>
    </w:rPr>
  </w:style>
  <w:style w:type="character" w:customStyle="1" w:styleId="CommentTextChar">
    <w:name w:val="Comment Text Char"/>
    <w:basedOn w:val="DefaultParagraphFont"/>
    <w:link w:val="CommentText"/>
    <w:uiPriority w:val="99"/>
    <w:semiHidden/>
    <w:rsid w:val="00B623CB"/>
    <w:rPr>
      <w:sz w:val="20"/>
      <w:szCs w:val="20"/>
    </w:rPr>
  </w:style>
  <w:style w:type="paragraph" w:styleId="CommentSubject">
    <w:name w:val="annotation subject"/>
    <w:basedOn w:val="CommentText"/>
    <w:next w:val="CommentText"/>
    <w:link w:val="CommentSubjectChar"/>
    <w:uiPriority w:val="99"/>
    <w:semiHidden/>
    <w:unhideWhenUsed/>
    <w:rsid w:val="00B623CB"/>
    <w:rPr>
      <w:b/>
      <w:bCs/>
    </w:rPr>
  </w:style>
  <w:style w:type="character" w:customStyle="1" w:styleId="CommentSubjectChar">
    <w:name w:val="Comment Subject Char"/>
    <w:basedOn w:val="CommentTextChar"/>
    <w:link w:val="CommentSubject"/>
    <w:uiPriority w:val="99"/>
    <w:semiHidden/>
    <w:rsid w:val="00B62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F8E83-B981-4474-B730-87C08A75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1271</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Communicable Diseases Intelligence 2020 - Influenza vaccination uptake in our most vulnerable groups: how well are we protecting them in 2019?</vt:lpstr>
    </vt:vector>
  </TitlesOfParts>
  <Company>Australian Government, Department of Health</Company>
  <LinksUpToDate>false</LinksUpToDate>
  <CharactersWithSpaces>9621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Influenza vaccination uptake in our most vulnerable groups: how well are we protecting them in 2019?</dc:title>
  <dc:subject>The ‘whole-of-life’ Australian Immunisation Register (AIR) was established in late 2016. This short report analyses AIR data to assess influenza vaccine uptake in 2019 by age and Indigenous status.</dc:subject>
  <dc:creator>Frank Beard, Alexandra Hendry, Kristine Macartney</dc:creator>
  <dc:description>© Commonwealth of Australia CC BY-NC-ND ISSN: 2209-6051 (Online)</dc:description>
  <cp:lastPrinted>2018-05-10T02:19:00Z</cp:lastPrinted>
  <dcterms:created xsi:type="dcterms:W3CDTF">2024-08-28T23:57:00Z</dcterms:created>
  <dcterms:modified xsi:type="dcterms:W3CDTF">2024-08-29T00:07:00Z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15/04/2020</vt:lpwstr>
  </property>
  <property fmtid="{D5CDD505-2E9C-101B-9397-08002B2CF9AE}" pid="5" name="DOI">
    <vt:lpwstr>https://doi.org/10.33321/cdi.2020.44.27</vt:lpwstr>
  </property>
</Properties>
</file>