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1A0A" w14:textId="77777777" w:rsidR="001832A0" w:rsidRDefault="001832A0" w:rsidP="00BF5FDB">
      <w:pPr>
        <w:pStyle w:val="Title"/>
        <w:rPr>
          <w:sz w:val="24"/>
          <w:szCs w:val="24"/>
        </w:rPr>
      </w:pPr>
      <w:r>
        <w:t xml:space="preserve">Surveillance of adverse events following immunisation in Australia: annual report, 2018 </w:t>
      </w:r>
    </w:p>
    <w:p w14:paraId="2F4CE267" w14:textId="77777777" w:rsidR="001832A0" w:rsidRDefault="001832A0" w:rsidP="00BF5FDB">
      <w:r>
        <w:t xml:space="preserve">Aditi Dey, Han Wang, Helen Quinn, Alexis Pillsbury, Catherine Glover, Megan Hickie, Nicholas Wood, Frank Beard and Kristine Macartney </w:t>
      </w:r>
    </w:p>
    <w:p w14:paraId="33964B22" w14:textId="77777777" w:rsidR="001832A0" w:rsidRPr="00BF5FDB" w:rsidRDefault="001832A0" w:rsidP="00BF5FDB">
      <w:pPr>
        <w:pStyle w:val="Heading1"/>
      </w:pPr>
      <w:r w:rsidRPr="00BF5FDB">
        <w:t xml:space="preserve">Abstract </w:t>
      </w:r>
    </w:p>
    <w:p w14:paraId="27CD164B" w14:textId="77777777" w:rsidR="001832A0" w:rsidRDefault="001832A0" w:rsidP="00BF5FDB">
      <w:r>
        <w:t xml:space="preserve">This report summarises Australian spontaneous surveillance data for adverse events following immunisation (AEFI) for 2018 reported to the Therapeutic Goods Administration and describes reporting trends over the 19-year period 1 January 2000 to 31 December 2018. There were 4221 AEFI records for vaccines administered in 2018, an annual AEFI reporting rate of 16.9 per 100,000 population. There was a 2.9% increase in the overall AEFI reporting rate in 2018 compared to 2017. This slight increase in reported adverse events in 2018 was likely due to new additions to the National Immunisation Program schedule, namely meningococcal ACWY vaccination for children aged 12 months, enhanced immunogenicity trivalent influenza vaccines for adults aged ≥65 years, and state- and territory-funded seasonal influenza vaccination programs for children aged 6 months to &lt;5 years. AEFI reporting rates for most individual vaccines in 2018 were similar to 2017. The most commonly reported adverse events were injection site reaction (34%), pyrexia (15%), rash (15%), vomiting (8%), headache (6%) and pain (6%). Two deaths were reported to the TGA but no clear causal relationship with vaccination was found. </w:t>
      </w:r>
    </w:p>
    <w:p w14:paraId="01DD04E8" w14:textId="77777777" w:rsidR="001832A0" w:rsidRDefault="001832A0" w:rsidP="00BF5FDB">
      <w:r>
        <w:t xml:space="preserve">Keywords: AEFI, adverse events, vaccines, surveillance, immunisation, vaccine </w:t>
      </w:r>
    </w:p>
    <w:p w14:paraId="1711DA9A" w14:textId="77777777" w:rsidR="001832A0" w:rsidRPr="00BF5FDB" w:rsidRDefault="001832A0" w:rsidP="00BF5FDB">
      <w:pPr>
        <w:pStyle w:val="Heading1"/>
      </w:pPr>
      <w:r w:rsidRPr="00BF5FDB">
        <w:t xml:space="preserve">Introduction </w:t>
      </w:r>
    </w:p>
    <w:p w14:paraId="22FC00C5" w14:textId="77777777" w:rsidR="001832A0" w:rsidRDefault="001832A0" w:rsidP="00BF5FDB">
      <w:r>
        <w:t xml:space="preserve">This report summarises national spontaneous surveillance data for adverse events following immunisation (AEFI) reported to the Therapeutic Goods Administration (TGA). The report focuses on AEFI reported for vaccines administered during 2018 and on trends in AEFI reporting over the 19-year period 1 January 2000 – 31 December 2018. </w:t>
      </w:r>
    </w:p>
    <w:p w14:paraId="38B6403C" w14:textId="77777777" w:rsidR="001832A0" w:rsidRDefault="001832A0" w:rsidP="00BF5FDB">
      <w:r>
        <w:t>An adverse event following immunisation is defined as any untoward medical occurrence which follows immunisation and which does not necessarily have a causal relationship with the usage of the vaccine.</w:t>
      </w:r>
      <w:r>
        <w:rPr>
          <w:vertAlign w:val="superscript"/>
        </w:rPr>
        <w:t xml:space="preserve">1 </w:t>
      </w:r>
      <w:r>
        <w:t>The adverse event may be any unfavourable or unintended sign, abnormal laboratory finding, symptom or disease.</w:t>
      </w:r>
      <w:r>
        <w:rPr>
          <w:vertAlign w:val="superscript"/>
        </w:rPr>
        <w:t>1</w:t>
      </w:r>
      <w:r>
        <w:t xml:space="preserve"> Thus, AEFI may be caused by a vaccine(s) or may be coincidental. Adverse events may also include conditions that occur following the incorrect handling and/or administration of a vaccine(s). The post-marketing surveillance of AEFI is particularly important to detect signals of rare, late onset or unexpected events, which are difficult to detect in pre-registration vaccine trials. </w:t>
      </w:r>
    </w:p>
    <w:p w14:paraId="42CB2041" w14:textId="77777777" w:rsidR="001832A0" w:rsidRDefault="001832A0" w:rsidP="00BF5FDB">
      <w:r>
        <w:t>Reports summarising national AEFI surveillance data have been published regularly since 2003.</w:t>
      </w:r>
      <w:r>
        <w:rPr>
          <w:vertAlign w:val="superscript"/>
        </w:rPr>
        <w:t>2–15</w:t>
      </w:r>
      <w:r>
        <w:t xml:space="preserve"> Trends in reported AEFI are influenced by changes to vaccine funding and availability through the National Immunisation Program (NIP), and the impact of these changes on the interpretation of trend data has been described in previous reports published since 2003.</w:t>
      </w:r>
      <w:r>
        <w:rPr>
          <w:vertAlign w:val="superscript"/>
        </w:rPr>
        <w:t xml:space="preserve">2–15 </w:t>
      </w:r>
      <w:r>
        <w:t xml:space="preserve">Changes to the NIP since 2005 are summarised in Table 1. Recent changes that impact on AEFI surveillance data presented in this 2018 report are: </w:t>
      </w:r>
    </w:p>
    <w:p w14:paraId="05A12B05" w14:textId="77777777" w:rsidR="009C4C89" w:rsidRDefault="009C4C89">
      <w:pPr>
        <w:rPr>
          <w:b/>
        </w:rPr>
      </w:pPr>
      <w:r>
        <w:rPr>
          <w:b/>
        </w:rPr>
        <w:br w:type="page"/>
      </w:r>
    </w:p>
    <w:p w14:paraId="12FC0449" w14:textId="77777777" w:rsidR="001832A0" w:rsidRPr="00BF5FDB" w:rsidRDefault="001832A0">
      <w:pPr>
        <w:pStyle w:val="NormalWeb"/>
        <w:rPr>
          <w:b/>
        </w:rPr>
      </w:pPr>
      <w:r w:rsidRPr="00BF5FDB">
        <w:rPr>
          <w:b/>
        </w:rPr>
        <w:lastRenderedPageBreak/>
        <w:t xml:space="preserve">October 2018 </w:t>
      </w:r>
    </w:p>
    <w:p w14:paraId="693D111A" w14:textId="77777777" w:rsidR="001832A0" w:rsidRDefault="001832A0" w:rsidP="001832A0">
      <w:pPr>
        <w:numPr>
          <w:ilvl w:val="0"/>
          <w:numId w:val="7"/>
        </w:numPr>
        <w:spacing w:before="100" w:beforeAutospacing="1" w:after="100" w:afterAutospacing="1" w:line="240" w:lineRule="auto"/>
        <w:rPr>
          <w:rFonts w:eastAsia="Times New Roman"/>
        </w:rPr>
      </w:pPr>
      <w:r>
        <w:rPr>
          <w:rFonts w:eastAsia="Times New Roman"/>
        </w:rPr>
        <w:t xml:space="preserve">Multicomponent recombinant meningococcal B vaccine funded by SA for children 6 weeks to 12 months of age, with catch-up for children from 12 months to &lt;4 years of age </w:t>
      </w:r>
    </w:p>
    <w:p w14:paraId="66C5EF34" w14:textId="77777777" w:rsidR="001832A0" w:rsidRPr="00BF5FDB" w:rsidRDefault="001832A0">
      <w:pPr>
        <w:pStyle w:val="NormalWeb"/>
        <w:rPr>
          <w:b/>
        </w:rPr>
      </w:pPr>
      <w:r w:rsidRPr="00BF5FDB">
        <w:rPr>
          <w:b/>
        </w:rPr>
        <w:t xml:space="preserve">July 2018 </w:t>
      </w:r>
    </w:p>
    <w:p w14:paraId="52769926" w14:textId="77777777" w:rsidR="001832A0" w:rsidRDefault="001832A0" w:rsidP="001832A0">
      <w:pPr>
        <w:numPr>
          <w:ilvl w:val="0"/>
          <w:numId w:val="8"/>
        </w:numPr>
        <w:spacing w:before="100" w:beforeAutospacing="1" w:after="100" w:afterAutospacing="1" w:line="240" w:lineRule="auto"/>
        <w:rPr>
          <w:rFonts w:eastAsia="Times New Roman"/>
        </w:rPr>
      </w:pPr>
      <w:r>
        <w:rPr>
          <w:rFonts w:eastAsia="Times New Roman"/>
        </w:rPr>
        <w:t xml:space="preserve">Meningococcal ACWY conjugate vaccine funded for all children at 12 months of age, replacing combined Hib and meningococcal C-containing vaccine </w:t>
      </w:r>
    </w:p>
    <w:p w14:paraId="2ADE18ED" w14:textId="77777777" w:rsidR="001832A0" w:rsidRDefault="001832A0" w:rsidP="001832A0">
      <w:pPr>
        <w:numPr>
          <w:ilvl w:val="0"/>
          <w:numId w:val="8"/>
        </w:numPr>
        <w:spacing w:before="100" w:beforeAutospacing="1" w:after="100" w:afterAutospacing="1" w:line="240" w:lineRule="auto"/>
        <w:rPr>
          <w:rFonts w:eastAsia="Times New Roman"/>
        </w:rPr>
      </w:pPr>
      <w:r>
        <w:rPr>
          <w:rFonts w:eastAsia="Times New Roman"/>
        </w:rPr>
        <w:t xml:space="preserve">Hib dose moved to 18 months and given as monovalent Hib vaccine </w:t>
      </w:r>
    </w:p>
    <w:p w14:paraId="256F18F0" w14:textId="77777777" w:rsidR="001832A0" w:rsidRDefault="001832A0" w:rsidP="001832A0">
      <w:pPr>
        <w:numPr>
          <w:ilvl w:val="0"/>
          <w:numId w:val="8"/>
        </w:numPr>
        <w:spacing w:before="100" w:beforeAutospacing="1" w:after="100" w:afterAutospacing="1" w:line="240" w:lineRule="auto"/>
        <w:rPr>
          <w:rFonts w:eastAsia="Times New Roman"/>
        </w:rPr>
      </w:pPr>
      <w:r>
        <w:rPr>
          <w:rFonts w:eastAsia="Times New Roman"/>
        </w:rPr>
        <w:t xml:space="preserve">Schedule for routine childhood vaccination with 13vPCV changed from 2, 4 and 6 months of age to 2, 4 and 12 months of age </w:t>
      </w:r>
    </w:p>
    <w:p w14:paraId="321C64B0" w14:textId="77777777" w:rsidR="001832A0" w:rsidRPr="00BF5FDB" w:rsidRDefault="001832A0">
      <w:pPr>
        <w:pStyle w:val="NormalWeb"/>
        <w:rPr>
          <w:b/>
        </w:rPr>
      </w:pPr>
      <w:r w:rsidRPr="00BF5FDB">
        <w:rPr>
          <w:b/>
        </w:rPr>
        <w:t xml:space="preserve">April 2018 </w:t>
      </w:r>
    </w:p>
    <w:p w14:paraId="064F81F1" w14:textId="77777777" w:rsidR="001832A0" w:rsidRDefault="001832A0" w:rsidP="001832A0">
      <w:pPr>
        <w:numPr>
          <w:ilvl w:val="0"/>
          <w:numId w:val="9"/>
        </w:numPr>
        <w:spacing w:before="100" w:beforeAutospacing="1" w:after="100" w:afterAutospacing="1" w:line="240" w:lineRule="auto"/>
        <w:rPr>
          <w:rFonts w:eastAsia="Times New Roman"/>
        </w:rPr>
      </w:pPr>
      <w:r>
        <w:rPr>
          <w:rFonts w:eastAsia="Times New Roman"/>
        </w:rPr>
        <w:t xml:space="preserve">Enhanced trivalent influenza vaccines (high-dose and adjuvanted) funded nationally for all adults aged ≥65 years </w:t>
      </w:r>
    </w:p>
    <w:p w14:paraId="3338B166" w14:textId="77777777" w:rsidR="001832A0" w:rsidRDefault="001832A0" w:rsidP="001832A0">
      <w:pPr>
        <w:numPr>
          <w:ilvl w:val="0"/>
          <w:numId w:val="9"/>
        </w:numPr>
        <w:spacing w:before="100" w:beforeAutospacing="1" w:after="100" w:afterAutospacing="1" w:line="240" w:lineRule="auto"/>
        <w:rPr>
          <w:rFonts w:eastAsia="Times New Roman"/>
        </w:rPr>
      </w:pPr>
      <w:r>
        <w:rPr>
          <w:rFonts w:eastAsia="Times New Roman"/>
        </w:rPr>
        <w:t xml:space="preserve">Annual seasonal influenza vaccination funded by ACT, NSW, Qld, SA, TAS and Vic for all children aged 6 months to &lt;5 years </w:t>
      </w:r>
    </w:p>
    <w:p w14:paraId="20FA6E66" w14:textId="77777777" w:rsidR="001832A0" w:rsidRDefault="001832A0" w:rsidP="001832A0">
      <w:pPr>
        <w:numPr>
          <w:ilvl w:val="0"/>
          <w:numId w:val="9"/>
        </w:numPr>
        <w:spacing w:before="100" w:beforeAutospacing="1" w:after="100" w:afterAutospacing="1" w:line="240" w:lineRule="auto"/>
        <w:rPr>
          <w:rFonts w:eastAsia="Times New Roman"/>
        </w:rPr>
      </w:pPr>
      <w:r>
        <w:rPr>
          <w:rFonts w:eastAsia="Times New Roman"/>
        </w:rPr>
        <w:t xml:space="preserve">Meningococcal A, C, Y, W-135 conjugate vaccine funded by SA for Aboriginal and Torres Strait Islander children and adolescents aged 12 months to 19 years living in the Eyre and Far North, and Flinders and Upper North regions </w:t>
      </w:r>
    </w:p>
    <w:p w14:paraId="4269F873" w14:textId="77777777" w:rsidR="001832A0" w:rsidRPr="00BF5FDB" w:rsidRDefault="001832A0">
      <w:pPr>
        <w:pStyle w:val="NormalWeb"/>
        <w:rPr>
          <w:b/>
        </w:rPr>
      </w:pPr>
      <w:r w:rsidRPr="00BF5FDB">
        <w:rPr>
          <w:b/>
        </w:rPr>
        <w:t xml:space="preserve">February 2018 </w:t>
      </w:r>
    </w:p>
    <w:p w14:paraId="766D32DC" w14:textId="77777777" w:rsidR="001832A0" w:rsidRDefault="001832A0" w:rsidP="001832A0">
      <w:pPr>
        <w:numPr>
          <w:ilvl w:val="0"/>
          <w:numId w:val="10"/>
        </w:numPr>
        <w:spacing w:before="100" w:beforeAutospacing="1" w:after="100" w:afterAutospacing="1" w:line="240" w:lineRule="auto"/>
        <w:rPr>
          <w:rFonts w:eastAsia="Times New Roman"/>
        </w:rPr>
      </w:pPr>
      <w:r>
        <w:rPr>
          <w:rFonts w:eastAsia="Times New Roman"/>
        </w:rPr>
        <w:t xml:space="preserve">Meningococcal A, C, Y, W-135 conjugate vaccine funded by ACT for grade 10 students and persons aged 16–19 years who no longer attend school </w:t>
      </w:r>
    </w:p>
    <w:p w14:paraId="56450F04" w14:textId="77777777" w:rsidR="001832A0" w:rsidRDefault="001832A0" w:rsidP="001832A0">
      <w:pPr>
        <w:numPr>
          <w:ilvl w:val="0"/>
          <w:numId w:val="10"/>
        </w:numPr>
        <w:spacing w:before="100" w:beforeAutospacing="1" w:after="100" w:afterAutospacing="1" w:line="240" w:lineRule="auto"/>
        <w:rPr>
          <w:rFonts w:eastAsia="Times New Roman"/>
        </w:rPr>
      </w:pPr>
      <w:r>
        <w:rPr>
          <w:rFonts w:eastAsia="Times New Roman"/>
        </w:rPr>
        <w:t xml:space="preserve">A 2-dose schedule of 9vHPV funded for adolescents aged 12–14 years, delivered through a school-based program; 4vHPV ceased to be used in the program </w:t>
      </w:r>
    </w:p>
    <w:p w14:paraId="325DF847" w14:textId="77777777" w:rsidR="001832A0" w:rsidRPr="00BF5FDB" w:rsidRDefault="001832A0">
      <w:pPr>
        <w:pStyle w:val="NormalWeb"/>
        <w:rPr>
          <w:b/>
        </w:rPr>
      </w:pPr>
      <w:r w:rsidRPr="00BF5FDB">
        <w:rPr>
          <w:b/>
        </w:rPr>
        <w:t xml:space="preserve">January 2018 </w:t>
      </w:r>
    </w:p>
    <w:p w14:paraId="5A0A7DE1" w14:textId="77777777" w:rsidR="001832A0" w:rsidRDefault="001832A0" w:rsidP="001832A0">
      <w:pPr>
        <w:numPr>
          <w:ilvl w:val="0"/>
          <w:numId w:val="11"/>
        </w:numPr>
        <w:spacing w:before="100" w:beforeAutospacing="1" w:after="100" w:afterAutospacing="1" w:line="240" w:lineRule="auto"/>
        <w:rPr>
          <w:rFonts w:eastAsia="Times New Roman"/>
        </w:rPr>
      </w:pPr>
      <w:r>
        <w:rPr>
          <w:rFonts w:eastAsia="Times New Roman"/>
        </w:rPr>
        <w:t xml:space="preserve">Meningococcal A, C, Y, W-135 conjugate vaccine funded by WA for children aged 12 months to &lt;5 years </w:t>
      </w:r>
    </w:p>
    <w:p w14:paraId="5F8C0285" w14:textId="77777777" w:rsidR="001832A0" w:rsidRDefault="001832A0" w:rsidP="001832A0">
      <w:pPr>
        <w:numPr>
          <w:ilvl w:val="0"/>
          <w:numId w:val="11"/>
        </w:numPr>
        <w:spacing w:before="100" w:beforeAutospacing="1" w:after="100" w:afterAutospacing="1" w:line="240" w:lineRule="auto"/>
        <w:rPr>
          <w:rFonts w:eastAsia="Times New Roman"/>
        </w:rPr>
      </w:pPr>
      <w:r>
        <w:rPr>
          <w:rFonts w:eastAsia="Times New Roman"/>
        </w:rPr>
        <w:t xml:space="preserve">Meningococcal ACWY school-based vaccination program funded for all NSW secondary school students in Years 10 and 11, as well as adolescents aged 15 to 19 years who have not received the vaccine at school. </w:t>
      </w:r>
    </w:p>
    <w:p w14:paraId="194983BB" w14:textId="77777777" w:rsidR="001832A0" w:rsidRDefault="001832A0">
      <w:pPr>
        <w:pStyle w:val="NormalWeb"/>
      </w:pPr>
      <w:r>
        <w:t>To assist readers, at the end of this report there is a glossary of the abbreviations of the vaccines referred to in this</w:t>
      </w:r>
      <w:r w:rsidR="00D14BE3">
        <w:t> </w:t>
      </w:r>
      <w:r>
        <w:t xml:space="preserve">report. </w:t>
      </w:r>
    </w:p>
    <w:p w14:paraId="344F677D" w14:textId="77777777" w:rsidR="00272DB8" w:rsidRDefault="00272DB8">
      <w:pPr>
        <w:rPr>
          <w:b/>
        </w:rPr>
      </w:pPr>
      <w:r>
        <w:br w:type="page"/>
      </w:r>
    </w:p>
    <w:p w14:paraId="6541F5FB" w14:textId="77777777" w:rsidR="001832A0" w:rsidRDefault="001832A0" w:rsidP="00BF5FDB">
      <w:pPr>
        <w:pStyle w:val="CDIFigures"/>
      </w:pPr>
      <w:r>
        <w:lastRenderedPageBreak/>
        <w:t>Table 1: Changes in immunisation policy and the National Immunisation Program (2005–2018)</w:t>
      </w:r>
      <w:r w:rsidRPr="00BF5FDB">
        <w:rPr>
          <w:b w:val="0"/>
          <w:vertAlign w:val="superscript"/>
        </w:rPr>
        <w:t>2,4,5,7,10,12,14,15,36,37,40</w:t>
      </w:r>
    </w:p>
    <w:tbl>
      <w:tblPr>
        <w:tblStyle w:val="CDI-StandardTable"/>
        <w:tblW w:w="0" w:type="auto"/>
        <w:tblBorders>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Description w:val="Table 1 shows changes in immunisation policy and the National Immunisation Program (2005–2018)."/>
      </w:tblPr>
      <w:tblGrid>
        <w:gridCol w:w="993"/>
        <w:gridCol w:w="9473"/>
      </w:tblGrid>
      <w:tr w:rsidR="00274387" w:rsidRPr="00272DB8" w14:paraId="51925112" w14:textId="77777777" w:rsidTr="00985C4F">
        <w:trPr>
          <w:cnfStyle w:val="100000000000" w:firstRow="1" w:lastRow="0" w:firstColumn="0" w:lastColumn="0" w:oddVBand="0" w:evenVBand="0" w:oddHBand="0" w:evenHBand="0" w:firstRowFirstColumn="0" w:firstRowLastColumn="0" w:lastRowFirstColumn="0" w:lastRowLastColumn="0"/>
          <w:tblHeader/>
        </w:trPr>
        <w:tc>
          <w:tcPr>
            <w:tcW w:w="993" w:type="dxa"/>
            <w:vAlign w:val="center"/>
            <w:hideMark/>
          </w:tcPr>
          <w:p w14:paraId="2E869AA4" w14:textId="77777777" w:rsidR="001832A0" w:rsidRPr="00616375" w:rsidRDefault="001832A0" w:rsidP="00616375">
            <w:pPr>
              <w:pStyle w:val="NormalWeb"/>
              <w:rPr>
                <w:color w:val="FFFFFF" w:themeColor="background1"/>
                <w:sz w:val="18"/>
                <w:szCs w:val="18"/>
              </w:rPr>
            </w:pPr>
            <w:r w:rsidRPr="00616375">
              <w:rPr>
                <w:color w:val="FFFFFF" w:themeColor="background1"/>
                <w:sz w:val="18"/>
                <w:szCs w:val="18"/>
              </w:rPr>
              <w:t>Year</w:t>
            </w:r>
          </w:p>
        </w:tc>
        <w:tc>
          <w:tcPr>
            <w:tcW w:w="9473" w:type="dxa"/>
            <w:hideMark/>
          </w:tcPr>
          <w:p w14:paraId="7CE75419" w14:textId="77777777" w:rsidR="001832A0" w:rsidRPr="00272DB8" w:rsidRDefault="001832A0">
            <w:pPr>
              <w:pStyle w:val="NormalWeb"/>
              <w:rPr>
                <w:color w:val="FFFFFF" w:themeColor="background1"/>
                <w:sz w:val="18"/>
                <w:szCs w:val="18"/>
              </w:rPr>
            </w:pPr>
            <w:r w:rsidRPr="00272DB8">
              <w:rPr>
                <w:color w:val="FFFFFF" w:themeColor="background1"/>
                <w:sz w:val="18"/>
                <w:szCs w:val="18"/>
              </w:rPr>
              <w:t>Change</w:t>
            </w:r>
          </w:p>
        </w:tc>
      </w:tr>
      <w:tr w:rsidR="001832A0" w:rsidRPr="00272DB8" w14:paraId="034351B7" w14:textId="77777777" w:rsidTr="00BD3A3C">
        <w:tc>
          <w:tcPr>
            <w:tcW w:w="993" w:type="dxa"/>
            <w:shd w:val="clear" w:color="auto" w:fill="auto"/>
            <w:vAlign w:val="center"/>
            <w:hideMark/>
          </w:tcPr>
          <w:p w14:paraId="753D0178" w14:textId="77777777" w:rsidR="001832A0" w:rsidRPr="00616375" w:rsidRDefault="001832A0" w:rsidP="00616375">
            <w:pPr>
              <w:pStyle w:val="NormalWeb"/>
              <w:rPr>
                <w:b/>
                <w:sz w:val="18"/>
                <w:szCs w:val="18"/>
              </w:rPr>
            </w:pPr>
            <w:r w:rsidRPr="00616375">
              <w:rPr>
                <w:b/>
                <w:sz w:val="18"/>
                <w:szCs w:val="18"/>
              </w:rPr>
              <w:t>2018</w:t>
            </w:r>
          </w:p>
        </w:tc>
        <w:tc>
          <w:tcPr>
            <w:tcW w:w="9473" w:type="dxa"/>
            <w:shd w:val="clear" w:color="auto" w:fill="auto"/>
            <w:hideMark/>
          </w:tcPr>
          <w:p w14:paraId="406E41F1" w14:textId="77777777" w:rsidR="001832A0" w:rsidRPr="00FB16EE" w:rsidRDefault="001832A0">
            <w:pPr>
              <w:pStyle w:val="NormalWeb"/>
              <w:rPr>
                <w:b/>
                <w:sz w:val="18"/>
                <w:szCs w:val="18"/>
              </w:rPr>
            </w:pPr>
            <w:r w:rsidRPr="00FB16EE">
              <w:rPr>
                <w:b/>
                <w:sz w:val="18"/>
                <w:szCs w:val="18"/>
              </w:rPr>
              <w:t>October 2018</w:t>
            </w:r>
          </w:p>
          <w:p w14:paraId="60E4A360" w14:textId="77777777" w:rsidR="001832A0" w:rsidRPr="00272DB8" w:rsidRDefault="001832A0" w:rsidP="001832A0">
            <w:pPr>
              <w:numPr>
                <w:ilvl w:val="0"/>
                <w:numId w:val="12"/>
              </w:numPr>
              <w:spacing w:before="100" w:beforeAutospacing="1" w:after="100" w:afterAutospacing="1"/>
              <w:rPr>
                <w:rFonts w:eastAsia="Times New Roman"/>
                <w:sz w:val="18"/>
                <w:szCs w:val="18"/>
              </w:rPr>
            </w:pPr>
            <w:r w:rsidRPr="00272DB8">
              <w:rPr>
                <w:rFonts w:eastAsia="Times New Roman"/>
                <w:sz w:val="18"/>
                <w:szCs w:val="18"/>
              </w:rPr>
              <w:t>Multicomponent recombinant meningococcal B vaccine funded by SA for children 6 weeks to 12 months of age, with catch-up for children from 12 months to &lt;4 years of age</w:t>
            </w:r>
          </w:p>
          <w:p w14:paraId="3E5C7823" w14:textId="77777777" w:rsidR="001832A0" w:rsidRPr="00FB16EE" w:rsidRDefault="001832A0">
            <w:pPr>
              <w:pStyle w:val="NormalWeb"/>
              <w:rPr>
                <w:b/>
                <w:sz w:val="18"/>
                <w:szCs w:val="18"/>
              </w:rPr>
            </w:pPr>
            <w:r w:rsidRPr="00FB16EE">
              <w:rPr>
                <w:b/>
                <w:sz w:val="18"/>
                <w:szCs w:val="18"/>
              </w:rPr>
              <w:t>July 2018</w:t>
            </w:r>
          </w:p>
          <w:p w14:paraId="7C799D85" w14:textId="77777777" w:rsidR="001832A0" w:rsidRPr="00272DB8" w:rsidRDefault="001832A0" w:rsidP="001832A0">
            <w:pPr>
              <w:numPr>
                <w:ilvl w:val="0"/>
                <w:numId w:val="13"/>
              </w:numPr>
              <w:spacing w:before="100" w:beforeAutospacing="1" w:after="100" w:afterAutospacing="1"/>
              <w:rPr>
                <w:rFonts w:eastAsia="Times New Roman"/>
                <w:sz w:val="18"/>
                <w:szCs w:val="18"/>
              </w:rPr>
            </w:pPr>
            <w:r w:rsidRPr="00272DB8">
              <w:rPr>
                <w:rFonts w:eastAsia="Times New Roman"/>
                <w:sz w:val="18"/>
                <w:szCs w:val="18"/>
              </w:rPr>
              <w:t>Meningococcal ACWY conjugate vaccine funded for all children at 12 months of age, replacing combined Hib and meningococcal C-containing vaccine</w:t>
            </w:r>
          </w:p>
          <w:p w14:paraId="609CEA1B" w14:textId="77777777" w:rsidR="001832A0" w:rsidRPr="00272DB8" w:rsidRDefault="001832A0" w:rsidP="001832A0">
            <w:pPr>
              <w:numPr>
                <w:ilvl w:val="0"/>
                <w:numId w:val="13"/>
              </w:numPr>
              <w:spacing w:before="100" w:beforeAutospacing="1" w:after="100" w:afterAutospacing="1"/>
              <w:rPr>
                <w:rFonts w:eastAsia="Times New Roman"/>
                <w:sz w:val="18"/>
                <w:szCs w:val="18"/>
              </w:rPr>
            </w:pPr>
            <w:r w:rsidRPr="00272DB8">
              <w:rPr>
                <w:rFonts w:eastAsia="Times New Roman"/>
                <w:sz w:val="18"/>
                <w:szCs w:val="18"/>
              </w:rPr>
              <w:t>Hib dose moved to 18 months and given as monovalent Hib vaccine.</w:t>
            </w:r>
          </w:p>
          <w:p w14:paraId="7ECDF222" w14:textId="77777777" w:rsidR="001832A0" w:rsidRPr="00272DB8" w:rsidRDefault="001832A0" w:rsidP="001832A0">
            <w:pPr>
              <w:numPr>
                <w:ilvl w:val="0"/>
                <w:numId w:val="13"/>
              </w:numPr>
              <w:spacing w:before="100" w:beforeAutospacing="1" w:after="100" w:afterAutospacing="1"/>
              <w:rPr>
                <w:rFonts w:eastAsia="Times New Roman"/>
                <w:sz w:val="18"/>
                <w:szCs w:val="18"/>
              </w:rPr>
            </w:pPr>
            <w:r w:rsidRPr="00272DB8">
              <w:rPr>
                <w:rFonts w:eastAsia="Times New Roman"/>
                <w:sz w:val="18"/>
                <w:szCs w:val="18"/>
              </w:rPr>
              <w:t>Schedule for routine childhood vaccination with 13vPCV changed from 2, 4 and 6 months of age to 2, 4 and 12 months of age.</w:t>
            </w:r>
          </w:p>
          <w:p w14:paraId="3DCF0ADF" w14:textId="77777777" w:rsidR="001832A0" w:rsidRPr="00FB16EE" w:rsidRDefault="001832A0">
            <w:pPr>
              <w:pStyle w:val="NormalWeb"/>
              <w:rPr>
                <w:b/>
                <w:sz w:val="18"/>
                <w:szCs w:val="18"/>
              </w:rPr>
            </w:pPr>
            <w:r w:rsidRPr="00FB16EE">
              <w:rPr>
                <w:b/>
                <w:sz w:val="18"/>
                <w:szCs w:val="18"/>
              </w:rPr>
              <w:t>April 2018</w:t>
            </w:r>
          </w:p>
          <w:p w14:paraId="4AE0E50D" w14:textId="77777777" w:rsidR="001832A0" w:rsidRPr="00272DB8" w:rsidRDefault="001832A0" w:rsidP="001832A0">
            <w:pPr>
              <w:numPr>
                <w:ilvl w:val="0"/>
                <w:numId w:val="14"/>
              </w:numPr>
              <w:spacing w:before="100" w:beforeAutospacing="1" w:after="100" w:afterAutospacing="1"/>
              <w:rPr>
                <w:rFonts w:eastAsia="Times New Roman"/>
                <w:sz w:val="18"/>
                <w:szCs w:val="18"/>
              </w:rPr>
            </w:pPr>
            <w:r w:rsidRPr="00272DB8">
              <w:rPr>
                <w:rFonts w:eastAsia="Times New Roman"/>
                <w:sz w:val="18"/>
                <w:szCs w:val="18"/>
              </w:rPr>
              <w:t>Enhanced trivalent influenza vaccines (high-dose and adjuvanted) funded nationally for all adults aged ≥65 years.</w:t>
            </w:r>
          </w:p>
          <w:p w14:paraId="30C00DF9" w14:textId="77777777" w:rsidR="001832A0" w:rsidRPr="00272DB8" w:rsidRDefault="001832A0" w:rsidP="001832A0">
            <w:pPr>
              <w:numPr>
                <w:ilvl w:val="0"/>
                <w:numId w:val="14"/>
              </w:numPr>
              <w:spacing w:before="100" w:beforeAutospacing="1" w:after="100" w:afterAutospacing="1"/>
              <w:rPr>
                <w:rFonts w:eastAsia="Times New Roman"/>
                <w:sz w:val="18"/>
                <w:szCs w:val="18"/>
              </w:rPr>
            </w:pPr>
            <w:r w:rsidRPr="00272DB8">
              <w:rPr>
                <w:rFonts w:eastAsia="Times New Roman"/>
                <w:sz w:val="18"/>
                <w:szCs w:val="18"/>
              </w:rPr>
              <w:t>Annual seasonal influenza vaccination funded by ACT, NSW, Qld, SA, TAS and Vic for all children aged 6 months to &lt;5 years</w:t>
            </w:r>
          </w:p>
          <w:p w14:paraId="52E4D2A9" w14:textId="77777777" w:rsidR="001832A0" w:rsidRPr="00272DB8" w:rsidRDefault="001832A0" w:rsidP="001832A0">
            <w:pPr>
              <w:numPr>
                <w:ilvl w:val="0"/>
                <w:numId w:val="14"/>
              </w:numPr>
              <w:spacing w:before="100" w:beforeAutospacing="1" w:after="100" w:afterAutospacing="1"/>
              <w:rPr>
                <w:rFonts w:eastAsia="Times New Roman"/>
                <w:sz w:val="18"/>
                <w:szCs w:val="18"/>
              </w:rPr>
            </w:pPr>
            <w:r w:rsidRPr="00272DB8">
              <w:rPr>
                <w:rFonts w:eastAsia="Times New Roman"/>
                <w:sz w:val="18"/>
                <w:szCs w:val="18"/>
              </w:rPr>
              <w:t>Meningococcal A, C, Y, W-135 conjugate vaccine funded by SA for Aboriginal and Torres Strait Islander children and adolescents aged 12 months to 19 years living in the Eyre and Far North, and Flinders and Upper North regions</w:t>
            </w:r>
          </w:p>
          <w:p w14:paraId="2F7288FE" w14:textId="77777777" w:rsidR="001832A0" w:rsidRPr="00FB16EE" w:rsidRDefault="001832A0">
            <w:pPr>
              <w:pStyle w:val="NormalWeb"/>
              <w:rPr>
                <w:b/>
                <w:sz w:val="18"/>
                <w:szCs w:val="18"/>
              </w:rPr>
            </w:pPr>
            <w:r w:rsidRPr="00FB16EE">
              <w:rPr>
                <w:b/>
                <w:sz w:val="18"/>
                <w:szCs w:val="18"/>
              </w:rPr>
              <w:t>February 2018</w:t>
            </w:r>
          </w:p>
          <w:p w14:paraId="57FE4BD1" w14:textId="77777777" w:rsidR="001832A0" w:rsidRPr="00272DB8" w:rsidRDefault="001832A0" w:rsidP="001832A0">
            <w:pPr>
              <w:numPr>
                <w:ilvl w:val="0"/>
                <w:numId w:val="15"/>
              </w:numPr>
              <w:spacing w:before="100" w:beforeAutospacing="1" w:after="100" w:afterAutospacing="1"/>
              <w:rPr>
                <w:rFonts w:eastAsia="Times New Roman"/>
                <w:sz w:val="18"/>
                <w:szCs w:val="18"/>
              </w:rPr>
            </w:pPr>
            <w:r w:rsidRPr="00272DB8">
              <w:rPr>
                <w:rFonts w:eastAsia="Times New Roman"/>
                <w:sz w:val="18"/>
                <w:szCs w:val="18"/>
              </w:rPr>
              <w:t>Meningococcal A, C, Y, W-135 conjugate vaccine funded by ACT for grade 10 students and persons aged 16–19 years who no longer attend school</w:t>
            </w:r>
          </w:p>
          <w:p w14:paraId="51AF7F12" w14:textId="77777777" w:rsidR="001832A0" w:rsidRPr="00272DB8" w:rsidRDefault="001832A0" w:rsidP="001832A0">
            <w:pPr>
              <w:numPr>
                <w:ilvl w:val="0"/>
                <w:numId w:val="15"/>
              </w:numPr>
              <w:spacing w:before="100" w:beforeAutospacing="1" w:after="100" w:afterAutospacing="1"/>
              <w:rPr>
                <w:rFonts w:eastAsia="Times New Roman"/>
                <w:sz w:val="18"/>
                <w:szCs w:val="18"/>
              </w:rPr>
            </w:pPr>
            <w:r w:rsidRPr="00272DB8">
              <w:rPr>
                <w:rFonts w:eastAsia="Times New Roman"/>
                <w:sz w:val="18"/>
                <w:szCs w:val="18"/>
              </w:rPr>
              <w:t>A 2-dose schedule of 9vHPV funded for adolescents aged 12–14 years, delivered through a school-based program; 4vHPV ceased to be used in the program.</w:t>
            </w:r>
          </w:p>
          <w:p w14:paraId="54AAAFD4" w14:textId="77777777" w:rsidR="001832A0" w:rsidRPr="00FB16EE" w:rsidRDefault="001832A0">
            <w:pPr>
              <w:pStyle w:val="NormalWeb"/>
              <w:rPr>
                <w:b/>
                <w:sz w:val="18"/>
                <w:szCs w:val="18"/>
              </w:rPr>
            </w:pPr>
            <w:r w:rsidRPr="00FB16EE">
              <w:rPr>
                <w:b/>
                <w:sz w:val="18"/>
                <w:szCs w:val="18"/>
              </w:rPr>
              <w:t>January 2018</w:t>
            </w:r>
          </w:p>
          <w:p w14:paraId="33282D23" w14:textId="77777777" w:rsidR="001832A0" w:rsidRPr="00272DB8" w:rsidRDefault="001832A0" w:rsidP="001832A0">
            <w:pPr>
              <w:numPr>
                <w:ilvl w:val="0"/>
                <w:numId w:val="16"/>
              </w:numPr>
              <w:spacing w:before="100" w:beforeAutospacing="1" w:after="100" w:afterAutospacing="1"/>
              <w:rPr>
                <w:rFonts w:eastAsia="Times New Roman"/>
                <w:sz w:val="18"/>
                <w:szCs w:val="18"/>
              </w:rPr>
            </w:pPr>
            <w:r w:rsidRPr="00272DB8">
              <w:rPr>
                <w:rFonts w:eastAsia="Times New Roman"/>
                <w:sz w:val="18"/>
                <w:szCs w:val="18"/>
              </w:rPr>
              <w:t>Meningococcal A, C, Y, W-135 conjugate vaccine funded by WA for children aged 12 months to &lt;5 years</w:t>
            </w:r>
          </w:p>
          <w:p w14:paraId="27585861" w14:textId="77777777" w:rsidR="001832A0" w:rsidRPr="00272DB8" w:rsidRDefault="001832A0" w:rsidP="001832A0">
            <w:pPr>
              <w:numPr>
                <w:ilvl w:val="0"/>
                <w:numId w:val="16"/>
              </w:numPr>
              <w:spacing w:before="100" w:beforeAutospacing="1" w:after="100" w:afterAutospacing="1"/>
              <w:rPr>
                <w:rFonts w:eastAsia="Times New Roman"/>
                <w:sz w:val="18"/>
                <w:szCs w:val="18"/>
              </w:rPr>
            </w:pPr>
            <w:r w:rsidRPr="00272DB8">
              <w:rPr>
                <w:rFonts w:eastAsia="Times New Roman"/>
                <w:sz w:val="18"/>
                <w:szCs w:val="18"/>
              </w:rPr>
              <w:t>Meningococcal ACWY school-based vaccination program funded for all NSW secondary school students in Years 10 and 11, as well as adolescents aged 15 to 19 years who have not received the vaccine at school.</w:t>
            </w:r>
          </w:p>
        </w:tc>
      </w:tr>
      <w:tr w:rsidR="001832A0" w:rsidRPr="00272DB8" w14:paraId="77600532" w14:textId="77777777" w:rsidTr="00BD3A3C">
        <w:trPr>
          <w:cnfStyle w:val="000000010000" w:firstRow="0" w:lastRow="0" w:firstColumn="0" w:lastColumn="0" w:oddVBand="0" w:evenVBand="0" w:oddHBand="0" w:evenHBand="1" w:firstRowFirstColumn="0" w:firstRowLastColumn="0" w:lastRowFirstColumn="0" w:lastRowLastColumn="0"/>
        </w:trPr>
        <w:tc>
          <w:tcPr>
            <w:tcW w:w="993" w:type="dxa"/>
            <w:shd w:val="clear" w:color="auto" w:fill="auto"/>
            <w:vAlign w:val="center"/>
            <w:hideMark/>
          </w:tcPr>
          <w:p w14:paraId="48A2901A" w14:textId="77777777" w:rsidR="001832A0" w:rsidRPr="00616375" w:rsidRDefault="001832A0" w:rsidP="00616375">
            <w:pPr>
              <w:pStyle w:val="NormalWeb"/>
              <w:rPr>
                <w:b/>
                <w:sz w:val="18"/>
                <w:szCs w:val="18"/>
              </w:rPr>
            </w:pPr>
            <w:r w:rsidRPr="00616375">
              <w:rPr>
                <w:b/>
                <w:sz w:val="18"/>
                <w:szCs w:val="18"/>
              </w:rPr>
              <w:t>2017</w:t>
            </w:r>
          </w:p>
        </w:tc>
        <w:tc>
          <w:tcPr>
            <w:tcW w:w="9473" w:type="dxa"/>
            <w:shd w:val="clear" w:color="auto" w:fill="auto"/>
            <w:hideMark/>
          </w:tcPr>
          <w:p w14:paraId="1F7F1F40" w14:textId="77777777" w:rsidR="001832A0" w:rsidRPr="00272DB8" w:rsidRDefault="001832A0">
            <w:pPr>
              <w:pStyle w:val="NormalWeb"/>
              <w:rPr>
                <w:sz w:val="18"/>
                <w:szCs w:val="18"/>
              </w:rPr>
            </w:pPr>
            <w:r w:rsidRPr="00272DB8">
              <w:rPr>
                <w:sz w:val="18"/>
                <w:szCs w:val="18"/>
              </w:rPr>
              <w:t>From January to December 2017, meningococcal ACWY conjugate vaccine funded in Western Australia, Victoria and Tasmania for grade 10–12 students; New South Wales for grade 11–12; Queensland grade 10 students and persons aged 15–19 years who no longer attend school. The Northern Territory introduced the vaccine for at-risk people aged 1–19 years living in specified remote regions and all children aged 12 months. For more details see the meningococcal vaccination history table at http://ncirs.org.au/sites/default/files/2019-04/Meningococcal-history-April-2019.pdf</w:t>
            </w:r>
          </w:p>
          <w:p w14:paraId="6ADE90A5" w14:textId="77777777" w:rsidR="001832A0" w:rsidRPr="00272DB8" w:rsidRDefault="001832A0">
            <w:pPr>
              <w:pStyle w:val="NormalWeb"/>
              <w:rPr>
                <w:sz w:val="18"/>
                <w:szCs w:val="18"/>
              </w:rPr>
            </w:pPr>
            <w:r w:rsidRPr="00272DB8">
              <w:rPr>
                <w:sz w:val="18"/>
                <w:szCs w:val="18"/>
              </w:rPr>
              <w:t>From April 2017, meningococcal B vaccine study commenced in South Australia for grade 10–12 students at participating schools.</w:t>
            </w:r>
          </w:p>
        </w:tc>
      </w:tr>
      <w:tr w:rsidR="001832A0" w:rsidRPr="00272DB8" w14:paraId="450CADA5" w14:textId="77777777" w:rsidTr="00BD3A3C">
        <w:tc>
          <w:tcPr>
            <w:tcW w:w="993" w:type="dxa"/>
            <w:shd w:val="clear" w:color="auto" w:fill="auto"/>
            <w:vAlign w:val="center"/>
            <w:hideMark/>
          </w:tcPr>
          <w:p w14:paraId="39B447B9" w14:textId="77777777" w:rsidR="001832A0" w:rsidRPr="00616375" w:rsidRDefault="001832A0" w:rsidP="00616375">
            <w:pPr>
              <w:pStyle w:val="NormalWeb"/>
              <w:rPr>
                <w:b/>
                <w:sz w:val="18"/>
                <w:szCs w:val="18"/>
              </w:rPr>
            </w:pPr>
            <w:r w:rsidRPr="00616375">
              <w:rPr>
                <w:b/>
                <w:sz w:val="18"/>
                <w:szCs w:val="18"/>
              </w:rPr>
              <w:t>2016</w:t>
            </w:r>
          </w:p>
        </w:tc>
        <w:tc>
          <w:tcPr>
            <w:tcW w:w="9473" w:type="dxa"/>
            <w:shd w:val="clear" w:color="auto" w:fill="auto"/>
            <w:hideMark/>
          </w:tcPr>
          <w:p w14:paraId="54306816" w14:textId="77777777" w:rsidR="001832A0" w:rsidRPr="00272DB8" w:rsidRDefault="001832A0">
            <w:pPr>
              <w:pStyle w:val="NormalWeb"/>
              <w:rPr>
                <w:sz w:val="18"/>
                <w:szCs w:val="18"/>
              </w:rPr>
            </w:pPr>
            <w:r w:rsidRPr="00272DB8">
              <w:rPr>
                <w:sz w:val="18"/>
                <w:szCs w:val="18"/>
              </w:rPr>
              <w:t>From November 2016, zoster vaccine (Zostavax®) provided free for people aged 70 years under the National Immunisation Program (NIP) with a five year catch-up program for people aged 71–79 years.</w:t>
            </w:r>
          </w:p>
          <w:p w14:paraId="6015F2B3" w14:textId="77777777" w:rsidR="001832A0" w:rsidRPr="00272DB8" w:rsidRDefault="001832A0">
            <w:pPr>
              <w:pStyle w:val="NormalWeb"/>
              <w:rPr>
                <w:sz w:val="18"/>
                <w:szCs w:val="18"/>
              </w:rPr>
            </w:pPr>
            <w:r w:rsidRPr="00272DB8">
              <w:rPr>
                <w:sz w:val="18"/>
                <w:szCs w:val="18"/>
              </w:rPr>
              <w:t>From March 2016, free booster dose of the diphtheria, tetanus, and acellular pertussis-containing vaccine (DTPa) at 18 months of age.</w:t>
            </w:r>
          </w:p>
        </w:tc>
      </w:tr>
      <w:tr w:rsidR="001832A0" w:rsidRPr="00272DB8" w14:paraId="169C52E2" w14:textId="77777777" w:rsidTr="00BD3A3C">
        <w:trPr>
          <w:cnfStyle w:val="000000010000" w:firstRow="0" w:lastRow="0" w:firstColumn="0" w:lastColumn="0" w:oddVBand="0" w:evenVBand="0" w:oddHBand="0" w:evenHBand="1" w:firstRowFirstColumn="0" w:firstRowLastColumn="0" w:lastRowFirstColumn="0" w:lastRowLastColumn="0"/>
        </w:trPr>
        <w:tc>
          <w:tcPr>
            <w:tcW w:w="993" w:type="dxa"/>
            <w:shd w:val="clear" w:color="auto" w:fill="auto"/>
            <w:vAlign w:val="center"/>
            <w:hideMark/>
          </w:tcPr>
          <w:p w14:paraId="126E6D02" w14:textId="77777777" w:rsidR="001832A0" w:rsidRPr="00616375" w:rsidRDefault="001832A0" w:rsidP="00616375">
            <w:pPr>
              <w:pStyle w:val="NormalWeb"/>
              <w:rPr>
                <w:b/>
                <w:sz w:val="18"/>
                <w:szCs w:val="18"/>
              </w:rPr>
            </w:pPr>
            <w:r w:rsidRPr="00616375">
              <w:rPr>
                <w:b/>
                <w:sz w:val="18"/>
                <w:szCs w:val="18"/>
              </w:rPr>
              <w:t>2015</w:t>
            </w:r>
          </w:p>
        </w:tc>
        <w:tc>
          <w:tcPr>
            <w:tcW w:w="9473" w:type="dxa"/>
            <w:shd w:val="clear" w:color="auto" w:fill="auto"/>
            <w:hideMark/>
          </w:tcPr>
          <w:p w14:paraId="3158A5F1" w14:textId="77777777" w:rsidR="001832A0" w:rsidRPr="00272DB8" w:rsidRDefault="001832A0">
            <w:pPr>
              <w:pStyle w:val="NormalWeb"/>
              <w:rPr>
                <w:sz w:val="18"/>
                <w:szCs w:val="18"/>
              </w:rPr>
            </w:pPr>
            <w:r w:rsidRPr="00272DB8">
              <w:rPr>
                <w:sz w:val="18"/>
                <w:szCs w:val="18"/>
              </w:rPr>
              <w:t>From March 2015, seasonal influenza vaccine funded for Aboriginal and Torres Strait Islander children aged 6 months to less than 5 years.</w:t>
            </w:r>
          </w:p>
          <w:p w14:paraId="30E2DB94" w14:textId="77777777" w:rsidR="001832A0" w:rsidRPr="00272DB8" w:rsidRDefault="001832A0">
            <w:pPr>
              <w:pStyle w:val="NormalWeb"/>
              <w:rPr>
                <w:sz w:val="18"/>
                <w:szCs w:val="18"/>
              </w:rPr>
            </w:pPr>
            <w:r w:rsidRPr="00272DB8">
              <w:rPr>
                <w:sz w:val="18"/>
                <w:szCs w:val="18"/>
              </w:rPr>
              <w:lastRenderedPageBreak/>
              <w:t>From March to June 2015, the dTpa vaccine for women during the third trimester of pregnancy was funded by New South Wales, South Australia, Western Australia, the Australian Capital Territory, Victoria and Tasmania. The Northern Territory had funded it since September 2013 and Queensland since July 2014.</w:t>
            </w:r>
          </w:p>
          <w:p w14:paraId="0A0E8C1E" w14:textId="77777777" w:rsidR="001832A0" w:rsidRPr="00272DB8" w:rsidRDefault="001832A0">
            <w:pPr>
              <w:pStyle w:val="NormalWeb"/>
              <w:rPr>
                <w:sz w:val="18"/>
                <w:szCs w:val="18"/>
              </w:rPr>
            </w:pPr>
            <w:r w:rsidRPr="00272DB8">
              <w:rPr>
                <w:sz w:val="18"/>
                <w:szCs w:val="18"/>
              </w:rPr>
              <w:t>In March 2015, a booster dose of DTPa vaccine recommended at 18 months of age (funded in March 2016).</w:t>
            </w:r>
          </w:p>
          <w:p w14:paraId="6B221C15" w14:textId="77777777" w:rsidR="001832A0" w:rsidRPr="00272DB8" w:rsidRDefault="001832A0">
            <w:pPr>
              <w:pStyle w:val="NormalWeb"/>
              <w:rPr>
                <w:sz w:val="18"/>
                <w:szCs w:val="18"/>
              </w:rPr>
            </w:pPr>
            <w:r w:rsidRPr="00272DB8">
              <w:rPr>
                <w:sz w:val="18"/>
                <w:szCs w:val="18"/>
              </w:rPr>
              <w:t>In April 2015, new immunisation requirements for family assistance payments were announced by the federal government (the ‘No Jab, No Pay’ policy), to come into effect on 1 January 2016. Only parents of children (aged less than 20 years) who are ‘fully immunised’ or on a recognised catch-up schedule remain eligible to receive the Child Care Benefit, Child Care Rebate, and/or the Family Tax Benefit Part A end-of-year supplement.</w:t>
            </w:r>
          </w:p>
        </w:tc>
      </w:tr>
      <w:tr w:rsidR="001832A0" w:rsidRPr="00272DB8" w14:paraId="7817E7F5" w14:textId="77777777" w:rsidTr="00BD3A3C">
        <w:tc>
          <w:tcPr>
            <w:tcW w:w="993" w:type="dxa"/>
            <w:shd w:val="clear" w:color="auto" w:fill="auto"/>
            <w:vAlign w:val="center"/>
            <w:hideMark/>
          </w:tcPr>
          <w:p w14:paraId="06246852" w14:textId="77777777" w:rsidR="001832A0" w:rsidRPr="00616375" w:rsidRDefault="001832A0" w:rsidP="00616375">
            <w:pPr>
              <w:pStyle w:val="NormalWeb"/>
              <w:rPr>
                <w:b/>
                <w:sz w:val="18"/>
                <w:szCs w:val="18"/>
              </w:rPr>
            </w:pPr>
            <w:r w:rsidRPr="00616375">
              <w:rPr>
                <w:b/>
                <w:sz w:val="18"/>
                <w:szCs w:val="18"/>
              </w:rPr>
              <w:lastRenderedPageBreak/>
              <w:t>2014</w:t>
            </w:r>
          </w:p>
        </w:tc>
        <w:tc>
          <w:tcPr>
            <w:tcW w:w="9473" w:type="dxa"/>
            <w:shd w:val="clear" w:color="auto" w:fill="auto"/>
            <w:hideMark/>
          </w:tcPr>
          <w:p w14:paraId="3DC2B874" w14:textId="77777777" w:rsidR="001832A0" w:rsidRPr="00272DB8" w:rsidRDefault="001832A0">
            <w:pPr>
              <w:pStyle w:val="NormalWeb"/>
              <w:rPr>
                <w:sz w:val="18"/>
                <w:szCs w:val="18"/>
              </w:rPr>
            </w:pPr>
            <w:r w:rsidRPr="00272DB8">
              <w:rPr>
                <w:sz w:val="18"/>
                <w:szCs w:val="18"/>
              </w:rPr>
              <w:t>4vHPV vaccine catch-up program for males aged 14–15 years ceased in December 2014.</w:t>
            </w:r>
          </w:p>
          <w:p w14:paraId="722B097D" w14:textId="77777777" w:rsidR="001832A0" w:rsidRPr="00272DB8" w:rsidRDefault="001832A0">
            <w:pPr>
              <w:pStyle w:val="NormalWeb"/>
              <w:rPr>
                <w:sz w:val="18"/>
                <w:szCs w:val="18"/>
              </w:rPr>
            </w:pPr>
            <w:r w:rsidRPr="00272DB8">
              <w:rPr>
                <w:sz w:val="18"/>
                <w:szCs w:val="18"/>
              </w:rPr>
              <w:t>In July 2014, dTpa vaccine was funded by Queensland for women during the third trimester of pregnancy.</w:t>
            </w:r>
          </w:p>
        </w:tc>
      </w:tr>
      <w:tr w:rsidR="001832A0" w:rsidRPr="00272DB8" w14:paraId="45499EB1" w14:textId="77777777" w:rsidTr="00BD3A3C">
        <w:trPr>
          <w:cnfStyle w:val="000000010000" w:firstRow="0" w:lastRow="0" w:firstColumn="0" w:lastColumn="0" w:oddVBand="0" w:evenVBand="0" w:oddHBand="0" w:evenHBand="1" w:firstRowFirstColumn="0" w:firstRowLastColumn="0" w:lastRowFirstColumn="0" w:lastRowLastColumn="0"/>
        </w:trPr>
        <w:tc>
          <w:tcPr>
            <w:tcW w:w="993" w:type="dxa"/>
            <w:shd w:val="clear" w:color="auto" w:fill="auto"/>
            <w:vAlign w:val="center"/>
            <w:hideMark/>
          </w:tcPr>
          <w:p w14:paraId="482AA368" w14:textId="77777777" w:rsidR="001832A0" w:rsidRPr="00616375" w:rsidRDefault="001832A0" w:rsidP="00616375">
            <w:pPr>
              <w:pStyle w:val="NormalWeb"/>
              <w:rPr>
                <w:b/>
                <w:sz w:val="18"/>
                <w:szCs w:val="18"/>
              </w:rPr>
            </w:pPr>
            <w:r w:rsidRPr="00616375">
              <w:rPr>
                <w:b/>
                <w:sz w:val="18"/>
                <w:szCs w:val="18"/>
              </w:rPr>
              <w:t>2013</w:t>
            </w:r>
          </w:p>
        </w:tc>
        <w:tc>
          <w:tcPr>
            <w:tcW w:w="9473" w:type="dxa"/>
            <w:shd w:val="clear" w:color="auto" w:fill="auto"/>
            <w:hideMark/>
          </w:tcPr>
          <w:p w14:paraId="26CB9AEF" w14:textId="77777777" w:rsidR="001832A0" w:rsidRPr="00272DB8" w:rsidRDefault="001832A0">
            <w:pPr>
              <w:pStyle w:val="NormalWeb"/>
              <w:rPr>
                <w:sz w:val="18"/>
                <w:szCs w:val="18"/>
              </w:rPr>
            </w:pPr>
            <w:r w:rsidRPr="00272DB8">
              <w:rPr>
                <w:sz w:val="18"/>
                <w:szCs w:val="18"/>
              </w:rPr>
              <w:t>From 1 February 2013, 4vHPV vaccine was extended to males aged 12–13 years, delivered through a school-based program, with a catch-up program for males aged 14–15 years in 2013 and 2014.</w:t>
            </w:r>
          </w:p>
          <w:p w14:paraId="6C03879B" w14:textId="77777777" w:rsidR="001832A0" w:rsidRPr="00272DB8" w:rsidRDefault="001832A0">
            <w:pPr>
              <w:pStyle w:val="NormalWeb"/>
              <w:rPr>
                <w:sz w:val="18"/>
                <w:szCs w:val="18"/>
              </w:rPr>
            </w:pPr>
            <w:r w:rsidRPr="00272DB8">
              <w:rPr>
                <w:sz w:val="18"/>
                <w:szCs w:val="18"/>
              </w:rPr>
              <w:t>From July 2013, the second dose of MMR vaccine, previously given at 4 years, was brought forward to 18 months of age and delivered as MMRV vaccine.</w:t>
            </w:r>
          </w:p>
          <w:p w14:paraId="5E763BC5" w14:textId="77777777" w:rsidR="001832A0" w:rsidRPr="00272DB8" w:rsidRDefault="001832A0">
            <w:pPr>
              <w:pStyle w:val="NormalWeb"/>
              <w:rPr>
                <w:sz w:val="18"/>
                <w:szCs w:val="18"/>
              </w:rPr>
            </w:pPr>
            <w:r w:rsidRPr="00272DB8">
              <w:rPr>
                <w:sz w:val="18"/>
                <w:szCs w:val="18"/>
              </w:rPr>
              <w:t xml:space="preserve">From July 2013, combined </w:t>
            </w:r>
            <w:r w:rsidRPr="00FD4977">
              <w:rPr>
                <w:i/>
                <w:sz w:val="18"/>
                <w:szCs w:val="18"/>
              </w:rPr>
              <w:t>Haemophilus influenzae</w:t>
            </w:r>
            <w:r w:rsidRPr="00272DB8">
              <w:rPr>
                <w:sz w:val="18"/>
                <w:szCs w:val="18"/>
              </w:rPr>
              <w:t xml:space="preserve"> type b (Hib) and meningococcal serogroup C (MenC) vaccine, Menitorix®, was funded for infants aged 12 months. This combination vaccine replaced the single dose of monovalent meningococcal C conjugate vaccine (MenCCV) and booster dose of monovalent Hib vaccine previously scheduled at 12 months of age.</w:t>
            </w:r>
          </w:p>
          <w:p w14:paraId="78DFD525" w14:textId="77777777" w:rsidR="001832A0" w:rsidRPr="00272DB8" w:rsidRDefault="001832A0">
            <w:pPr>
              <w:pStyle w:val="NormalWeb"/>
              <w:rPr>
                <w:sz w:val="18"/>
                <w:szCs w:val="18"/>
              </w:rPr>
            </w:pPr>
            <w:r w:rsidRPr="00272DB8">
              <w:rPr>
                <w:sz w:val="18"/>
                <w:szCs w:val="18"/>
              </w:rPr>
              <w:t>At the end of December 2013, the secondary school Year 7 hepatitis B vaccine catch-up program ceased, as all younger age cohorts were eligible for infant immunisation under the NIP (commenced 2000).</w:t>
            </w:r>
          </w:p>
          <w:p w14:paraId="3E00F1D0" w14:textId="77777777" w:rsidR="001832A0" w:rsidRPr="00272DB8" w:rsidRDefault="001832A0">
            <w:pPr>
              <w:pStyle w:val="NormalWeb"/>
              <w:rPr>
                <w:sz w:val="18"/>
                <w:szCs w:val="18"/>
              </w:rPr>
            </w:pPr>
            <w:r w:rsidRPr="00272DB8">
              <w:rPr>
                <w:sz w:val="18"/>
                <w:szCs w:val="18"/>
              </w:rPr>
              <w:t>In September 2013, dTpa vaccine funded by NT for women during the third trimester of pregnancy and for parents of infants aged &lt;7 months under cocoon strategy</w:t>
            </w:r>
          </w:p>
        </w:tc>
      </w:tr>
      <w:tr w:rsidR="001832A0" w:rsidRPr="00272DB8" w14:paraId="46C5F0DE" w14:textId="77777777" w:rsidTr="00BD3A3C">
        <w:tc>
          <w:tcPr>
            <w:tcW w:w="993" w:type="dxa"/>
            <w:shd w:val="clear" w:color="auto" w:fill="auto"/>
            <w:vAlign w:val="center"/>
            <w:hideMark/>
          </w:tcPr>
          <w:p w14:paraId="3459B5E2" w14:textId="77777777" w:rsidR="001832A0" w:rsidRPr="00616375" w:rsidRDefault="001832A0" w:rsidP="00616375">
            <w:pPr>
              <w:pStyle w:val="NormalWeb"/>
              <w:rPr>
                <w:b/>
                <w:sz w:val="18"/>
                <w:szCs w:val="18"/>
              </w:rPr>
            </w:pPr>
            <w:r w:rsidRPr="00616375">
              <w:rPr>
                <w:b/>
                <w:sz w:val="18"/>
                <w:szCs w:val="18"/>
              </w:rPr>
              <w:t>2012</w:t>
            </w:r>
          </w:p>
        </w:tc>
        <w:tc>
          <w:tcPr>
            <w:tcW w:w="9473" w:type="dxa"/>
            <w:shd w:val="clear" w:color="auto" w:fill="auto"/>
            <w:hideMark/>
          </w:tcPr>
          <w:p w14:paraId="70A360D0" w14:textId="77777777" w:rsidR="001832A0" w:rsidRPr="00272DB8" w:rsidRDefault="001832A0">
            <w:pPr>
              <w:pStyle w:val="NormalWeb"/>
              <w:rPr>
                <w:sz w:val="18"/>
                <w:szCs w:val="18"/>
              </w:rPr>
            </w:pPr>
            <w:r w:rsidRPr="00272DB8">
              <w:rPr>
                <w:sz w:val="18"/>
                <w:szCs w:val="18"/>
              </w:rPr>
              <w:t>From 1 October 2012, a fourth dose of Prevenar 13®, (13vPCV, a 13-valent pneumococcal conjugate vaccine) was listed on the National Immunisation Program (NIP) for Indigenous children, aged 12–18 months, residing in Queensland, South Australia, Western Australia and the Northern Territory. This replaced the booster dose of Pneumovax®23, (23vPPV, a 23-valent pneumococcal polysaccharide vaccine) administered between 18 and 24 months of age for Indigenous children from these jurisdictions.</w:t>
            </w:r>
          </w:p>
        </w:tc>
      </w:tr>
      <w:tr w:rsidR="001832A0" w:rsidRPr="00272DB8" w14:paraId="0F28F60D" w14:textId="77777777" w:rsidTr="00BD3A3C">
        <w:trPr>
          <w:cnfStyle w:val="000000010000" w:firstRow="0" w:lastRow="0" w:firstColumn="0" w:lastColumn="0" w:oddVBand="0" w:evenVBand="0" w:oddHBand="0" w:evenHBand="1" w:firstRowFirstColumn="0" w:firstRowLastColumn="0" w:lastRowFirstColumn="0" w:lastRowLastColumn="0"/>
        </w:trPr>
        <w:tc>
          <w:tcPr>
            <w:tcW w:w="993" w:type="dxa"/>
            <w:shd w:val="clear" w:color="auto" w:fill="auto"/>
            <w:vAlign w:val="center"/>
            <w:hideMark/>
          </w:tcPr>
          <w:p w14:paraId="32B63E4E" w14:textId="77777777" w:rsidR="001832A0" w:rsidRPr="00616375" w:rsidRDefault="001832A0" w:rsidP="00616375">
            <w:pPr>
              <w:pStyle w:val="NormalWeb"/>
              <w:rPr>
                <w:b/>
                <w:sz w:val="18"/>
                <w:szCs w:val="18"/>
              </w:rPr>
            </w:pPr>
            <w:r w:rsidRPr="00616375">
              <w:rPr>
                <w:b/>
                <w:sz w:val="18"/>
                <w:szCs w:val="18"/>
              </w:rPr>
              <w:t>2011</w:t>
            </w:r>
          </w:p>
        </w:tc>
        <w:tc>
          <w:tcPr>
            <w:tcW w:w="9473" w:type="dxa"/>
            <w:shd w:val="clear" w:color="auto" w:fill="auto"/>
            <w:hideMark/>
          </w:tcPr>
          <w:p w14:paraId="1480FF05" w14:textId="77777777" w:rsidR="001832A0" w:rsidRPr="00272DB8" w:rsidRDefault="001832A0">
            <w:pPr>
              <w:pStyle w:val="NormalWeb"/>
              <w:rPr>
                <w:sz w:val="18"/>
                <w:szCs w:val="18"/>
              </w:rPr>
            </w:pPr>
            <w:r w:rsidRPr="00272DB8">
              <w:rPr>
                <w:sz w:val="18"/>
                <w:szCs w:val="18"/>
              </w:rPr>
              <w:t>From 1 July 2011, Prevenar 13® replaced Prevenar® on the NIP for children at 2, 4 and 6 months of age in all states and territories except the Northern Territory which adopted 13vPCV from 1 October 2011.</w:t>
            </w:r>
          </w:p>
          <w:p w14:paraId="33C41DA3" w14:textId="77777777" w:rsidR="001832A0" w:rsidRPr="00272DB8" w:rsidRDefault="001832A0">
            <w:pPr>
              <w:pStyle w:val="NormalWeb"/>
              <w:rPr>
                <w:sz w:val="18"/>
                <w:szCs w:val="18"/>
              </w:rPr>
            </w:pPr>
            <w:r w:rsidRPr="00272DB8">
              <w:rPr>
                <w:sz w:val="18"/>
                <w:szCs w:val="18"/>
              </w:rPr>
              <w:t>1 October 2011 to 30 September 2012: all children aged between 12 - 35 months who had completed a primary pneumococcal vaccination course with 7vPCV were eligible to receive a free supplementary dose of Prevenar 13®.</w:t>
            </w:r>
          </w:p>
          <w:p w14:paraId="05B1C03F" w14:textId="77777777" w:rsidR="001832A0" w:rsidRPr="00272DB8" w:rsidRDefault="001832A0">
            <w:pPr>
              <w:pStyle w:val="NormalWeb"/>
              <w:rPr>
                <w:sz w:val="18"/>
                <w:szCs w:val="18"/>
              </w:rPr>
            </w:pPr>
            <w:r w:rsidRPr="00272DB8">
              <w:rPr>
                <w:sz w:val="18"/>
                <w:szCs w:val="18"/>
              </w:rPr>
              <w:t>On 25 March 2011, TGA issued a recall of Batch N3336 of the 23 valent pneumococcal polysaccharide vaccine 23vPPV, Pneumovax®23. April 2011: health professionals were advised not to administer a second or subsequent dose of Pneumovax®23 vaccine. December 2011: Revised recommendations regarding which patients should be re-vaccinated under the NIP were provided.</w:t>
            </w:r>
          </w:p>
        </w:tc>
      </w:tr>
      <w:tr w:rsidR="001832A0" w:rsidRPr="00272DB8" w14:paraId="02FEB4B6" w14:textId="77777777" w:rsidTr="00BD3A3C">
        <w:tc>
          <w:tcPr>
            <w:tcW w:w="993" w:type="dxa"/>
            <w:shd w:val="clear" w:color="auto" w:fill="auto"/>
            <w:vAlign w:val="center"/>
            <w:hideMark/>
          </w:tcPr>
          <w:p w14:paraId="3173F6F0" w14:textId="77777777" w:rsidR="001832A0" w:rsidRPr="00616375" w:rsidRDefault="001832A0" w:rsidP="00616375">
            <w:pPr>
              <w:pStyle w:val="NormalWeb"/>
              <w:rPr>
                <w:b/>
                <w:sz w:val="18"/>
                <w:szCs w:val="18"/>
              </w:rPr>
            </w:pPr>
            <w:r w:rsidRPr="00616375">
              <w:rPr>
                <w:b/>
                <w:sz w:val="18"/>
                <w:szCs w:val="18"/>
              </w:rPr>
              <w:t>2010</w:t>
            </w:r>
          </w:p>
        </w:tc>
        <w:tc>
          <w:tcPr>
            <w:tcW w:w="9473" w:type="dxa"/>
            <w:shd w:val="clear" w:color="auto" w:fill="auto"/>
            <w:hideMark/>
          </w:tcPr>
          <w:p w14:paraId="48D52117" w14:textId="77777777" w:rsidR="001832A0" w:rsidRPr="00272DB8" w:rsidRDefault="001832A0">
            <w:pPr>
              <w:pStyle w:val="NormalWeb"/>
              <w:rPr>
                <w:sz w:val="18"/>
                <w:szCs w:val="18"/>
              </w:rPr>
            </w:pPr>
            <w:r w:rsidRPr="00272DB8">
              <w:rPr>
                <w:sz w:val="18"/>
                <w:szCs w:val="18"/>
              </w:rPr>
              <w:t>Annual vaccination with seasonal trivalent influenza vaccine (TIV, containing 3 influenza strains: A/H1N1, A/H3N2 and B) was funded under the NIP for people aged ≥6 months with medical risk factors (previously subsidised through the Pharmaceutical Benefits Scheme) and all Indigenous people aged ≥15 years (previously all Indigenous adults ≥50 years and 15–49 years with medical risk factors).</w:t>
            </w:r>
          </w:p>
          <w:p w14:paraId="33634945" w14:textId="77777777" w:rsidR="001832A0" w:rsidRPr="00272DB8" w:rsidRDefault="001832A0">
            <w:pPr>
              <w:pStyle w:val="NormalWeb"/>
              <w:rPr>
                <w:sz w:val="18"/>
                <w:szCs w:val="18"/>
              </w:rPr>
            </w:pPr>
            <w:r w:rsidRPr="00272DB8">
              <w:rPr>
                <w:sz w:val="18"/>
                <w:szCs w:val="18"/>
              </w:rPr>
              <w:t>On 23 April 2010, the use of the 2010 seasonal TIV in children &lt;5 years of age was suspended by Australia’s Chief Medical Officer due to an increased number of reports of fever and febrile convulsions post vaccination. A subsequent investigation identified that Fluvax® and Fluvax® junior® (CSL Biotherapies), but neither of the other two available brands registered for use in young children, were associated with an unacceptably high risk of febrile convulsions. The recommendation to resume the use of seasonal influenza vaccine in children aged 6 months to 5 years, using brands other than Fluvax® and Fluvax® junior®, was made in August 2010.</w:t>
            </w:r>
          </w:p>
        </w:tc>
      </w:tr>
      <w:tr w:rsidR="001832A0" w:rsidRPr="00272DB8" w14:paraId="17DBF4E1" w14:textId="77777777" w:rsidTr="00BD3A3C">
        <w:trPr>
          <w:cnfStyle w:val="000000010000" w:firstRow="0" w:lastRow="0" w:firstColumn="0" w:lastColumn="0" w:oddVBand="0" w:evenVBand="0" w:oddHBand="0" w:evenHBand="1" w:firstRowFirstColumn="0" w:firstRowLastColumn="0" w:lastRowFirstColumn="0" w:lastRowLastColumn="0"/>
        </w:trPr>
        <w:tc>
          <w:tcPr>
            <w:tcW w:w="993" w:type="dxa"/>
            <w:shd w:val="clear" w:color="auto" w:fill="auto"/>
            <w:vAlign w:val="center"/>
            <w:hideMark/>
          </w:tcPr>
          <w:p w14:paraId="00675907" w14:textId="77777777" w:rsidR="001832A0" w:rsidRPr="00616375" w:rsidRDefault="001832A0" w:rsidP="00616375">
            <w:pPr>
              <w:pStyle w:val="NormalWeb"/>
              <w:rPr>
                <w:b/>
                <w:sz w:val="18"/>
                <w:szCs w:val="18"/>
              </w:rPr>
            </w:pPr>
            <w:r w:rsidRPr="00616375">
              <w:rPr>
                <w:b/>
                <w:sz w:val="18"/>
                <w:szCs w:val="18"/>
              </w:rPr>
              <w:lastRenderedPageBreak/>
              <w:t>2009</w:t>
            </w:r>
          </w:p>
        </w:tc>
        <w:tc>
          <w:tcPr>
            <w:tcW w:w="9473" w:type="dxa"/>
            <w:shd w:val="clear" w:color="auto" w:fill="auto"/>
            <w:hideMark/>
          </w:tcPr>
          <w:p w14:paraId="17CF09C9" w14:textId="77777777" w:rsidR="001832A0" w:rsidRPr="00272DB8" w:rsidRDefault="001832A0">
            <w:pPr>
              <w:pStyle w:val="NormalWeb"/>
              <w:rPr>
                <w:sz w:val="18"/>
                <w:szCs w:val="18"/>
              </w:rPr>
            </w:pPr>
            <w:r w:rsidRPr="00272DB8">
              <w:rPr>
                <w:sz w:val="18"/>
                <w:szCs w:val="18"/>
              </w:rPr>
              <w:t xml:space="preserve">By late 2009, all states and territories were using the single hexavalent DTPa-IPV-Hib-HepB (Infanrix hexa®) vaccine for all children at 2, 4 and 6 months of age, due to an international shortage of </w:t>
            </w:r>
            <w:r w:rsidRPr="00212071">
              <w:rPr>
                <w:i/>
                <w:sz w:val="18"/>
                <w:szCs w:val="18"/>
              </w:rPr>
              <w:t>Haemophilus influenzae</w:t>
            </w:r>
            <w:r w:rsidRPr="00272DB8">
              <w:rPr>
                <w:sz w:val="18"/>
                <w:szCs w:val="18"/>
              </w:rPr>
              <w:t xml:space="preserve"> type b (Hib) (PedvaxHib® [monovalent] and Comvax® [Hib-HepB]) vaccines.</w:t>
            </w:r>
          </w:p>
          <w:p w14:paraId="7CB71CE2" w14:textId="77777777" w:rsidR="001832A0" w:rsidRPr="00272DB8" w:rsidRDefault="001832A0">
            <w:pPr>
              <w:pStyle w:val="NormalWeb"/>
              <w:rPr>
                <w:sz w:val="18"/>
                <w:szCs w:val="18"/>
              </w:rPr>
            </w:pPr>
            <w:r w:rsidRPr="00272DB8">
              <w:rPr>
                <w:sz w:val="18"/>
                <w:szCs w:val="18"/>
              </w:rPr>
              <w:t>Pandemic H1N1 2009 influenza vaccine (Panvax®) was rolled out across Australia from 30 September 2009 for people aged ≥10 years. From December 2009, the pandemic vaccine was made available to children aged 6 months to 10 years.</w:t>
            </w:r>
          </w:p>
        </w:tc>
      </w:tr>
      <w:tr w:rsidR="001832A0" w:rsidRPr="00272DB8" w14:paraId="7F79CF0B" w14:textId="77777777" w:rsidTr="00BD3A3C">
        <w:tc>
          <w:tcPr>
            <w:tcW w:w="993" w:type="dxa"/>
            <w:shd w:val="clear" w:color="auto" w:fill="auto"/>
            <w:vAlign w:val="center"/>
            <w:hideMark/>
          </w:tcPr>
          <w:p w14:paraId="6C4E0911" w14:textId="77777777" w:rsidR="001832A0" w:rsidRPr="00616375" w:rsidRDefault="001832A0" w:rsidP="00616375">
            <w:pPr>
              <w:pStyle w:val="NormalWeb"/>
              <w:rPr>
                <w:b/>
                <w:sz w:val="18"/>
                <w:szCs w:val="18"/>
              </w:rPr>
            </w:pPr>
            <w:r w:rsidRPr="00616375">
              <w:rPr>
                <w:b/>
                <w:sz w:val="18"/>
                <w:szCs w:val="18"/>
              </w:rPr>
              <w:t>2008</w:t>
            </w:r>
          </w:p>
        </w:tc>
        <w:tc>
          <w:tcPr>
            <w:tcW w:w="9473" w:type="dxa"/>
            <w:shd w:val="clear" w:color="auto" w:fill="auto"/>
            <w:hideMark/>
          </w:tcPr>
          <w:p w14:paraId="08BECD43" w14:textId="77777777" w:rsidR="001832A0" w:rsidRPr="00272DB8" w:rsidRDefault="001832A0">
            <w:pPr>
              <w:pStyle w:val="NormalWeb"/>
              <w:rPr>
                <w:sz w:val="18"/>
                <w:szCs w:val="18"/>
              </w:rPr>
            </w:pPr>
            <w:r w:rsidRPr="00272DB8">
              <w:rPr>
                <w:sz w:val="18"/>
                <w:szCs w:val="18"/>
              </w:rPr>
              <w:t>Western Australia commenced a seasonal influenza vaccination program for all children aged 6 months to &lt;5 years (born after 1 April 2003).</w:t>
            </w:r>
          </w:p>
          <w:p w14:paraId="1AD52F07" w14:textId="77777777" w:rsidR="001832A0" w:rsidRPr="00272DB8" w:rsidRDefault="001832A0">
            <w:pPr>
              <w:pStyle w:val="NormalWeb"/>
              <w:rPr>
                <w:sz w:val="18"/>
                <w:szCs w:val="18"/>
              </w:rPr>
            </w:pPr>
            <w:r w:rsidRPr="00272DB8">
              <w:rPr>
                <w:sz w:val="18"/>
                <w:szCs w:val="18"/>
              </w:rPr>
              <w:t>In March 2008, Queensland, South Australia and Victoria changed from using two combination vaccines (quadrivalent DTPa-IPV and Hib-HepB) to the single hexavalent DTPa-IPV-HepB-Hib vaccine.</w:t>
            </w:r>
          </w:p>
        </w:tc>
      </w:tr>
      <w:tr w:rsidR="001832A0" w:rsidRPr="00272DB8" w14:paraId="20CD4BFD" w14:textId="77777777" w:rsidTr="00BD3A3C">
        <w:trPr>
          <w:cnfStyle w:val="000000010000" w:firstRow="0" w:lastRow="0" w:firstColumn="0" w:lastColumn="0" w:oddVBand="0" w:evenVBand="0" w:oddHBand="0" w:evenHBand="1" w:firstRowFirstColumn="0" w:firstRowLastColumn="0" w:lastRowFirstColumn="0" w:lastRowLastColumn="0"/>
        </w:trPr>
        <w:tc>
          <w:tcPr>
            <w:tcW w:w="993" w:type="dxa"/>
            <w:shd w:val="clear" w:color="auto" w:fill="auto"/>
            <w:vAlign w:val="center"/>
            <w:hideMark/>
          </w:tcPr>
          <w:p w14:paraId="7F08DF57" w14:textId="77777777" w:rsidR="001832A0" w:rsidRPr="00616375" w:rsidRDefault="001832A0" w:rsidP="00616375">
            <w:pPr>
              <w:pStyle w:val="NormalWeb"/>
              <w:rPr>
                <w:b/>
                <w:sz w:val="18"/>
                <w:szCs w:val="18"/>
              </w:rPr>
            </w:pPr>
            <w:r w:rsidRPr="00616375">
              <w:rPr>
                <w:b/>
                <w:sz w:val="18"/>
                <w:szCs w:val="18"/>
              </w:rPr>
              <w:t>2007</w:t>
            </w:r>
          </w:p>
        </w:tc>
        <w:tc>
          <w:tcPr>
            <w:tcW w:w="9473" w:type="dxa"/>
            <w:shd w:val="clear" w:color="auto" w:fill="auto"/>
            <w:hideMark/>
          </w:tcPr>
          <w:p w14:paraId="126D00AC" w14:textId="77777777" w:rsidR="001832A0" w:rsidRPr="00272DB8" w:rsidRDefault="001832A0">
            <w:pPr>
              <w:pStyle w:val="NormalWeb"/>
              <w:rPr>
                <w:sz w:val="18"/>
                <w:szCs w:val="18"/>
              </w:rPr>
            </w:pPr>
            <w:r w:rsidRPr="00272DB8">
              <w:rPr>
                <w:sz w:val="18"/>
                <w:szCs w:val="18"/>
              </w:rPr>
              <w:t>From April 2007, funded immunisation against human papillomavirus for all Australian girls aged 12–13 years delivered through a school-based program from April 2007, with a temporary catch-up program through schools or primary care providers for females aged 13–26 years until December 2009.</w:t>
            </w:r>
          </w:p>
          <w:p w14:paraId="7ABF87E5" w14:textId="77777777" w:rsidR="001832A0" w:rsidRPr="00272DB8" w:rsidRDefault="001832A0">
            <w:pPr>
              <w:pStyle w:val="NormalWeb"/>
              <w:rPr>
                <w:sz w:val="18"/>
                <w:szCs w:val="18"/>
              </w:rPr>
            </w:pPr>
            <w:r w:rsidRPr="00272DB8">
              <w:rPr>
                <w:sz w:val="18"/>
                <w:szCs w:val="18"/>
              </w:rPr>
              <w:t>From July 2007, universal funded immunisation against rotavirus at 2 and 4 months of age (Rotarix®) or at 2, 4 and 6 months of age (Rotateq®).</w:t>
            </w:r>
          </w:p>
        </w:tc>
      </w:tr>
      <w:tr w:rsidR="001832A0" w:rsidRPr="00272DB8" w14:paraId="734A1C6D" w14:textId="77777777" w:rsidTr="00BD3A3C">
        <w:tc>
          <w:tcPr>
            <w:tcW w:w="993" w:type="dxa"/>
            <w:shd w:val="clear" w:color="auto" w:fill="auto"/>
            <w:vAlign w:val="center"/>
            <w:hideMark/>
          </w:tcPr>
          <w:p w14:paraId="7EE8DCAF" w14:textId="77777777" w:rsidR="001832A0" w:rsidRPr="00616375" w:rsidRDefault="001832A0" w:rsidP="00616375">
            <w:pPr>
              <w:pStyle w:val="NormalWeb"/>
              <w:rPr>
                <w:b/>
                <w:sz w:val="18"/>
                <w:szCs w:val="18"/>
              </w:rPr>
            </w:pPr>
            <w:r w:rsidRPr="00616375">
              <w:rPr>
                <w:b/>
                <w:sz w:val="18"/>
                <w:szCs w:val="18"/>
              </w:rPr>
              <w:t>2005</w:t>
            </w:r>
          </w:p>
        </w:tc>
        <w:tc>
          <w:tcPr>
            <w:tcW w:w="9473" w:type="dxa"/>
            <w:shd w:val="clear" w:color="auto" w:fill="auto"/>
            <w:hideMark/>
          </w:tcPr>
          <w:p w14:paraId="4667131F" w14:textId="77777777" w:rsidR="001832A0" w:rsidRPr="00272DB8" w:rsidRDefault="001832A0">
            <w:pPr>
              <w:pStyle w:val="NormalWeb"/>
              <w:rPr>
                <w:sz w:val="18"/>
                <w:szCs w:val="18"/>
              </w:rPr>
            </w:pPr>
            <w:r w:rsidRPr="00272DB8">
              <w:rPr>
                <w:sz w:val="18"/>
                <w:szCs w:val="18"/>
              </w:rPr>
              <w:t>From January 2005, universal funded infant 7-valent pneumococcal conjugate vaccine (7vPCV) program replaced the previous targeted childhood program, with a catch-up program for children aged &lt;2 years.</w:t>
            </w:r>
          </w:p>
          <w:p w14:paraId="7B555550" w14:textId="77777777" w:rsidR="001832A0" w:rsidRPr="00272DB8" w:rsidRDefault="001832A0">
            <w:pPr>
              <w:pStyle w:val="NormalWeb"/>
              <w:rPr>
                <w:sz w:val="18"/>
                <w:szCs w:val="18"/>
              </w:rPr>
            </w:pPr>
            <w:r w:rsidRPr="00272DB8">
              <w:rPr>
                <w:sz w:val="18"/>
                <w:szCs w:val="18"/>
              </w:rPr>
              <w:t>Universal 23-valent pneumococcal polysaccharide vaccine (23vPPV) for adults aged ≥65 years replaced previous subsidy through the Pharmaceutical Benefits Scheme.</w:t>
            </w:r>
          </w:p>
          <w:p w14:paraId="13B6E217" w14:textId="77777777" w:rsidR="001832A0" w:rsidRPr="00272DB8" w:rsidRDefault="001832A0">
            <w:pPr>
              <w:pStyle w:val="NormalWeb"/>
              <w:rPr>
                <w:sz w:val="18"/>
                <w:szCs w:val="18"/>
              </w:rPr>
            </w:pPr>
            <w:r w:rsidRPr="00272DB8">
              <w:rPr>
                <w:sz w:val="18"/>
                <w:szCs w:val="18"/>
              </w:rPr>
              <w:t>From November 2005, universal funded immunisation against varicella at 18 months of age with a school-based catch-up program for children at 10–13 years of age not previously vaccinated and without a history of varicella infection (no funded catch-up for children 2–10 years of age).</w:t>
            </w:r>
          </w:p>
          <w:p w14:paraId="6A0C41ED" w14:textId="77777777" w:rsidR="001832A0" w:rsidRPr="00272DB8" w:rsidRDefault="001832A0">
            <w:pPr>
              <w:pStyle w:val="NormalWeb"/>
              <w:rPr>
                <w:sz w:val="18"/>
                <w:szCs w:val="18"/>
              </w:rPr>
            </w:pPr>
            <w:r w:rsidRPr="00272DB8">
              <w:rPr>
                <w:sz w:val="18"/>
                <w:szCs w:val="18"/>
              </w:rPr>
              <w:t>IPV was funded to replace OPV, in combination vaccines.</w:t>
            </w:r>
          </w:p>
        </w:tc>
      </w:tr>
    </w:tbl>
    <w:p w14:paraId="7D31810C" w14:textId="77777777" w:rsidR="0033395E" w:rsidRDefault="0033395E" w:rsidP="00050B14">
      <w:pPr>
        <w:pStyle w:val="Heading1"/>
      </w:pPr>
    </w:p>
    <w:p w14:paraId="6F30A883" w14:textId="77777777" w:rsidR="0033395E" w:rsidRDefault="0033395E" w:rsidP="0033395E">
      <w:pPr>
        <w:rPr>
          <w:rFonts w:asciiTheme="majorHAnsi" w:eastAsiaTheme="majorEastAsia" w:hAnsiTheme="majorHAnsi" w:cstheme="majorBidi"/>
          <w:sz w:val="32"/>
          <w:szCs w:val="28"/>
        </w:rPr>
      </w:pPr>
      <w:r>
        <w:br w:type="page"/>
      </w:r>
    </w:p>
    <w:p w14:paraId="38BD8CDF" w14:textId="77777777" w:rsidR="001832A0" w:rsidRPr="00050B14" w:rsidRDefault="001832A0" w:rsidP="00050B14">
      <w:pPr>
        <w:pStyle w:val="Heading1"/>
      </w:pPr>
      <w:r w:rsidRPr="00050B14">
        <w:lastRenderedPageBreak/>
        <w:t xml:space="preserve">Methods </w:t>
      </w:r>
    </w:p>
    <w:p w14:paraId="5AD21469" w14:textId="77777777" w:rsidR="001832A0" w:rsidRDefault="001832A0" w:rsidP="00050B14">
      <w:r>
        <w:t>AEFI are notified to the TGA by state and territory health departments, health professionals, vaccine companies and members of the public.</w:t>
      </w:r>
      <w:r>
        <w:rPr>
          <w:vertAlign w:val="superscript"/>
        </w:rPr>
        <w:t xml:space="preserve">16 </w:t>
      </w:r>
      <w:r>
        <w:t>All reported AEFI are assessed using internationally consistent criteria</w:t>
      </w:r>
      <w:r>
        <w:rPr>
          <w:vertAlign w:val="superscript"/>
        </w:rPr>
        <w:t>17</w:t>
      </w:r>
      <w:r>
        <w:t xml:space="preserve"> and entered into the Australian Adverse Events Management System (AEMS) database. Where there is insufficient information to determine causality for select serious adverse events the TGA will attempt to contact the reporter on up to three occasions to elicit further information. Data mining and signal detection activities are also conducted by the TGA. </w:t>
      </w:r>
    </w:p>
    <w:p w14:paraId="4865F256" w14:textId="77777777" w:rsidR="001832A0" w:rsidRPr="00050B14" w:rsidRDefault="001832A0" w:rsidP="00050B14">
      <w:pPr>
        <w:pStyle w:val="Heading2"/>
      </w:pPr>
      <w:r w:rsidRPr="00050B14">
        <w:t xml:space="preserve">AEFI data </w:t>
      </w:r>
    </w:p>
    <w:p w14:paraId="0A0EA031" w14:textId="77777777" w:rsidR="001832A0" w:rsidRDefault="001832A0" w:rsidP="00050B14">
      <w:r>
        <w:t>De-identified information on all AEFI reported to the TGA from 1 January 2000 to 31 December 2018 and stored in the AEMS database were released to the National Centre for Immunisation Research and Surveillance (NCIRS) in July 2019. Readers are referred to previous AEFI surveillance reports for a description of the surveillance system.</w:t>
      </w:r>
      <w:r>
        <w:rPr>
          <w:vertAlign w:val="superscript"/>
        </w:rPr>
        <w:t>3,6</w:t>
      </w:r>
      <w:r>
        <w:t xml:space="preserve"> </w:t>
      </w:r>
    </w:p>
    <w:p w14:paraId="6E242E32" w14:textId="77777777" w:rsidR="001832A0" w:rsidRDefault="001832A0" w:rsidP="00050B14">
      <w:r>
        <w:t>Records</w:t>
      </w:r>
      <w:r w:rsidR="00501A2A" w:rsidRPr="00501A2A">
        <w:rPr>
          <w:vertAlign w:val="superscript"/>
        </w:rPr>
        <w:t>i</w:t>
      </w:r>
      <w:r>
        <w:t xml:space="preserve"> contained in the AEMS database were eligible for inclusion in the analysis if a vaccine was recorded as ‘suspected’</w:t>
      </w:r>
      <w:r w:rsidR="00D64C11" w:rsidRPr="00D64C11">
        <w:rPr>
          <w:vertAlign w:val="superscript"/>
        </w:rPr>
        <w:t>ii</w:t>
      </w:r>
      <w:r>
        <w:t xml:space="preserve"> of causal involvement in the reported adverse event and</w:t>
      </w:r>
      <w:r w:rsidRPr="00CA2AB2">
        <w:rPr>
          <w:rStyle w:val="Emphasis"/>
          <w:b w:val="0"/>
        </w:rPr>
        <w:t xml:space="preserve"> either </w:t>
      </w:r>
    </w:p>
    <w:p w14:paraId="7D0D2F6B" w14:textId="77777777" w:rsidR="001832A0" w:rsidRDefault="001832A0" w:rsidP="00A95A14">
      <w:pPr>
        <w:pStyle w:val="NormalWeb"/>
        <w:numPr>
          <w:ilvl w:val="0"/>
          <w:numId w:val="22"/>
        </w:numPr>
        <w:divId w:val="1782261314"/>
      </w:pPr>
      <w:r>
        <w:t xml:space="preserve">The vaccination occurred between 1 January 2000 and 31 December 2018, </w:t>
      </w:r>
      <w:r w:rsidRPr="00CA2AB2">
        <w:rPr>
          <w:rStyle w:val="Emphasis"/>
          <w:b w:val="0"/>
        </w:rPr>
        <w:t>or</w:t>
      </w:r>
      <w:r>
        <w:t xml:space="preserve"> </w:t>
      </w:r>
    </w:p>
    <w:p w14:paraId="7DE1146D" w14:textId="77777777" w:rsidR="001832A0" w:rsidRDefault="001832A0" w:rsidP="00A95A14">
      <w:pPr>
        <w:pStyle w:val="NormalWeb"/>
        <w:numPr>
          <w:ilvl w:val="0"/>
          <w:numId w:val="22"/>
        </w:numPr>
        <w:divId w:val="1782261314"/>
      </w:pPr>
      <w:r>
        <w:t xml:space="preserve">For records where the vaccination date was not recorded, the date of onset of symptoms or signs occurred between 1 January 2000 and 31 December 2018. </w:t>
      </w:r>
    </w:p>
    <w:p w14:paraId="3ED9A3D7" w14:textId="77777777" w:rsidR="001832A0" w:rsidRDefault="00DD067E">
      <w:pPr>
        <w:rPr>
          <w:rFonts w:eastAsia="Times New Roman"/>
        </w:rPr>
      </w:pPr>
      <w:r>
        <w:rPr>
          <w:rFonts w:eastAsia="Times New Roman"/>
        </w:rPr>
        <w:pict w14:anchorId="360DC3BB">
          <v:rect id="_x0000_i1025" style="width:523.3pt;height:.5pt" o:hralign="center" o:hrstd="t" o:hrnoshade="t" o:hr="t" fillcolor="black [3213]" stroked="f"/>
        </w:pict>
      </w:r>
    </w:p>
    <w:p w14:paraId="3E6F4DE4" w14:textId="77777777" w:rsidR="001832A0" w:rsidRDefault="003B42E3" w:rsidP="00CA582D">
      <w:pPr>
        <w:pStyle w:val="CDIfootnotes"/>
        <w:rPr>
          <w:rFonts w:eastAsia="Times New Roman"/>
        </w:rPr>
      </w:pPr>
      <w:r>
        <w:rPr>
          <w:rFonts w:eastAsia="Times New Roman"/>
        </w:rPr>
        <w:t>i</w:t>
      </w:r>
      <w:r>
        <w:rPr>
          <w:rFonts w:eastAsia="Times New Roman"/>
        </w:rPr>
        <w:tab/>
      </w:r>
      <w:r w:rsidR="001832A0">
        <w:rPr>
          <w:rFonts w:eastAsia="Times New Roman"/>
        </w:rPr>
        <w:t xml:space="preserve">The term ‘AEFI record’ is used throughout this report because a single AEFI notification/report to the TGA can generate more than one record in the AEMS database. This may occur if there is a time sequence of separate adverse events in a single patient, such as local and systemic adverse events. </w:t>
      </w:r>
    </w:p>
    <w:p w14:paraId="4F0BF50D" w14:textId="77777777" w:rsidR="001832A0" w:rsidRDefault="003B42E3" w:rsidP="006147B6">
      <w:pPr>
        <w:pStyle w:val="CDIfootnotes"/>
        <w:rPr>
          <w:rFonts w:eastAsia="Times New Roman"/>
        </w:rPr>
      </w:pPr>
      <w:r>
        <w:t>ii</w:t>
      </w:r>
      <w:r>
        <w:tab/>
      </w:r>
      <w:r w:rsidR="001832A0">
        <w:t>Vaccines are classified as ‘suspected’ if the notification/report contains sufficient information to be valid and a causal relationship between reported adverse events and the vaccine is deemed at least possible.</w:t>
      </w:r>
    </w:p>
    <w:p w14:paraId="18C4C9AB" w14:textId="77777777" w:rsidR="000F3FB7" w:rsidRDefault="000F3FB7">
      <w:pPr>
        <w:rPr>
          <w:rFonts w:asciiTheme="majorHAnsi" w:eastAsia="Times New Roman" w:hAnsiTheme="majorHAnsi" w:cstheme="majorBidi"/>
          <w:b/>
          <w:bCs/>
          <w:sz w:val="26"/>
          <w:szCs w:val="26"/>
        </w:rPr>
      </w:pPr>
      <w:r>
        <w:rPr>
          <w:rFonts w:eastAsia="Times New Roman"/>
        </w:rPr>
        <w:br w:type="page"/>
      </w:r>
    </w:p>
    <w:p w14:paraId="507965B5" w14:textId="77777777" w:rsidR="001832A0" w:rsidRPr="00790C2F" w:rsidRDefault="001832A0" w:rsidP="00790C2F">
      <w:pPr>
        <w:pStyle w:val="Heading2"/>
      </w:pPr>
      <w:r w:rsidRPr="00790C2F">
        <w:lastRenderedPageBreak/>
        <w:t>Study definitions of AEFI outcomes</w:t>
      </w:r>
    </w:p>
    <w:p w14:paraId="5C3FC09F" w14:textId="77777777" w:rsidR="001832A0" w:rsidRDefault="001832A0" w:rsidP="00790C2F">
      <w:r>
        <w:t>Australian sponsors are required to apply seriousness coding to vaccine AEFI reports to ensure legislated requirements are met. Reports are coded as ‘serious’ or ‘non-serious’ based on criteria similar to those used by the World Health Organization</w:t>
      </w:r>
      <w:r>
        <w:rPr>
          <w:vertAlign w:val="superscript"/>
        </w:rPr>
        <w:t>17</w:t>
      </w:r>
      <w:r>
        <w:t xml:space="preserve"> and the US Vaccine Adverse Events Reporting System.</w:t>
      </w:r>
      <w:r>
        <w:rPr>
          <w:vertAlign w:val="superscript"/>
        </w:rPr>
        <w:t>18</w:t>
      </w:r>
      <w:r>
        <w:t xml:space="preserve"> An adverse event report is defined as ‘serious’ if it meets one or more of the following criteria: (1) results in death; (2) is life-threatening; (3) requires inpatient hospitalisation or prolongation of existing hospitalisation; (4) results in persistent or significant disability/incapacity; (5) is a congenital anomaly/birth defect; or (6) is a medically important event or reaction. Typically, each AEFI record lists several reaction terms that are symptoms, signs and/or diagnoses that have been coded by TGA staff from the reporter’s description into standardised terms using the Medical Dictionary for Regulatory Activities (MedDRA).</w:t>
      </w:r>
      <w:r>
        <w:rPr>
          <w:vertAlign w:val="superscript"/>
        </w:rPr>
        <w:t>19,20</w:t>
      </w:r>
      <w:r>
        <w:t xml:space="preserve"> </w:t>
      </w:r>
    </w:p>
    <w:p w14:paraId="14CD74DF" w14:textId="77777777" w:rsidR="001832A0" w:rsidRDefault="001832A0" w:rsidP="00790C2F">
      <w:r>
        <w:t xml:space="preserve">A limitation of our report was interpretation of the ‘serious’ code for reported adverse events which, while included for completeness, is primarily used as a guide for sponsor reporting. As it is not necessarily applied based on review of detailed and verified clinical data, and may not capture all medically important events, reporting rates of serious adverse events are unlikely to be robust. </w:t>
      </w:r>
    </w:p>
    <w:p w14:paraId="29095213" w14:textId="77777777" w:rsidR="001832A0" w:rsidRDefault="001832A0" w:rsidP="00790C2F">
      <w:r>
        <w:t xml:space="preserve">In reports published previously, in order to analyse the data, MedDRA coding terms were grouped to create a set of reaction categories that were broadly analogous to the adverse events listed in previous editions of the </w:t>
      </w:r>
      <w:r w:rsidRPr="00CA2AB2">
        <w:rPr>
          <w:rStyle w:val="Emphasis"/>
          <w:b w:val="0"/>
        </w:rPr>
        <w:t>Australian Immunisation Handbook.</w:t>
      </w:r>
      <w:r>
        <w:rPr>
          <w:vertAlign w:val="superscript"/>
        </w:rPr>
        <w:t>16,21</w:t>
      </w:r>
      <w:r>
        <w:t xml:space="preserve"> However, the methodological framework of reporting of adverse events was revised in 2014 and an amended format for AEFI analyses using MedDRA preferred terms (PTs) was adopted.</w:t>
      </w:r>
      <w:r>
        <w:rPr>
          <w:vertAlign w:val="superscript"/>
        </w:rPr>
        <w:t>22</w:t>
      </w:r>
      <w:r>
        <w:t xml:space="preserve"> Since 2014, MedDRA PTs have been used for analysis in our reports. Grouping of adverse events using PTs is more comparable with data from other countries and internationally accepted.</w:t>
      </w:r>
      <w:r>
        <w:rPr>
          <w:vertAlign w:val="superscript"/>
        </w:rPr>
        <w:t>23–25</w:t>
      </w:r>
      <w:r>
        <w:t xml:space="preserve"> In conjunction with the currently used national vaccine-specific reporting form,</w:t>
      </w:r>
      <w:r>
        <w:rPr>
          <w:vertAlign w:val="superscript"/>
        </w:rPr>
        <w:t>26</w:t>
      </w:r>
      <w:r>
        <w:t xml:space="preserve"> the use of PTs allows better reflection of post-marketing surveillance data on vaccines in Australia. </w:t>
      </w:r>
    </w:p>
    <w:p w14:paraId="659E6C2E" w14:textId="77777777" w:rsidR="001832A0" w:rsidRPr="00790C2F" w:rsidRDefault="001832A0" w:rsidP="00790C2F">
      <w:pPr>
        <w:pStyle w:val="Heading2"/>
      </w:pPr>
      <w:r w:rsidRPr="00790C2F">
        <w:t xml:space="preserve">Data analysis </w:t>
      </w:r>
    </w:p>
    <w:p w14:paraId="09A91348" w14:textId="77777777" w:rsidR="001832A0" w:rsidRDefault="001832A0" w:rsidP="00790C2F">
      <w:r>
        <w:t>All data analyses were performed using SAS software version 9.4.</w:t>
      </w:r>
      <w:r>
        <w:rPr>
          <w:vertAlign w:val="superscript"/>
        </w:rPr>
        <w:t>27</w:t>
      </w:r>
      <w:r>
        <w:t xml:space="preserve"> Average annual population-based AEFI reporting rates were calculated for each state and territory and by age group, using 2018 population estimates obtained from the Australian Bureau of Statistics.</w:t>
      </w:r>
      <w:r>
        <w:rPr>
          <w:vertAlign w:val="superscript"/>
        </w:rPr>
        <w:t>28</w:t>
      </w:r>
      <w:r>
        <w:t xml:space="preserve"> All rates are presented as average annual rates per 100,000 population. AEFI reporting rates per 100,000 administered doses were estimated where information was available on the number of doses administered. ﻿The number of administered doses of each of the vaccines given was obtained from the Australian Immunisation Register (AIR), a national population-based register.</w:t>
      </w:r>
      <w:r>
        <w:rPr>
          <w:vertAlign w:val="superscript"/>
        </w:rPr>
        <w:t>29</w:t>
      </w:r>
      <w:r>
        <w:t xml:space="preserve"> From 30 September 2016, the Australian Childhood Immunisation Register (ACIR) became a whole-of-life register (AIR), with the ability to record all vaccinations for people of all ages given by a registered vaccination provider.</w:t>
      </w:r>
      <w:r>
        <w:rPr>
          <w:vertAlign w:val="superscript"/>
        </w:rPr>
        <w:t>30</w:t>
      </w:r>
      <w:r>
        <w:t xml:space="preserve"> As part of the transition to a whole-of-life register, from late 2018, all vaccinations given through school-based programs should be recorded on the AIR. </w:t>
      </w:r>
    </w:p>
    <w:p w14:paraId="36555A38" w14:textId="77777777" w:rsidR="001832A0" w:rsidRPr="00790C2F" w:rsidRDefault="001832A0" w:rsidP="00790C2F">
      <w:pPr>
        <w:pStyle w:val="Heading2"/>
      </w:pPr>
      <w:r w:rsidRPr="00790C2F">
        <w:t xml:space="preserve">Notes on interpretation </w:t>
      </w:r>
    </w:p>
    <w:p w14:paraId="0372DE81" w14:textId="77777777" w:rsidR="001832A0" w:rsidRDefault="001832A0" w:rsidP="00790C2F">
      <w:r>
        <w:t xml:space="preserve">Caution is required when interpreting the data presented in this report. Due to reporting delays and late onset of some AEFI, the data are considered preliminary, particularly for the fourth quarter of 2018. Data published in previous reports may differ from those presented in this report for the same period because this report has been updated to include delayed notifications to the TGA that were not included in previous publications. Data can also differ because records may be updated and recoded when follow-up information is received or when vaccine-specific analyses are conducted. </w:t>
      </w:r>
    </w:p>
    <w:p w14:paraId="68CEAB44" w14:textId="77777777" w:rsidR="001832A0" w:rsidRDefault="001832A0" w:rsidP="00790C2F">
      <w:r>
        <w:t>The information collated in the AEMS database is intended primarily for signal detection and hypothesis generation. While AEFI reporting rates can be estimated using appropriate denominators, they cannot be interpreted as incidence rates due to under-reporting and biased reporting of suspected events, and the variable quality and completeness of information provided in individual notifications.</w:t>
      </w:r>
      <w:r>
        <w:rPr>
          <w:vertAlign w:val="superscript"/>
        </w:rPr>
        <w:t>3–14,31</w:t>
      </w:r>
      <w:r>
        <w:t xml:space="preserve"> </w:t>
      </w:r>
    </w:p>
    <w:p w14:paraId="5B8D3694" w14:textId="77777777" w:rsidR="001832A0" w:rsidRDefault="001832A0" w:rsidP="00790C2F">
      <w:r>
        <w:lastRenderedPageBreak/>
        <w:t xml:space="preserve">It is important to note that this report is based on vaccine information and MedDRA PTs collated in the AEMS database and not on comprehensive clinical notes or case reviews. The reported symptoms, signs and diagnoses in each AEFI record in the AEMS database are temporally associated with vaccination but are not necessarily causally associated with a vaccine or vaccines. </w:t>
      </w:r>
    </w:p>
    <w:p w14:paraId="5373B4AA" w14:textId="77777777" w:rsidR="001832A0" w:rsidRDefault="001832A0" w:rsidP="00790C2F">
      <w:r>
        <w:t xml:space="preserve">For children aged 7 years to &lt;17 years, AEFI reporting rates for HPV, dTpa booster and meningococcal ACWY vaccines should be interpreted with caution due to possible under-reporting/transitioning issues of school-based vaccinations to the AIR. </w:t>
      </w:r>
    </w:p>
    <w:p w14:paraId="18E6C2FD" w14:textId="77777777" w:rsidR="001832A0" w:rsidRPr="00790C2F" w:rsidRDefault="001832A0" w:rsidP="00790C2F">
      <w:pPr>
        <w:pStyle w:val="Heading2"/>
      </w:pPr>
      <w:r w:rsidRPr="00790C2F">
        <w:t xml:space="preserve">Comparison with online Database of Adverse Events Notifications (DAEN) </w:t>
      </w:r>
    </w:p>
    <w:p w14:paraId="67D32698" w14:textId="77777777" w:rsidR="001832A0" w:rsidRDefault="001832A0" w:rsidP="00790C2F">
      <w:r>
        <w:t>In August 2012, the TGA made available to the public on its website a searchable database, the Database of Adverse Event Notifications (DAEN), that contains reports of adverse event reports for medicines and vaccines.</w:t>
      </w:r>
      <w:r>
        <w:rPr>
          <w:vertAlign w:val="superscript"/>
        </w:rPr>
        <w:t>32</w:t>
      </w:r>
      <w:r>
        <w:t xml:space="preserve"> The data in this report have not been downloaded from DAEN. This report uses data sent to NCIRS by the TGA and includes more detailed information than provided by DAEN. The numbers published in this report may be different from the numbers in DAEN, due to different dates of data extraction and amendment to reports where further information has become available. In addition, this report provides several features that are not available from DAEN, including long-term trends and population and dose-based reporting rates, described in the context of changes in vaccine policy and utilisation, and in reporting practices. </w:t>
      </w:r>
    </w:p>
    <w:p w14:paraId="2A7C8863" w14:textId="77777777" w:rsidR="001832A0" w:rsidRPr="00790C2F" w:rsidRDefault="001832A0" w:rsidP="00790C2F">
      <w:pPr>
        <w:pStyle w:val="Heading1"/>
      </w:pPr>
      <w:r w:rsidRPr="00790C2F">
        <w:t xml:space="preserve">Results </w:t>
      </w:r>
    </w:p>
    <w:p w14:paraId="0688F86A" w14:textId="77777777" w:rsidR="001832A0" w:rsidRDefault="001832A0" w:rsidP="00790C2F">
      <w:r>
        <w:t xml:space="preserve">The AEMS database included a total of 4221 records where the date of vaccination (or onset of adverse event, if vaccination date was not reported) was between 1 January and 31 December 2018. Of these, 56.4% (2380) were in females, 41.8% (1763) in males and 1.8% (78) missing data on sex. Also, 1.5 % (62) were reported in Aboriginal and Torres Strait Islander people. </w:t>
      </w:r>
    </w:p>
    <w:p w14:paraId="4FAEA1B2" w14:textId="77777777" w:rsidR="001832A0" w:rsidRDefault="001832A0" w:rsidP="00790C2F">
      <w:r>
        <w:t>In 2018, approximately 69.3% (</w:t>
      </w:r>
      <w:r w:rsidR="00A25D0B">
        <w:t xml:space="preserve">n = </w:t>
      </w:r>
      <w:r>
        <w:t xml:space="preserve">2926) of AEFI were reported to the TGA via states and territories, while the rest were reported directly to the TGA by nurses (8.2%; n = 346), medical practitioners (7.4%; n = 312), patients/consumers (7.3%; n = 307), vaccine companies (4.4%; n = 186), hospitals (1.6%; n = 68), pharmacists (1.3%; n = 53) and other healthcare professionals (0.5%, n=23). </w:t>
      </w:r>
    </w:p>
    <w:p w14:paraId="797E036D" w14:textId="77777777" w:rsidR="001832A0" w:rsidRPr="00790C2F" w:rsidRDefault="001832A0" w:rsidP="00790C2F">
      <w:pPr>
        <w:pStyle w:val="Heading2"/>
      </w:pPr>
      <w:r w:rsidRPr="00790C2F">
        <w:t xml:space="preserve">Reporting trends </w:t>
      </w:r>
    </w:p>
    <w:p w14:paraId="72565DA9" w14:textId="77777777" w:rsidR="001832A0" w:rsidRDefault="001832A0" w:rsidP="00790C2F">
      <w:r>
        <w:t>The overall AEFI reporting rate for 2018 was 16.9 per 100,000 population compared with 16.4 per 100,000 in 2017. The highest rate over the 2000–2018 period was observed in 2010 (17.4 per 100,000), predominantly due to reported AEFI in children following vaccination with the pandemic and 2010 seasonal trivalent influenza vaccines.</w:t>
      </w:r>
      <w:r>
        <w:rPr>
          <w:vertAlign w:val="superscript"/>
        </w:rPr>
        <w:t>12</w:t>
      </w:r>
      <w:r>
        <w:t xml:space="preserve"> </w:t>
      </w:r>
    </w:p>
    <w:p w14:paraId="76542057" w14:textId="77777777" w:rsidR="001832A0" w:rsidRDefault="001832A0" w:rsidP="00790C2F">
      <w:r>
        <w:t>Most reported events in 2018 (from all reporter types) were recorded as non-serious, similar to previous years (Figure 1).</w:t>
      </w:r>
      <w:r>
        <w:rPr>
          <w:vertAlign w:val="superscript"/>
        </w:rPr>
        <w:t xml:space="preserve">10,11 </w:t>
      </w:r>
      <w:r>
        <w:t>Figures 2, 3 and 4 demonstrate marked variations in reporting levels in all age groups associated with changes to the NIP. The increase in reports in 2018 was predominantly associated with NIP funding for meningococcal ACWY conjugate vaccine for all children at 12 months of age; the enhanced immunogenicity trivalent influenza vaccines (high-dose and adjuvanted) for all adults aged ≥65 years; and state- and territory-funded annual seasonal influenza vaccination for all children aged 6 months to &lt;5 years (Figures 3 &amp; 4).</w:t>
      </w:r>
    </w:p>
    <w:p w14:paraId="1469A4DE" w14:textId="77777777" w:rsidR="0029210B" w:rsidRDefault="0029210B" w:rsidP="0029210B">
      <w:pPr>
        <w:pStyle w:val="CDIFigures"/>
        <w:sectPr w:rsidR="0029210B"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33E6847C" w14:textId="77777777" w:rsidR="001832A0" w:rsidRDefault="001832A0" w:rsidP="0029210B">
      <w:pPr>
        <w:pStyle w:val="CDIFigures"/>
      </w:pPr>
      <w:r>
        <w:lastRenderedPageBreak/>
        <w:t>Figure 1: Adverse events following immunisation, AEMS database, 2000 to 2018, by year and quarter of vaccination</w:t>
      </w:r>
      <w:r w:rsidRPr="00942747">
        <w:rPr>
          <w:vertAlign w:val="superscript"/>
        </w:rPr>
        <w:t>a</w:t>
      </w:r>
    </w:p>
    <w:p w14:paraId="2D75467D" w14:textId="77777777" w:rsidR="001832A0" w:rsidRDefault="001832A0" w:rsidP="0029210B">
      <w:pPr>
        <w:jc w:val="center"/>
        <w:rPr>
          <w:rFonts w:eastAsia="Times New Roman"/>
        </w:rPr>
      </w:pPr>
      <w:r>
        <w:rPr>
          <w:rFonts w:eastAsia="Times New Roman"/>
          <w:noProof/>
        </w:rPr>
        <w:drawing>
          <wp:inline distT="0" distB="0" distL="0" distR="0" wp14:anchorId="491AA444" wp14:editId="15541039">
            <wp:extent cx="8342160" cy="5796887"/>
            <wp:effectExtent l="0" t="0" r="1905" b="0"/>
            <wp:docPr id="2" name="Picture 2" descr="Figure 1 is a trend graph showing number of reported adverse events following vaccination as well as overall reporting rate per 100,000 population for the last 19 year period (1 January 2000 to 31 December 2018).&#10;• There was an increase in the reported events and reporting rate per 100,000 population during 2018 and the vast majority of reported events (from all reporter types) were of a non-serious 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is a trend graph showing number of reported adverse events following vaccination as well as overall reporting rate per 100,000 population for the last 19 year period (1 January 2000 to 31 December 2018).&#10;• There was an increase in the reported events and reporting rate per 100,000 population during 2018 and the vast majority of reported events (from all reporter types) were of a non-serious nature.&#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371817" cy="5817495"/>
                    </a:xfrm>
                    <a:prstGeom prst="rect">
                      <a:avLst/>
                    </a:prstGeom>
                  </pic:spPr>
                </pic:pic>
              </a:graphicData>
            </a:graphic>
          </wp:inline>
        </w:drawing>
      </w:r>
    </w:p>
    <w:p w14:paraId="071E0128" w14:textId="77777777" w:rsidR="001832A0" w:rsidRDefault="001832A0" w:rsidP="00942747">
      <w:pPr>
        <w:pStyle w:val="CDIfootnotes"/>
      </w:pPr>
      <w:r>
        <w:t>a</w:t>
      </w:r>
      <w:r>
        <w:tab/>
        <w:t>For reports where the date of vaccination was not recorded, the date of onset or date event was reported to TGA was used as a proxy for vaccination date.</w:t>
      </w:r>
    </w:p>
    <w:p w14:paraId="251F038C" w14:textId="77777777" w:rsidR="0029210B" w:rsidRDefault="0029210B" w:rsidP="0029210B">
      <w:pPr>
        <w:pStyle w:val="CDIFigures"/>
        <w:sectPr w:rsidR="0029210B" w:rsidSect="0029210B">
          <w:pgSz w:w="16838" w:h="11906" w:orient="landscape"/>
          <w:pgMar w:top="720" w:right="720" w:bottom="720" w:left="1134" w:header="709" w:footer="284" w:gutter="0"/>
          <w:cols w:space="708"/>
          <w:titlePg/>
          <w:docGrid w:linePitch="360"/>
        </w:sectPr>
      </w:pPr>
    </w:p>
    <w:p w14:paraId="31D7C530" w14:textId="77777777" w:rsidR="001832A0" w:rsidRDefault="001832A0" w:rsidP="0029210B">
      <w:pPr>
        <w:pStyle w:val="CDIFigures"/>
      </w:pPr>
      <w:r>
        <w:lastRenderedPageBreak/>
        <w:t>Figure 2: Adverse events following immunisation for children aged &lt;1 year, AEMS database, 2000 to 2018, by year and quarter of vaccination</w:t>
      </w:r>
      <w:r w:rsidRPr="00942747">
        <w:rPr>
          <w:vertAlign w:val="superscript"/>
        </w:rPr>
        <w:t>a,b</w:t>
      </w:r>
    </w:p>
    <w:p w14:paraId="3DB4862C" w14:textId="77777777" w:rsidR="001832A0" w:rsidRDefault="001832A0" w:rsidP="003C6C03">
      <w:pPr>
        <w:rPr>
          <w:rFonts w:eastAsia="Times New Roman"/>
        </w:rPr>
      </w:pPr>
      <w:r>
        <w:rPr>
          <w:rFonts w:eastAsia="Times New Roman"/>
          <w:noProof/>
        </w:rPr>
        <w:drawing>
          <wp:inline distT="0" distB="0" distL="0" distR="0" wp14:anchorId="1E1C9B8C">
            <wp:extent cx="8761863" cy="5949143"/>
            <wp:effectExtent l="0" t="0" r="1270" b="0"/>
            <wp:docPr id="3" name="Picture 3" descr="Figure 2 is a line graph showing frequently suspected vaccines (rotavirus, 13vPCV, 7vPCV,  pH1N1, DTPa-IPV, hexavalent vaccine, seasonal influenza and MenB) for adverse events following immunisation for children aged &lt;1 year, by year (2000 to 2018), by quarter of vaccin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is a line graph showing frequently suspected vaccines (rotavirus, 13vPCV, 7vPCV,  pH1N1, DTPa-IPV, hexavalent vaccine, seasonal influenza and MenB) for adverse events following immunisation for children aged &lt;1 year, by year (2000 to 2018), by quarter of vaccination. "/>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774587" cy="5957783"/>
                    </a:xfrm>
                    <a:prstGeom prst="rect">
                      <a:avLst/>
                    </a:prstGeom>
                  </pic:spPr>
                </pic:pic>
              </a:graphicData>
            </a:graphic>
          </wp:inline>
        </w:drawing>
      </w:r>
    </w:p>
    <w:p w14:paraId="518C279D" w14:textId="77777777" w:rsidR="001832A0" w:rsidRDefault="001832A0" w:rsidP="00C268CC">
      <w:pPr>
        <w:pStyle w:val="CDIfootnotes"/>
      </w:pPr>
      <w:r>
        <w:lastRenderedPageBreak/>
        <w:t>a</w:t>
      </w:r>
      <w:r>
        <w:tab/>
        <w:t>For reports where the date of vaccination was not recorded, the date of onset or date event was reported to TGA was used as a proxy for vaccination date.</w:t>
      </w:r>
    </w:p>
    <w:p w14:paraId="08D8A5E1" w14:textId="77777777" w:rsidR="001832A0" w:rsidRDefault="001832A0" w:rsidP="00C268CC">
      <w:pPr>
        <w:pStyle w:val="CDIfootnotes"/>
      </w:pPr>
      <w:r>
        <w:t>b</w:t>
      </w:r>
      <w:r>
        <w:tab/>
        <w:t>DTPa-IPV and DTPa-IPV-HepB-Hib (hexavalent) vaccines were introduced into the NIP schedule in November 2005; rotavirus (Rotateq® and Rotarix®) vaccines on 1 July 2007; pH1N1 influenza vaccine for children 6 months to 10 years on December 2009; seasonal trivalent influenza vaccine in 2010 which was an extension of existing adult and Indigenous programs to at risk populations; and the 13-valent pneumococcal conjugate vaccine (13vPCV) on 1 July 2011. In July 2018, the schedule for routine childhood vaccination with 13vPCV changed from 2, 4 and 6 months of age to 2, 4 and 12 months of age. Also, MenB vaccine is recommended for use in those with increased risk of invasive meningococcal disease and is not currently funded under the NIP. In October 2018, a multicomponent recombinant meningococcal B vaccine was funded by SA for children 6 weeks to 12 months of age, with catch-up for children from 12 months to &lt;4 years of age.</w:t>
      </w:r>
    </w:p>
    <w:p w14:paraId="7A60552B" w14:textId="77777777" w:rsidR="001832A0" w:rsidRDefault="001832A0" w:rsidP="00C268CC">
      <w:pPr>
        <w:pStyle w:val="CDIfootnotes"/>
      </w:pPr>
      <w:r>
        <w:t>c</w:t>
      </w:r>
      <w:r>
        <w:tab/>
        <w:t>Safety signal for fever and febrile convulsion found to be due to Seqirus (formerly bioCSL) Fluvax® 2010 TIV in children</w:t>
      </w:r>
      <w:r w:rsidR="00272657">
        <w:t>.</w:t>
      </w:r>
    </w:p>
    <w:p w14:paraId="5CB047CF" w14:textId="77777777" w:rsidR="003C6C03" w:rsidRDefault="003C6C03">
      <w:pPr>
        <w:sectPr w:rsidR="003C6C03" w:rsidSect="003C6C03">
          <w:pgSz w:w="16838" w:h="11906" w:orient="landscape"/>
          <w:pgMar w:top="720" w:right="720" w:bottom="720" w:left="1134" w:header="709" w:footer="284" w:gutter="0"/>
          <w:cols w:space="708"/>
          <w:titlePg/>
          <w:docGrid w:linePitch="360"/>
        </w:sectPr>
      </w:pPr>
    </w:p>
    <w:p w14:paraId="71BFAD55" w14:textId="77777777" w:rsidR="001832A0" w:rsidRDefault="001832A0" w:rsidP="00C268CC">
      <w:pPr>
        <w:pStyle w:val="CDIFigures"/>
      </w:pPr>
      <w:r>
        <w:lastRenderedPageBreak/>
        <w:t>Figure 3: Adverse events following immunisation for children aged 1 to &lt;7 years in frequently reported vaccines, AEMS database, 2000 to 2018, by year and quarter of vaccination</w:t>
      </w:r>
      <w:r w:rsidRPr="00C268CC">
        <w:rPr>
          <w:vertAlign w:val="superscript"/>
        </w:rPr>
        <w:t>a,b</w:t>
      </w:r>
    </w:p>
    <w:p w14:paraId="61698D9D" w14:textId="77777777" w:rsidR="001832A0" w:rsidRDefault="001832A0" w:rsidP="003C6C03">
      <w:pPr>
        <w:rPr>
          <w:rFonts w:eastAsia="Times New Roman"/>
        </w:rPr>
      </w:pPr>
      <w:r>
        <w:rPr>
          <w:rFonts w:eastAsia="Times New Roman"/>
          <w:noProof/>
        </w:rPr>
        <w:drawing>
          <wp:inline distT="0" distB="0" distL="0" distR="0" wp14:anchorId="4A881157">
            <wp:extent cx="8325108" cy="5779827"/>
            <wp:effectExtent l="0" t="0" r="0" b="0"/>
            <wp:docPr id="4" name="Picture 4" descr="Figure 3 is a line graph showing adverse events following immunisation for children aged 1 to &lt;7 years for frequently reported vaccines (DTPa-containing vaccines, MMR, pH1N1, DTPa-IPV, seasonal influenza, MMRV, Hib-MenC and MenB), by year (2000 to 2018), by quarter vaccin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 is a line graph showing adverse events following immunisation for children aged 1 to &lt;7 years for frequently reported vaccines (DTPa-containing vaccines, MMR, pH1N1, DTPa-IPV, seasonal influenza, MMRV, Hib-MenC and MenB), by year (2000 to 2018), by quarter vaccinated."/>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8330106" cy="5783297"/>
                    </a:xfrm>
                    <a:prstGeom prst="rect">
                      <a:avLst/>
                    </a:prstGeom>
                  </pic:spPr>
                </pic:pic>
              </a:graphicData>
            </a:graphic>
          </wp:inline>
        </w:drawing>
      </w:r>
    </w:p>
    <w:p w14:paraId="296AA411" w14:textId="77777777" w:rsidR="001832A0" w:rsidRDefault="001832A0" w:rsidP="00C268CC">
      <w:pPr>
        <w:pStyle w:val="CDIfootnotes"/>
      </w:pPr>
      <w:r>
        <w:lastRenderedPageBreak/>
        <w:t>a</w:t>
      </w:r>
      <w:r>
        <w:tab/>
        <w:t>For reports where the date of vaccination was not recorded, the date of onset or date event was reported to TGA was used as a proxy for vaccination date.</w:t>
      </w:r>
    </w:p>
    <w:p w14:paraId="7B24E675" w14:textId="77777777" w:rsidR="001832A0" w:rsidRDefault="001832A0" w:rsidP="00C268CC">
      <w:pPr>
        <w:pStyle w:val="CDIfootnotes"/>
      </w:pPr>
      <w:r>
        <w:t>b</w:t>
      </w:r>
      <w:r>
        <w:tab/>
        <w:t>DTPa-IPV vaccine was introduced into the NIP schedule in November 2005 replacing DTPa and OPV vaccines; seasonal trivalent influenza vaccine in 2010 which was an extension of existing adult and Indigenous programs to at risk populations; MMRV and Hib–MenC vaccines on July 2013, and HPV vaccine program extended to boys in February 2013. MenB vaccine is recommended for use in those with increased risk of invasive meningococcal disease and is not currently funded under the NIP. In April 2016, NIP-funded booster dose of DTPa vaccine was introduced at 18 months of age. In October 2018, a multicomponent recombinant meningococcal B vaccine was funded by SA for children 6 weeks to 12 months of age, with catch-up for children from 12 months to &lt;4 years of age. In July 2018, a meningococcal ACWY conjugate vaccine funded for all children at 12 months of age, replacing combined Hib and meningococcal C-containing vaccine. The Hib dose was moved to 18 months and given as a monovalent Hib vaccine.</w:t>
      </w:r>
    </w:p>
    <w:p w14:paraId="51A9FEE1" w14:textId="77777777" w:rsidR="003C6C03" w:rsidRDefault="003C6C03" w:rsidP="003C6C03">
      <w:pPr>
        <w:pStyle w:val="CDIFigures"/>
        <w:sectPr w:rsidR="003C6C03" w:rsidSect="003C6C03">
          <w:pgSz w:w="16838" w:h="11906" w:orient="landscape"/>
          <w:pgMar w:top="720" w:right="720" w:bottom="720" w:left="1134" w:header="709" w:footer="284" w:gutter="0"/>
          <w:cols w:space="708"/>
          <w:titlePg/>
          <w:docGrid w:linePitch="360"/>
        </w:sectPr>
      </w:pPr>
    </w:p>
    <w:p w14:paraId="01A3D8A1" w14:textId="77777777" w:rsidR="001832A0" w:rsidRDefault="001832A0" w:rsidP="003C6C03">
      <w:pPr>
        <w:pStyle w:val="CDIFigures"/>
      </w:pPr>
      <w:r>
        <w:lastRenderedPageBreak/>
        <w:t>Figure 4. Adverse events following immunisation for people aged ≥7 years in frequently reported vaccines, AEMS database, 2000–2018, by year and quarter of vaccination.</w:t>
      </w:r>
      <w:r w:rsidRPr="007E3B01">
        <w:rPr>
          <w:vertAlign w:val="superscript"/>
        </w:rPr>
        <w:t>a,b</w:t>
      </w:r>
    </w:p>
    <w:p w14:paraId="05BA58A1" w14:textId="77777777" w:rsidR="001832A0" w:rsidRDefault="001832A0" w:rsidP="003C6C03">
      <w:pPr>
        <w:rPr>
          <w:rFonts w:eastAsia="Times New Roman"/>
        </w:rPr>
      </w:pPr>
      <w:r>
        <w:rPr>
          <w:rFonts w:eastAsia="Times New Roman"/>
          <w:noProof/>
        </w:rPr>
        <w:drawing>
          <wp:inline distT="0" distB="0" distL="0" distR="0" wp14:anchorId="610E1B62" wp14:editId="2791897C">
            <wp:extent cx="8310369" cy="5941894"/>
            <wp:effectExtent l="0" t="0" r="0" b="1905"/>
            <wp:docPr id="5" name="Picture 5" descr="Figure 4 is a line graph showing adverse events following immunisation for people aged ≥7 years for frequently reported vaccines (MenCCV, Seasonal influenza, HPV, pH1N1, 23vPPV and MenB), by year (2000 to 2018), by quarter vaccin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4 is a line graph showing adverse events following immunisation for people aged ≥7 years for frequently reported vaccines (MenCCV, Seasonal influenza, HPV, pH1N1, 23vPPV and MenB), by year (2000 to 2018), by quarter vaccin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316580" cy="5946335"/>
                    </a:xfrm>
                    <a:prstGeom prst="rect">
                      <a:avLst/>
                    </a:prstGeom>
                  </pic:spPr>
                </pic:pic>
              </a:graphicData>
            </a:graphic>
          </wp:inline>
        </w:drawing>
      </w:r>
    </w:p>
    <w:p w14:paraId="58E6DE8C" w14:textId="77777777" w:rsidR="001832A0" w:rsidRDefault="001832A0" w:rsidP="007E3B01">
      <w:pPr>
        <w:pStyle w:val="CDIfootnotes"/>
      </w:pPr>
      <w:r>
        <w:lastRenderedPageBreak/>
        <w:t>a</w:t>
      </w:r>
      <w:r>
        <w:tab/>
        <w:t>For reports where the date of vaccination was not recorded, the date of onset or date event was reported to TGA was used as a proxy for vaccination date.</w:t>
      </w:r>
    </w:p>
    <w:p w14:paraId="2BF47FD4" w14:textId="77777777" w:rsidR="001832A0" w:rsidRDefault="001832A0" w:rsidP="00212071">
      <w:pPr>
        <w:pStyle w:val="CDIfootnotes"/>
        <w:spacing w:after="0" w:afterAutospacing="0"/>
      </w:pPr>
      <w:r>
        <w:t>b</w:t>
      </w:r>
      <w:r>
        <w:tab/>
        <w:t>MenCCV was introduced into the NIP schedule on 1 January 2003; pH1N1 influenza vaccine for children 6 months to 10 years on December 2009; pH1N1 vaccination for those ≥10 years commenced on 30 September 2009; seasonal trivalent influenza vaccine in 2010 which was an extension of existing adult and Indigenous programs to at risk populations; and HPV vaccine program extended to boys in February 2013. MenB vaccine is recommended for use in those with increased risk of invasive meningococcal disease and is not currently funded under the NIP.</w:t>
      </w:r>
    </w:p>
    <w:p w14:paraId="5DD8AFDF" w14:textId="77777777" w:rsidR="001832A0" w:rsidRDefault="001832A0" w:rsidP="00212071">
      <w:pPr>
        <w:pStyle w:val="CDIfootnotes"/>
        <w:spacing w:before="0" w:beforeAutospacing="0" w:after="0" w:afterAutospacing="0"/>
      </w:pPr>
      <w:r>
        <w:tab/>
        <w:t>In November 2016, zoster vaccine (Zostavax®) was NIP-funded for people aged 70 years with a 5-year catch-up program for people aged 71–79 years.</w:t>
      </w:r>
    </w:p>
    <w:p w14:paraId="5CDFDF44" w14:textId="77777777" w:rsidR="001832A0" w:rsidRDefault="001832A0" w:rsidP="00212071">
      <w:pPr>
        <w:pStyle w:val="CDIfootnotes"/>
        <w:spacing w:before="0" w:beforeAutospacing="0"/>
      </w:pPr>
      <w:r>
        <w:tab/>
        <w:t>In April 2018, enhanced trivalent influenza vaccines (high-dose and adjuvanted) funded nationally for all adults aged ≥65 years.</w:t>
      </w:r>
    </w:p>
    <w:p w14:paraId="13852B11" w14:textId="77777777" w:rsidR="003C6C03" w:rsidRDefault="003C6C03">
      <w:pPr>
        <w:sectPr w:rsidR="003C6C03" w:rsidSect="003C6C03">
          <w:pgSz w:w="16838" w:h="11906" w:orient="landscape"/>
          <w:pgMar w:top="720" w:right="720" w:bottom="720" w:left="1134" w:header="709" w:footer="284" w:gutter="0"/>
          <w:cols w:space="708"/>
          <w:titlePg/>
          <w:docGrid w:linePitch="360"/>
        </w:sectPr>
      </w:pPr>
    </w:p>
    <w:p w14:paraId="76D1EC36" w14:textId="77777777" w:rsidR="001832A0" w:rsidRDefault="001832A0" w:rsidP="007E3B01">
      <w:pPr>
        <w:pStyle w:val="CDIFigures"/>
      </w:pPr>
      <w:r>
        <w:lastRenderedPageBreak/>
        <w:t>Figure 5: Reporting rates of adverse events following immunisation per 100,000 population, AEMS database, 2000 to 2018, by age group and year of vaccination</w:t>
      </w:r>
      <w:r w:rsidRPr="007E3B01">
        <w:rPr>
          <w:vertAlign w:val="superscript"/>
        </w:rPr>
        <w:t>a</w:t>
      </w:r>
    </w:p>
    <w:p w14:paraId="6E5FC6EE" w14:textId="77777777" w:rsidR="001832A0" w:rsidRDefault="001832A0" w:rsidP="003C6C03">
      <w:pPr>
        <w:rPr>
          <w:rFonts w:eastAsia="Times New Roman"/>
        </w:rPr>
      </w:pPr>
      <w:r>
        <w:rPr>
          <w:rFonts w:eastAsia="Times New Roman"/>
          <w:noProof/>
        </w:rPr>
        <w:drawing>
          <wp:inline distT="0" distB="0" distL="0" distR="0" wp14:anchorId="753D6434">
            <wp:extent cx="8827558" cy="5520519"/>
            <wp:effectExtent l="0" t="0" r="0" b="4445"/>
            <wp:docPr id="6" name="Picture 6" descr="Figure 5 is a line graph showing reporting rates of adverse events following immunisation per 100,000 population, by year (2000 to 2018), by age group and year of vaccination.&#10;• In 2018, the highest population-based AEFI reporting rate occurred in children aged 1-&lt;2 years, the age group that received the booster dose of DTPa at 18 months of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5 is a line graph showing reporting rates of adverse events following immunisation per 100,000 population, by year (2000 to 2018), by age group and year of vaccination.&#10;• In 2018, the highest population-based AEFI reporting rate occurred in children aged 1-&lt;2 years, the age group that received the booster dose of DTPa at 18 months of age.&#10;"/>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44868" cy="5531344"/>
                    </a:xfrm>
                    <a:prstGeom prst="rect">
                      <a:avLst/>
                    </a:prstGeom>
                  </pic:spPr>
                </pic:pic>
              </a:graphicData>
            </a:graphic>
          </wp:inline>
        </w:drawing>
      </w:r>
    </w:p>
    <w:p w14:paraId="6B5F8747" w14:textId="77777777" w:rsidR="001832A0" w:rsidRDefault="001832A0" w:rsidP="00746734">
      <w:pPr>
        <w:pStyle w:val="CDIfootnotes"/>
      </w:pPr>
      <w:r>
        <w:t>a</w:t>
      </w:r>
      <w:r>
        <w:tab/>
        <w:t>For reports where the date of vaccination was not recorded, the date of onset or date event was reported to TGA was used as a proxy for vaccination date.</w:t>
      </w:r>
    </w:p>
    <w:p w14:paraId="4AD5A182" w14:textId="77777777" w:rsidR="003C6C03" w:rsidRDefault="003C6C03" w:rsidP="003C6C03">
      <w:pPr>
        <w:pStyle w:val="CDIFigures"/>
        <w:sectPr w:rsidR="003C6C03" w:rsidSect="003C6C03">
          <w:pgSz w:w="16838" w:h="11906" w:orient="landscape"/>
          <w:pgMar w:top="720" w:right="720" w:bottom="720" w:left="1134" w:header="709" w:footer="284" w:gutter="0"/>
          <w:cols w:space="708"/>
          <w:titlePg/>
          <w:docGrid w:linePitch="360"/>
        </w:sectPr>
      </w:pPr>
    </w:p>
    <w:p w14:paraId="00A1D5AB" w14:textId="77777777" w:rsidR="001832A0" w:rsidRDefault="001832A0" w:rsidP="003C6C03">
      <w:pPr>
        <w:pStyle w:val="CDIFigures"/>
      </w:pPr>
      <w:r>
        <w:lastRenderedPageBreak/>
        <w:t>Figure 6: Selected frequently reported adverse events following immunisation, AEMS database, 2000 to 2018, by year and quarter of vaccination</w:t>
      </w:r>
      <w:r w:rsidRPr="001D0577">
        <w:rPr>
          <w:vertAlign w:val="superscript"/>
        </w:rPr>
        <w:t>a</w:t>
      </w:r>
    </w:p>
    <w:p w14:paraId="5B8EA1A3" w14:textId="77777777" w:rsidR="001832A0" w:rsidRDefault="001832A0" w:rsidP="003C6C03">
      <w:pPr>
        <w:rPr>
          <w:rFonts w:eastAsia="Times New Roman"/>
        </w:rPr>
      </w:pPr>
      <w:r>
        <w:rPr>
          <w:rFonts w:eastAsia="Times New Roman"/>
          <w:noProof/>
        </w:rPr>
        <w:drawing>
          <wp:inline distT="0" distB="0" distL="0" distR="0" wp14:anchorId="4F3A046B">
            <wp:extent cx="8768687" cy="6021078"/>
            <wp:effectExtent l="0" t="0" r="0" b="0"/>
            <wp:docPr id="7" name="Picture 7" descr="Figure 6 is a line graph showing selected frequently reported adverse events following immunisation (injection site reaction, pyrexia, rash, syncope, extensive limb swelling and convulsions), by year (2000 to 2018), by quarter of vacc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6 is a line graph showing selected frequently reported adverse events following immunisation (injection site reaction, pyrexia, rash, syncope, extensive limb swelling and convulsions), by year (2000 to 2018), by quarter of vaccination."/>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8784120" cy="6031675"/>
                    </a:xfrm>
                    <a:prstGeom prst="rect">
                      <a:avLst/>
                    </a:prstGeom>
                  </pic:spPr>
                </pic:pic>
              </a:graphicData>
            </a:graphic>
          </wp:inline>
        </w:drawing>
      </w:r>
    </w:p>
    <w:p w14:paraId="09DBE3FA" w14:textId="77777777" w:rsidR="001832A0" w:rsidRDefault="001832A0" w:rsidP="001D0577">
      <w:pPr>
        <w:pStyle w:val="CDIfootnotes"/>
      </w:pPr>
      <w:r>
        <w:lastRenderedPageBreak/>
        <w:t>a</w:t>
      </w:r>
      <w:r>
        <w:tab/>
        <w:t>For reports where the date of vaccination was not recorded, the date of onset or date event was reported to TGA was used as a proxy for vaccination date.</w:t>
      </w:r>
    </w:p>
    <w:p w14:paraId="53C5B321" w14:textId="77777777" w:rsidR="001832A0" w:rsidRDefault="001832A0" w:rsidP="001D0577">
      <w:pPr>
        <w:pStyle w:val="CDIfootnotes"/>
      </w:pPr>
      <w:r>
        <w:t>b</w:t>
      </w:r>
      <w:r>
        <w:tab/>
        <w:t>Associated with administration of Seqirus (formerly bioCSL) Fluvax® 2010 TIV and associated stimulated reporting.</w:t>
      </w:r>
    </w:p>
    <w:p w14:paraId="6275D380" w14:textId="77777777" w:rsidR="003C6C03" w:rsidRDefault="001832A0" w:rsidP="003C6C03">
      <w:pPr>
        <w:pStyle w:val="CDIfootnotes"/>
        <w:sectPr w:rsidR="003C6C03" w:rsidSect="003C6C03">
          <w:pgSz w:w="16838" w:h="11906" w:orient="landscape"/>
          <w:pgMar w:top="720" w:right="720" w:bottom="720" w:left="1134" w:header="709" w:footer="284" w:gutter="0"/>
          <w:cols w:space="708"/>
          <w:titlePg/>
          <w:docGrid w:linePitch="360"/>
        </w:sectPr>
      </w:pPr>
      <w:r>
        <w:t>c</w:t>
      </w:r>
      <w:r>
        <w:tab/>
        <w:t>The peak in syncope coincided with the enhanced HPV surveillance program in which there was stimulated reporting of syncope for the first 6 months of 2013.</w:t>
      </w:r>
    </w:p>
    <w:p w14:paraId="5D3FBF86" w14:textId="77777777" w:rsidR="001832A0" w:rsidRDefault="001832A0" w:rsidP="0065794F">
      <w:r>
        <w:lastRenderedPageBreak/>
        <w:t xml:space="preserve">A seasonal pattern of AEFI reporting was apparent in 2018 as in previous years, with the highest number of AEFI notifications for vaccinations administered in the first half of the year (Figure 1). This corresponds to the months when influenza vaccine is given and older Australians may be more likely to be given 23vPPV in conjunction with the influenza vaccine (April to June). Considerably more AEFI reports following influenza vaccination were received in each year from 2010 onwards than in previous (pre-pandemic) years (Figure 4). </w:t>
      </w:r>
    </w:p>
    <w:p w14:paraId="71A35257" w14:textId="77777777" w:rsidR="001832A0" w:rsidRDefault="001832A0">
      <w:pPr>
        <w:pStyle w:val="Heading2"/>
        <w:rPr>
          <w:rFonts w:eastAsia="Times New Roman"/>
        </w:rPr>
      </w:pPr>
      <w:r>
        <w:rPr>
          <w:rFonts w:eastAsia="Times New Roman"/>
        </w:rPr>
        <w:t xml:space="preserve">Age distribution </w:t>
      </w:r>
    </w:p>
    <w:p w14:paraId="219ACB91" w14:textId="77777777" w:rsidR="001832A0" w:rsidRDefault="001832A0" w:rsidP="0065794F">
      <w:r>
        <w:t xml:space="preserve">The highest age-specific AEFI reporting rate per 100,000 population occurred in children aged 1 to &lt;2 years, the age group scheduled to receive meningococcal ACWY vaccination at 12 months of age and the booster dose of DTPa at 18 months of age, and to be affected by the change in schedule for 13vPCV from 2, 4 and 6 months of age to 2, 4 and 12 months of age (Figure 5). Compared to 2017, AEFI reporting rates in 2018 remained relatively stable across most age groups; however, there were slight increases observed in children aged 2 to &lt;7 years and in adults aged 20 to &lt;65 years and 65 years and older (Figure 5). </w:t>
      </w:r>
    </w:p>
    <w:p w14:paraId="4A804C2C" w14:textId="77777777" w:rsidR="001832A0" w:rsidRDefault="001832A0" w:rsidP="0065794F">
      <w:r>
        <w:t xml:space="preserve">There were overlapping confidence intervals for reporting rates per 100,000 doses for most individual vaccines in 2018 compared to 2017, noting the new additions to the NIP schedule, namely: meningococcal ACWY vaccination for children aged 12 months; enhanced trivalent influenza vaccines (high-dose and adjuvanted) for adults aged ≥65 years; changes in 13vPCV schedule and in state/territory-based seasonal influenza vaccination programs for children 6 months to &lt;5 years (Table 2). </w:t>
      </w:r>
    </w:p>
    <w:p w14:paraId="36F70D4D" w14:textId="77777777" w:rsidR="00B824E1" w:rsidRDefault="001832A0" w:rsidP="0065794F">
      <w:pPr>
        <w:sectPr w:rsidR="00B824E1" w:rsidSect="00A30C37">
          <w:pgSz w:w="11906" w:h="16838"/>
          <w:pgMar w:top="720" w:right="720" w:bottom="1134" w:left="720" w:header="709" w:footer="284" w:gutter="0"/>
          <w:cols w:space="708"/>
          <w:titlePg/>
          <w:docGrid w:linePitch="360"/>
        </w:sectPr>
      </w:pPr>
      <w:r>
        <w:t>For children &lt;7 years of age, AEFI reporting rates for varicella and MenC vaccines should be interpreted with caution since monovalent versions of these vaccines were replaced by combination vaccines in July 2013 and hence very few doses of monovalent vaccine were recorded in 2018.</w:t>
      </w:r>
    </w:p>
    <w:p w14:paraId="3EC60A3B" w14:textId="77777777" w:rsidR="001832A0" w:rsidRDefault="001832A0" w:rsidP="00350E95">
      <w:pPr>
        <w:pStyle w:val="CDIFigures"/>
      </w:pPr>
      <w:r>
        <w:lastRenderedPageBreak/>
        <w:t>Table 2: Vaccine types listed as ‘suspected’ in records of adverse events following immunisation by age groups (&lt;7, 7–17, 18–64 and ≥65 years), AEMS database,</w:t>
      </w:r>
      <w:r w:rsidR="003A41E4">
        <w:t> </w:t>
      </w:r>
      <w:r>
        <w:t>2018</w:t>
      </w:r>
    </w:p>
    <w:tbl>
      <w:tblPr>
        <w:tblStyle w:val="CDI-StandardTable"/>
        <w:tblW w:w="0" w:type="auto"/>
        <w:tblBorders>
          <w:insideH w:val="single" w:sz="2" w:space="0" w:color="auto"/>
          <w:insideV w:val="single" w:sz="2" w:space="0" w:color="auto"/>
        </w:tblBorders>
        <w:tblCellMar>
          <w:top w:w="28" w:type="dxa"/>
          <w:left w:w="57" w:type="dxa"/>
          <w:bottom w:w="28" w:type="dxa"/>
          <w:right w:w="57" w:type="dxa"/>
        </w:tblCellMar>
        <w:tblLook w:val="04A0" w:firstRow="1" w:lastRow="0" w:firstColumn="1" w:lastColumn="0" w:noHBand="0" w:noVBand="1"/>
        <w:tblDescription w:val="Table 2 shows vaccine types listed as ‘suspected’ of involvement in records &#10;of  adverse events following immunisation, by age group for the period &#10;1 January 2018 to 31 December 2018.&#10;These rates are compared with the previous year (2017)."/>
      </w:tblPr>
      <w:tblGrid>
        <w:gridCol w:w="2640"/>
        <w:gridCol w:w="1106"/>
        <w:gridCol w:w="4174"/>
        <w:gridCol w:w="3600"/>
        <w:gridCol w:w="3420"/>
      </w:tblGrid>
      <w:tr w:rsidR="006D7A71" w:rsidRPr="00CB57E4" w14:paraId="3A3C90C5" w14:textId="77777777" w:rsidTr="00FC2B23">
        <w:trPr>
          <w:cnfStyle w:val="100000000000" w:firstRow="1" w:lastRow="0" w:firstColumn="0" w:lastColumn="0" w:oddVBand="0" w:evenVBand="0" w:oddHBand="0" w:evenHBand="0" w:firstRowFirstColumn="0" w:firstRowLastColumn="0" w:lastRowFirstColumn="0" w:lastRowLastColumn="0"/>
          <w:tblHeader/>
        </w:trPr>
        <w:tc>
          <w:tcPr>
            <w:tcW w:w="0" w:type="auto"/>
            <w:vMerge w:val="restart"/>
            <w:shd w:val="clear" w:color="auto" w:fill="595959" w:themeFill="text1" w:themeFillTint="A6"/>
            <w:hideMark/>
          </w:tcPr>
          <w:p w14:paraId="4E83494E" w14:textId="77777777" w:rsidR="001832A0" w:rsidRPr="00CB57E4" w:rsidRDefault="001832A0">
            <w:pPr>
              <w:pStyle w:val="NormalWeb"/>
              <w:rPr>
                <w:color w:val="FFFFFF" w:themeColor="background1"/>
                <w:sz w:val="18"/>
                <w:szCs w:val="18"/>
              </w:rPr>
            </w:pPr>
            <w:r w:rsidRPr="00CB57E4">
              <w:rPr>
                <w:color w:val="FFFFFF" w:themeColor="background1"/>
                <w:sz w:val="18"/>
                <w:szCs w:val="18"/>
              </w:rPr>
              <w:t>Vaccines</w:t>
            </w:r>
            <w:r w:rsidRPr="00CB57E4">
              <w:rPr>
                <w:color w:val="FFFFFF" w:themeColor="background1"/>
                <w:sz w:val="18"/>
                <w:szCs w:val="18"/>
                <w:vertAlign w:val="superscript"/>
              </w:rPr>
              <w:t>a</w:t>
            </w:r>
          </w:p>
        </w:tc>
        <w:tc>
          <w:tcPr>
            <w:tcW w:w="0" w:type="auto"/>
            <w:vMerge w:val="restart"/>
            <w:shd w:val="clear" w:color="auto" w:fill="595959" w:themeFill="text1" w:themeFillTint="A6"/>
            <w:hideMark/>
          </w:tcPr>
          <w:p w14:paraId="1DA0274E" w14:textId="77777777" w:rsidR="001832A0" w:rsidRPr="00CB57E4" w:rsidRDefault="001832A0" w:rsidP="00A85ED8">
            <w:pPr>
              <w:pStyle w:val="NormalWeb"/>
              <w:jc w:val="center"/>
              <w:rPr>
                <w:color w:val="FFFFFF" w:themeColor="background1"/>
                <w:sz w:val="18"/>
                <w:szCs w:val="18"/>
              </w:rPr>
            </w:pPr>
            <w:r w:rsidRPr="00CB57E4">
              <w:rPr>
                <w:color w:val="FFFFFF" w:themeColor="background1"/>
                <w:sz w:val="18"/>
                <w:szCs w:val="18"/>
              </w:rPr>
              <w:t>AEFI records</w:t>
            </w:r>
            <w:r w:rsidRPr="00CB57E4">
              <w:rPr>
                <w:color w:val="FFFFFF" w:themeColor="background1"/>
                <w:sz w:val="18"/>
                <w:szCs w:val="18"/>
                <w:vertAlign w:val="superscript"/>
              </w:rPr>
              <w:t>b</w:t>
            </w:r>
            <w:r w:rsidRPr="00CB57E4">
              <w:rPr>
                <w:color w:val="FFFFFF" w:themeColor="background1"/>
                <w:sz w:val="18"/>
                <w:szCs w:val="18"/>
              </w:rPr>
              <w:br/>
              <w:t>(n)</w:t>
            </w:r>
          </w:p>
        </w:tc>
        <w:tc>
          <w:tcPr>
            <w:tcW w:w="4174" w:type="dxa"/>
            <w:vMerge w:val="restart"/>
            <w:shd w:val="clear" w:color="auto" w:fill="595959" w:themeFill="text1" w:themeFillTint="A6"/>
            <w:hideMark/>
          </w:tcPr>
          <w:p w14:paraId="24109961" w14:textId="77777777" w:rsidR="001832A0" w:rsidRPr="00CB57E4" w:rsidRDefault="001832A0" w:rsidP="00A85ED8">
            <w:pPr>
              <w:pStyle w:val="NormalWeb"/>
              <w:jc w:val="center"/>
              <w:rPr>
                <w:color w:val="FFFFFF" w:themeColor="background1"/>
                <w:sz w:val="18"/>
                <w:szCs w:val="18"/>
              </w:rPr>
            </w:pPr>
            <w:r w:rsidRPr="00CB57E4">
              <w:rPr>
                <w:color w:val="FFFFFF" w:themeColor="background1"/>
                <w:sz w:val="18"/>
                <w:szCs w:val="18"/>
              </w:rPr>
              <w:t>Vaccine</w:t>
            </w:r>
            <w:r w:rsidR="00A85ED8" w:rsidRPr="00CB57E4">
              <w:rPr>
                <w:color w:val="FFFFFF" w:themeColor="background1"/>
                <w:sz w:val="18"/>
                <w:szCs w:val="18"/>
              </w:rPr>
              <w:br/>
            </w:r>
            <w:r w:rsidRPr="00CB57E4">
              <w:rPr>
                <w:color w:val="FFFFFF" w:themeColor="background1"/>
                <w:sz w:val="18"/>
                <w:szCs w:val="18"/>
              </w:rPr>
              <w:t>Doses</w:t>
            </w:r>
            <w:r w:rsidRPr="00CB57E4">
              <w:rPr>
                <w:color w:val="FFFFFF" w:themeColor="background1"/>
                <w:sz w:val="18"/>
                <w:szCs w:val="18"/>
                <w:vertAlign w:val="superscript"/>
              </w:rPr>
              <w:t>c</w:t>
            </w:r>
            <w:r w:rsidR="00A85ED8" w:rsidRPr="00CB57E4">
              <w:rPr>
                <w:color w:val="FFFFFF" w:themeColor="background1"/>
                <w:sz w:val="18"/>
                <w:szCs w:val="18"/>
              </w:rPr>
              <w:br/>
            </w:r>
            <w:r w:rsidRPr="00CB57E4">
              <w:rPr>
                <w:color w:val="FFFFFF" w:themeColor="background1"/>
                <w:sz w:val="18"/>
                <w:szCs w:val="18"/>
              </w:rPr>
              <w:t>2018</w:t>
            </w:r>
          </w:p>
        </w:tc>
        <w:tc>
          <w:tcPr>
            <w:tcW w:w="7020" w:type="dxa"/>
            <w:gridSpan w:val="2"/>
            <w:shd w:val="clear" w:color="auto" w:fill="595959" w:themeFill="text1" w:themeFillTint="A6"/>
            <w:hideMark/>
          </w:tcPr>
          <w:p w14:paraId="2BD8E100" w14:textId="77777777" w:rsidR="001832A0" w:rsidRPr="00CB57E4" w:rsidRDefault="001832A0" w:rsidP="00A85ED8">
            <w:pPr>
              <w:pStyle w:val="NormalWeb"/>
              <w:jc w:val="center"/>
              <w:rPr>
                <w:color w:val="FFFFFF" w:themeColor="background1"/>
                <w:sz w:val="18"/>
                <w:szCs w:val="18"/>
              </w:rPr>
            </w:pPr>
            <w:r w:rsidRPr="00CB57E4">
              <w:rPr>
                <w:color w:val="FFFFFF" w:themeColor="background1"/>
                <w:sz w:val="18"/>
                <w:szCs w:val="18"/>
              </w:rPr>
              <w:t>Reporting rate</w:t>
            </w:r>
            <w:r w:rsidRPr="00CB57E4">
              <w:rPr>
                <w:color w:val="FFFFFF" w:themeColor="background1"/>
                <w:sz w:val="18"/>
                <w:szCs w:val="18"/>
                <w:vertAlign w:val="superscript"/>
              </w:rPr>
              <w:t>d</w:t>
            </w:r>
            <w:r w:rsidRPr="00CB57E4">
              <w:rPr>
                <w:color w:val="FFFFFF" w:themeColor="background1"/>
                <w:sz w:val="18"/>
                <w:szCs w:val="18"/>
              </w:rPr>
              <w:br/>
              <w:t>per 100,000 doses (95% CI)</w:t>
            </w:r>
          </w:p>
        </w:tc>
      </w:tr>
      <w:tr w:rsidR="006D7A71" w:rsidRPr="00CB57E4" w14:paraId="566EA6BB" w14:textId="77777777" w:rsidTr="00FC2B23">
        <w:trPr>
          <w:cnfStyle w:val="100000000000" w:firstRow="1" w:lastRow="0" w:firstColumn="0" w:lastColumn="0" w:oddVBand="0" w:evenVBand="0" w:oddHBand="0" w:evenHBand="0" w:firstRowFirstColumn="0" w:firstRowLastColumn="0" w:lastRowFirstColumn="0" w:lastRowLastColumn="0"/>
          <w:tblHeader/>
        </w:trPr>
        <w:tc>
          <w:tcPr>
            <w:tcW w:w="0" w:type="auto"/>
            <w:vMerge/>
            <w:shd w:val="clear" w:color="auto" w:fill="595959" w:themeFill="text1" w:themeFillTint="A6"/>
            <w:hideMark/>
          </w:tcPr>
          <w:p w14:paraId="408AB241" w14:textId="77777777" w:rsidR="001832A0" w:rsidRPr="00CB57E4" w:rsidRDefault="001832A0">
            <w:pPr>
              <w:rPr>
                <w:color w:val="FFFFFF" w:themeColor="background1"/>
                <w:sz w:val="18"/>
                <w:szCs w:val="18"/>
              </w:rPr>
            </w:pPr>
          </w:p>
        </w:tc>
        <w:tc>
          <w:tcPr>
            <w:tcW w:w="0" w:type="auto"/>
            <w:vMerge/>
            <w:shd w:val="clear" w:color="auto" w:fill="595959" w:themeFill="text1" w:themeFillTint="A6"/>
            <w:hideMark/>
          </w:tcPr>
          <w:p w14:paraId="23E5358A" w14:textId="77777777" w:rsidR="001832A0" w:rsidRPr="00CB57E4" w:rsidRDefault="001832A0" w:rsidP="00A85ED8">
            <w:pPr>
              <w:jc w:val="center"/>
              <w:rPr>
                <w:color w:val="FFFFFF" w:themeColor="background1"/>
                <w:sz w:val="18"/>
                <w:szCs w:val="18"/>
              </w:rPr>
            </w:pPr>
          </w:p>
        </w:tc>
        <w:tc>
          <w:tcPr>
            <w:tcW w:w="4174" w:type="dxa"/>
            <w:vMerge/>
            <w:shd w:val="clear" w:color="auto" w:fill="595959" w:themeFill="text1" w:themeFillTint="A6"/>
            <w:hideMark/>
          </w:tcPr>
          <w:p w14:paraId="2B43C560" w14:textId="77777777" w:rsidR="001832A0" w:rsidRPr="00CB57E4" w:rsidRDefault="001832A0" w:rsidP="00A85ED8">
            <w:pPr>
              <w:jc w:val="center"/>
              <w:rPr>
                <w:color w:val="FFFFFF" w:themeColor="background1"/>
                <w:sz w:val="18"/>
                <w:szCs w:val="18"/>
              </w:rPr>
            </w:pPr>
          </w:p>
        </w:tc>
        <w:tc>
          <w:tcPr>
            <w:tcW w:w="3600" w:type="dxa"/>
            <w:shd w:val="clear" w:color="auto" w:fill="595959" w:themeFill="text1" w:themeFillTint="A6"/>
            <w:hideMark/>
          </w:tcPr>
          <w:p w14:paraId="61F7D056" w14:textId="77777777" w:rsidR="001832A0" w:rsidRPr="00CB57E4" w:rsidRDefault="001832A0" w:rsidP="00A85ED8">
            <w:pPr>
              <w:pStyle w:val="NormalWeb"/>
              <w:jc w:val="center"/>
              <w:rPr>
                <w:color w:val="FFFFFF" w:themeColor="background1"/>
                <w:sz w:val="18"/>
                <w:szCs w:val="18"/>
              </w:rPr>
            </w:pPr>
            <w:r w:rsidRPr="00CB57E4">
              <w:rPr>
                <w:color w:val="FFFFFF" w:themeColor="background1"/>
                <w:sz w:val="18"/>
                <w:szCs w:val="18"/>
              </w:rPr>
              <w:t>2018</w:t>
            </w:r>
          </w:p>
        </w:tc>
        <w:tc>
          <w:tcPr>
            <w:tcW w:w="3420" w:type="dxa"/>
            <w:shd w:val="clear" w:color="auto" w:fill="595959" w:themeFill="text1" w:themeFillTint="A6"/>
            <w:hideMark/>
          </w:tcPr>
          <w:p w14:paraId="7B00529F" w14:textId="77777777" w:rsidR="001832A0" w:rsidRPr="00CB57E4" w:rsidRDefault="001832A0" w:rsidP="00A85ED8">
            <w:pPr>
              <w:pStyle w:val="NormalWeb"/>
              <w:jc w:val="center"/>
              <w:rPr>
                <w:color w:val="FFFFFF" w:themeColor="background1"/>
                <w:sz w:val="18"/>
                <w:szCs w:val="18"/>
              </w:rPr>
            </w:pPr>
            <w:r w:rsidRPr="00CB57E4">
              <w:rPr>
                <w:color w:val="FFFFFF" w:themeColor="background1"/>
                <w:sz w:val="18"/>
                <w:szCs w:val="18"/>
              </w:rPr>
              <w:t>2017</w:t>
            </w:r>
          </w:p>
        </w:tc>
      </w:tr>
      <w:tr w:rsidR="00A85ED8" w:rsidRPr="00CB57E4" w14:paraId="25F3DE61" w14:textId="77777777" w:rsidTr="00FC2B23">
        <w:tc>
          <w:tcPr>
            <w:tcW w:w="0" w:type="auto"/>
            <w:shd w:val="clear" w:color="auto" w:fill="808080" w:themeFill="background1" w:themeFillShade="80"/>
            <w:hideMark/>
          </w:tcPr>
          <w:p w14:paraId="6DFF2F45" w14:textId="77777777" w:rsidR="001832A0" w:rsidRPr="00CB57E4" w:rsidRDefault="001832A0">
            <w:pPr>
              <w:pStyle w:val="NormalWeb"/>
              <w:rPr>
                <w:b/>
                <w:color w:val="FFFFFF" w:themeColor="background1"/>
                <w:sz w:val="18"/>
                <w:szCs w:val="18"/>
              </w:rPr>
            </w:pPr>
            <w:r w:rsidRPr="00CB57E4">
              <w:rPr>
                <w:b/>
                <w:color w:val="FFFFFF" w:themeColor="background1"/>
                <w:sz w:val="18"/>
                <w:szCs w:val="18"/>
              </w:rPr>
              <w:t>&lt;7 years</w:t>
            </w:r>
          </w:p>
        </w:tc>
        <w:tc>
          <w:tcPr>
            <w:tcW w:w="0" w:type="auto"/>
            <w:shd w:val="clear" w:color="auto" w:fill="808080" w:themeFill="background1" w:themeFillShade="80"/>
            <w:hideMark/>
          </w:tcPr>
          <w:p w14:paraId="71C55403" w14:textId="77777777" w:rsidR="001832A0" w:rsidRPr="00CB57E4" w:rsidRDefault="001832A0" w:rsidP="00A85ED8">
            <w:pPr>
              <w:jc w:val="center"/>
              <w:rPr>
                <w:b/>
                <w:color w:val="FFFFFF" w:themeColor="background1"/>
                <w:sz w:val="18"/>
                <w:szCs w:val="18"/>
              </w:rPr>
            </w:pPr>
          </w:p>
        </w:tc>
        <w:tc>
          <w:tcPr>
            <w:tcW w:w="4174" w:type="dxa"/>
            <w:shd w:val="clear" w:color="auto" w:fill="808080" w:themeFill="background1" w:themeFillShade="80"/>
            <w:hideMark/>
          </w:tcPr>
          <w:p w14:paraId="3A34F14C" w14:textId="77777777" w:rsidR="001832A0" w:rsidRPr="00CB57E4" w:rsidRDefault="001832A0" w:rsidP="00A85ED8">
            <w:pPr>
              <w:jc w:val="center"/>
              <w:rPr>
                <w:rFonts w:eastAsia="Times New Roman"/>
                <w:b/>
                <w:color w:val="FFFFFF" w:themeColor="background1"/>
                <w:sz w:val="18"/>
                <w:szCs w:val="18"/>
              </w:rPr>
            </w:pPr>
          </w:p>
        </w:tc>
        <w:tc>
          <w:tcPr>
            <w:tcW w:w="7020" w:type="dxa"/>
            <w:gridSpan w:val="2"/>
            <w:shd w:val="clear" w:color="auto" w:fill="808080" w:themeFill="background1" w:themeFillShade="80"/>
            <w:hideMark/>
          </w:tcPr>
          <w:p w14:paraId="1C19D457" w14:textId="77777777" w:rsidR="001832A0" w:rsidRPr="00CB57E4" w:rsidRDefault="001832A0" w:rsidP="00A85ED8">
            <w:pPr>
              <w:pStyle w:val="NormalWeb"/>
              <w:jc w:val="center"/>
              <w:rPr>
                <w:b/>
                <w:color w:val="FFFFFF" w:themeColor="background1"/>
                <w:sz w:val="18"/>
                <w:szCs w:val="18"/>
              </w:rPr>
            </w:pPr>
            <w:r w:rsidRPr="00CB57E4">
              <w:rPr>
                <w:b/>
                <w:color w:val="FFFFFF" w:themeColor="background1"/>
                <w:sz w:val="18"/>
                <w:szCs w:val="18"/>
              </w:rPr>
              <w:t>Rate (95% Confidence Interval)</w:t>
            </w:r>
          </w:p>
        </w:tc>
      </w:tr>
      <w:tr w:rsidR="006D7A71" w:rsidRPr="00CB57E4" w14:paraId="6462D9BA"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17A701BD" w14:textId="77777777" w:rsidR="001832A0" w:rsidRPr="00CB57E4" w:rsidRDefault="001832A0">
            <w:pPr>
              <w:pStyle w:val="NormalWeb"/>
              <w:rPr>
                <w:sz w:val="18"/>
                <w:szCs w:val="18"/>
              </w:rPr>
            </w:pPr>
            <w:r w:rsidRPr="00CB57E4">
              <w:rPr>
                <w:sz w:val="18"/>
                <w:szCs w:val="18"/>
              </w:rPr>
              <w:t>DTPa-containing vaccines</w:t>
            </w:r>
          </w:p>
        </w:tc>
        <w:tc>
          <w:tcPr>
            <w:tcW w:w="0" w:type="auto"/>
            <w:shd w:val="clear" w:color="auto" w:fill="auto"/>
            <w:hideMark/>
          </w:tcPr>
          <w:p w14:paraId="7CFA629C" w14:textId="77777777" w:rsidR="001832A0" w:rsidRPr="00CB57E4" w:rsidRDefault="001832A0" w:rsidP="00A85ED8">
            <w:pPr>
              <w:pStyle w:val="NormalWeb"/>
              <w:jc w:val="center"/>
              <w:rPr>
                <w:sz w:val="18"/>
                <w:szCs w:val="18"/>
              </w:rPr>
            </w:pPr>
            <w:r w:rsidRPr="00CB57E4">
              <w:rPr>
                <w:sz w:val="18"/>
                <w:szCs w:val="18"/>
              </w:rPr>
              <w:t>1,127</w:t>
            </w:r>
          </w:p>
        </w:tc>
        <w:tc>
          <w:tcPr>
            <w:tcW w:w="4174" w:type="dxa"/>
            <w:shd w:val="clear" w:color="auto" w:fill="auto"/>
            <w:hideMark/>
          </w:tcPr>
          <w:p w14:paraId="2CA5E84B" w14:textId="77777777" w:rsidR="001832A0" w:rsidRPr="00CB57E4" w:rsidRDefault="001832A0" w:rsidP="00A85ED8">
            <w:pPr>
              <w:pStyle w:val="NormalWeb"/>
              <w:jc w:val="center"/>
              <w:rPr>
                <w:sz w:val="18"/>
                <w:szCs w:val="18"/>
              </w:rPr>
            </w:pPr>
            <w:r w:rsidRPr="00CB57E4">
              <w:rPr>
                <w:sz w:val="18"/>
                <w:szCs w:val="18"/>
              </w:rPr>
              <w:t>1,451,925</w:t>
            </w:r>
          </w:p>
        </w:tc>
        <w:tc>
          <w:tcPr>
            <w:tcW w:w="3600" w:type="dxa"/>
            <w:shd w:val="clear" w:color="auto" w:fill="auto"/>
            <w:hideMark/>
          </w:tcPr>
          <w:p w14:paraId="73CD5531" w14:textId="77777777" w:rsidR="001832A0" w:rsidRPr="00CB57E4" w:rsidRDefault="001832A0" w:rsidP="00A85ED8">
            <w:pPr>
              <w:pStyle w:val="NormalWeb"/>
              <w:jc w:val="center"/>
              <w:rPr>
                <w:sz w:val="18"/>
                <w:szCs w:val="18"/>
              </w:rPr>
            </w:pPr>
            <w:r w:rsidRPr="00CB57E4">
              <w:rPr>
                <w:sz w:val="18"/>
                <w:szCs w:val="18"/>
              </w:rPr>
              <w:t>77.6 (73.2 – 82.3)</w:t>
            </w:r>
          </w:p>
        </w:tc>
        <w:tc>
          <w:tcPr>
            <w:tcW w:w="3420" w:type="dxa"/>
            <w:shd w:val="clear" w:color="auto" w:fill="auto"/>
            <w:hideMark/>
          </w:tcPr>
          <w:p w14:paraId="274A31BD" w14:textId="77777777" w:rsidR="001832A0" w:rsidRPr="00CB57E4" w:rsidRDefault="001832A0" w:rsidP="00A85ED8">
            <w:pPr>
              <w:pStyle w:val="NormalWeb"/>
              <w:jc w:val="center"/>
              <w:rPr>
                <w:sz w:val="18"/>
                <w:szCs w:val="18"/>
              </w:rPr>
            </w:pPr>
            <w:r w:rsidRPr="00CB57E4">
              <w:rPr>
                <w:sz w:val="18"/>
                <w:szCs w:val="18"/>
              </w:rPr>
              <w:t>79.5 (75.0 – 84.2)</w:t>
            </w:r>
          </w:p>
        </w:tc>
      </w:tr>
      <w:tr w:rsidR="00644A40" w:rsidRPr="00CB57E4" w14:paraId="29572442" w14:textId="77777777" w:rsidTr="00FC2B23">
        <w:tc>
          <w:tcPr>
            <w:tcW w:w="0" w:type="auto"/>
            <w:vMerge w:val="restart"/>
            <w:shd w:val="clear" w:color="auto" w:fill="auto"/>
            <w:hideMark/>
          </w:tcPr>
          <w:p w14:paraId="3F47AC02" w14:textId="77777777" w:rsidR="001832A0" w:rsidRPr="00CB57E4" w:rsidRDefault="006D7A71" w:rsidP="006D7A71">
            <w:pPr>
              <w:spacing w:before="100" w:beforeAutospacing="1" w:after="100" w:afterAutospacing="1"/>
              <w:rPr>
                <w:rFonts w:eastAsia="Times New Roman"/>
                <w:sz w:val="18"/>
                <w:szCs w:val="18"/>
              </w:rPr>
            </w:pPr>
            <w:r w:rsidRPr="00CB57E4">
              <w:rPr>
                <w:rFonts w:eastAsia="Times New Roman"/>
                <w:sz w:val="18"/>
                <w:szCs w:val="18"/>
              </w:rPr>
              <w:t xml:space="preserve">• </w:t>
            </w:r>
            <w:r w:rsidR="001832A0" w:rsidRPr="00CB57E4">
              <w:rPr>
                <w:rFonts w:eastAsia="Times New Roman"/>
                <w:sz w:val="18"/>
                <w:szCs w:val="18"/>
              </w:rPr>
              <w:t>Hexavalent (DTPa-IPV-HepB-Hib)</w:t>
            </w:r>
            <w:r w:rsidRPr="00CB57E4">
              <w:rPr>
                <w:rFonts w:eastAsia="Times New Roman"/>
                <w:sz w:val="18"/>
                <w:szCs w:val="18"/>
              </w:rPr>
              <w:br/>
              <w:t xml:space="preserve">• </w:t>
            </w:r>
            <w:r w:rsidR="001832A0" w:rsidRPr="00CB57E4">
              <w:rPr>
                <w:rFonts w:eastAsia="Times New Roman"/>
                <w:sz w:val="18"/>
                <w:szCs w:val="18"/>
              </w:rPr>
              <w:t>DTPa-IPV</w:t>
            </w:r>
            <w:r w:rsidRPr="00CB57E4">
              <w:rPr>
                <w:rFonts w:eastAsia="Times New Roman"/>
                <w:sz w:val="18"/>
                <w:szCs w:val="18"/>
              </w:rPr>
              <w:br/>
              <w:t xml:space="preserve">• </w:t>
            </w:r>
            <w:r w:rsidR="001832A0" w:rsidRPr="00CB57E4">
              <w:rPr>
                <w:rFonts w:eastAsia="Times New Roman"/>
                <w:sz w:val="18"/>
                <w:szCs w:val="18"/>
              </w:rPr>
              <w:t>DTPa</w:t>
            </w:r>
          </w:p>
        </w:tc>
        <w:tc>
          <w:tcPr>
            <w:tcW w:w="0" w:type="auto"/>
            <w:shd w:val="clear" w:color="auto" w:fill="auto"/>
            <w:hideMark/>
          </w:tcPr>
          <w:p w14:paraId="3B9E90BC" w14:textId="77777777" w:rsidR="001832A0" w:rsidRPr="00CB57E4" w:rsidRDefault="001832A0" w:rsidP="00A85ED8">
            <w:pPr>
              <w:pStyle w:val="NormalWeb"/>
              <w:jc w:val="center"/>
              <w:rPr>
                <w:sz w:val="18"/>
                <w:szCs w:val="18"/>
              </w:rPr>
            </w:pPr>
            <w:r w:rsidRPr="00CB57E4">
              <w:rPr>
                <w:sz w:val="18"/>
                <w:szCs w:val="18"/>
              </w:rPr>
              <w:t>411</w:t>
            </w:r>
          </w:p>
        </w:tc>
        <w:tc>
          <w:tcPr>
            <w:tcW w:w="4174" w:type="dxa"/>
            <w:shd w:val="clear" w:color="auto" w:fill="auto"/>
            <w:hideMark/>
          </w:tcPr>
          <w:p w14:paraId="4D234520" w14:textId="77777777" w:rsidR="001832A0" w:rsidRPr="00CB57E4" w:rsidRDefault="001832A0" w:rsidP="00A85ED8">
            <w:pPr>
              <w:pStyle w:val="NormalWeb"/>
              <w:jc w:val="center"/>
              <w:rPr>
                <w:sz w:val="18"/>
                <w:szCs w:val="18"/>
              </w:rPr>
            </w:pPr>
            <w:r w:rsidRPr="00CB57E4">
              <w:rPr>
                <w:sz w:val="18"/>
                <w:szCs w:val="18"/>
              </w:rPr>
              <w:t>850,171</w:t>
            </w:r>
          </w:p>
        </w:tc>
        <w:tc>
          <w:tcPr>
            <w:tcW w:w="3600" w:type="dxa"/>
            <w:shd w:val="clear" w:color="auto" w:fill="auto"/>
            <w:hideMark/>
          </w:tcPr>
          <w:p w14:paraId="5D1FCBBE" w14:textId="77777777" w:rsidR="001832A0" w:rsidRPr="00CB57E4" w:rsidRDefault="001832A0" w:rsidP="00A85ED8">
            <w:pPr>
              <w:pStyle w:val="NormalWeb"/>
              <w:jc w:val="center"/>
              <w:rPr>
                <w:sz w:val="18"/>
                <w:szCs w:val="18"/>
              </w:rPr>
            </w:pPr>
            <w:r w:rsidRPr="00CB57E4">
              <w:rPr>
                <w:sz w:val="18"/>
                <w:szCs w:val="18"/>
              </w:rPr>
              <w:t>48.3 (43.8 – 53.2)</w:t>
            </w:r>
          </w:p>
        </w:tc>
        <w:tc>
          <w:tcPr>
            <w:tcW w:w="3420" w:type="dxa"/>
            <w:shd w:val="clear" w:color="auto" w:fill="auto"/>
            <w:hideMark/>
          </w:tcPr>
          <w:p w14:paraId="27D8202D" w14:textId="77777777" w:rsidR="001832A0" w:rsidRPr="00CB57E4" w:rsidRDefault="001832A0" w:rsidP="00A85ED8">
            <w:pPr>
              <w:pStyle w:val="NormalWeb"/>
              <w:jc w:val="center"/>
              <w:rPr>
                <w:sz w:val="18"/>
                <w:szCs w:val="18"/>
              </w:rPr>
            </w:pPr>
            <w:r w:rsidRPr="00CB57E4">
              <w:rPr>
                <w:sz w:val="18"/>
                <w:szCs w:val="18"/>
              </w:rPr>
              <w:t>50.6 (45.9 – 55.6)</w:t>
            </w:r>
          </w:p>
        </w:tc>
      </w:tr>
      <w:tr w:rsidR="006D7A71" w:rsidRPr="00CB57E4" w14:paraId="7CEE8F7F"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0F16BD83" w14:textId="77777777" w:rsidR="001832A0" w:rsidRPr="00CB57E4" w:rsidRDefault="001832A0">
            <w:pPr>
              <w:rPr>
                <w:rFonts w:eastAsia="Times New Roman"/>
                <w:sz w:val="18"/>
                <w:szCs w:val="18"/>
              </w:rPr>
            </w:pPr>
          </w:p>
        </w:tc>
        <w:tc>
          <w:tcPr>
            <w:tcW w:w="0" w:type="auto"/>
            <w:shd w:val="clear" w:color="auto" w:fill="auto"/>
            <w:hideMark/>
          </w:tcPr>
          <w:p w14:paraId="767113A4" w14:textId="77777777" w:rsidR="001832A0" w:rsidRPr="00CB57E4" w:rsidRDefault="001832A0" w:rsidP="00A85ED8">
            <w:pPr>
              <w:pStyle w:val="NormalWeb"/>
              <w:jc w:val="center"/>
              <w:rPr>
                <w:sz w:val="18"/>
                <w:szCs w:val="18"/>
              </w:rPr>
            </w:pPr>
            <w:r w:rsidRPr="00CB57E4">
              <w:rPr>
                <w:sz w:val="18"/>
                <w:szCs w:val="18"/>
              </w:rPr>
              <w:t>284</w:t>
            </w:r>
          </w:p>
        </w:tc>
        <w:tc>
          <w:tcPr>
            <w:tcW w:w="4174" w:type="dxa"/>
            <w:shd w:val="clear" w:color="auto" w:fill="auto"/>
            <w:hideMark/>
          </w:tcPr>
          <w:p w14:paraId="6B0B7E99" w14:textId="77777777" w:rsidR="001832A0" w:rsidRPr="00CB57E4" w:rsidRDefault="001832A0" w:rsidP="00A85ED8">
            <w:pPr>
              <w:pStyle w:val="NormalWeb"/>
              <w:jc w:val="center"/>
              <w:rPr>
                <w:sz w:val="18"/>
                <w:szCs w:val="18"/>
              </w:rPr>
            </w:pPr>
            <w:r w:rsidRPr="00CB57E4">
              <w:rPr>
                <w:sz w:val="18"/>
                <w:szCs w:val="18"/>
              </w:rPr>
              <w:t>300,527</w:t>
            </w:r>
          </w:p>
        </w:tc>
        <w:tc>
          <w:tcPr>
            <w:tcW w:w="3600" w:type="dxa"/>
            <w:shd w:val="clear" w:color="auto" w:fill="auto"/>
            <w:hideMark/>
          </w:tcPr>
          <w:p w14:paraId="3304B5E2" w14:textId="77777777" w:rsidR="001832A0" w:rsidRPr="00CB57E4" w:rsidRDefault="001832A0" w:rsidP="00A85ED8">
            <w:pPr>
              <w:pStyle w:val="NormalWeb"/>
              <w:jc w:val="center"/>
              <w:rPr>
                <w:sz w:val="18"/>
                <w:szCs w:val="18"/>
              </w:rPr>
            </w:pPr>
            <w:r w:rsidRPr="00CB57E4">
              <w:rPr>
                <w:sz w:val="18"/>
                <w:szCs w:val="18"/>
              </w:rPr>
              <w:t>94.5 (83.8 – 106.1)</w:t>
            </w:r>
          </w:p>
        </w:tc>
        <w:tc>
          <w:tcPr>
            <w:tcW w:w="3420" w:type="dxa"/>
            <w:shd w:val="clear" w:color="auto" w:fill="auto"/>
            <w:hideMark/>
          </w:tcPr>
          <w:p w14:paraId="56C27425" w14:textId="77777777" w:rsidR="001832A0" w:rsidRPr="00CB57E4" w:rsidRDefault="001832A0" w:rsidP="00A85ED8">
            <w:pPr>
              <w:pStyle w:val="NormalWeb"/>
              <w:jc w:val="center"/>
              <w:rPr>
                <w:sz w:val="18"/>
                <w:szCs w:val="18"/>
              </w:rPr>
            </w:pPr>
            <w:r w:rsidRPr="00CB57E4">
              <w:rPr>
                <w:sz w:val="18"/>
                <w:szCs w:val="18"/>
              </w:rPr>
              <w:t>117.2 (105.5 – 129.9)</w:t>
            </w:r>
          </w:p>
        </w:tc>
      </w:tr>
      <w:tr w:rsidR="00644A40" w:rsidRPr="00CB57E4" w14:paraId="4F6C1477" w14:textId="77777777" w:rsidTr="00FC2B23">
        <w:tc>
          <w:tcPr>
            <w:tcW w:w="0" w:type="auto"/>
            <w:vMerge/>
            <w:shd w:val="clear" w:color="auto" w:fill="auto"/>
            <w:hideMark/>
          </w:tcPr>
          <w:p w14:paraId="6703F618" w14:textId="77777777" w:rsidR="001832A0" w:rsidRPr="00CB57E4" w:rsidRDefault="001832A0">
            <w:pPr>
              <w:rPr>
                <w:rFonts w:eastAsia="Times New Roman"/>
                <w:sz w:val="18"/>
                <w:szCs w:val="18"/>
              </w:rPr>
            </w:pPr>
          </w:p>
        </w:tc>
        <w:tc>
          <w:tcPr>
            <w:tcW w:w="0" w:type="auto"/>
            <w:shd w:val="clear" w:color="auto" w:fill="auto"/>
            <w:hideMark/>
          </w:tcPr>
          <w:p w14:paraId="1E04D368" w14:textId="77777777" w:rsidR="001832A0" w:rsidRPr="00CB57E4" w:rsidRDefault="001832A0" w:rsidP="00A85ED8">
            <w:pPr>
              <w:pStyle w:val="NormalWeb"/>
              <w:jc w:val="center"/>
              <w:rPr>
                <w:sz w:val="18"/>
                <w:szCs w:val="18"/>
              </w:rPr>
            </w:pPr>
            <w:r w:rsidRPr="00CB57E4">
              <w:rPr>
                <w:sz w:val="18"/>
                <w:szCs w:val="18"/>
              </w:rPr>
              <w:t>432</w:t>
            </w:r>
          </w:p>
        </w:tc>
        <w:tc>
          <w:tcPr>
            <w:tcW w:w="4174" w:type="dxa"/>
            <w:shd w:val="clear" w:color="auto" w:fill="auto"/>
            <w:hideMark/>
          </w:tcPr>
          <w:p w14:paraId="3A2F0AB5" w14:textId="77777777" w:rsidR="001832A0" w:rsidRPr="00CB57E4" w:rsidRDefault="001832A0" w:rsidP="00A85ED8">
            <w:pPr>
              <w:pStyle w:val="NormalWeb"/>
              <w:jc w:val="center"/>
              <w:rPr>
                <w:sz w:val="18"/>
                <w:szCs w:val="18"/>
              </w:rPr>
            </w:pPr>
            <w:r w:rsidRPr="00CB57E4">
              <w:rPr>
                <w:sz w:val="18"/>
                <w:szCs w:val="18"/>
              </w:rPr>
              <w:t>301,227</w:t>
            </w:r>
          </w:p>
        </w:tc>
        <w:tc>
          <w:tcPr>
            <w:tcW w:w="3600" w:type="dxa"/>
            <w:shd w:val="clear" w:color="auto" w:fill="auto"/>
            <w:hideMark/>
          </w:tcPr>
          <w:p w14:paraId="39BA97FF" w14:textId="77777777" w:rsidR="001832A0" w:rsidRPr="00CB57E4" w:rsidRDefault="001832A0" w:rsidP="00A85ED8">
            <w:pPr>
              <w:pStyle w:val="NormalWeb"/>
              <w:jc w:val="center"/>
              <w:rPr>
                <w:sz w:val="18"/>
                <w:szCs w:val="18"/>
              </w:rPr>
            </w:pPr>
            <w:r w:rsidRPr="00CB57E4">
              <w:rPr>
                <w:sz w:val="18"/>
                <w:szCs w:val="18"/>
              </w:rPr>
              <w:t>143.4 (130.2 – 157.6)</w:t>
            </w:r>
          </w:p>
        </w:tc>
        <w:tc>
          <w:tcPr>
            <w:tcW w:w="3420" w:type="dxa"/>
            <w:shd w:val="clear" w:color="auto" w:fill="auto"/>
            <w:hideMark/>
          </w:tcPr>
          <w:p w14:paraId="4665EE19" w14:textId="77777777" w:rsidR="001832A0" w:rsidRPr="00CB57E4" w:rsidRDefault="001832A0" w:rsidP="00A85ED8">
            <w:pPr>
              <w:pStyle w:val="NormalWeb"/>
              <w:jc w:val="center"/>
              <w:rPr>
                <w:sz w:val="18"/>
                <w:szCs w:val="18"/>
              </w:rPr>
            </w:pPr>
            <w:r w:rsidRPr="00CB57E4">
              <w:rPr>
                <w:sz w:val="18"/>
                <w:szCs w:val="18"/>
              </w:rPr>
              <w:t>122.9 (110.7 – 136.0)</w:t>
            </w:r>
          </w:p>
        </w:tc>
      </w:tr>
      <w:tr w:rsidR="006D7A71" w:rsidRPr="00CB57E4" w14:paraId="375A513A"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0059FBD7" w14:textId="77777777" w:rsidR="001832A0" w:rsidRPr="00CB57E4" w:rsidRDefault="001832A0">
            <w:pPr>
              <w:pStyle w:val="NormalWeb"/>
              <w:rPr>
                <w:sz w:val="18"/>
                <w:szCs w:val="18"/>
              </w:rPr>
            </w:pPr>
            <w:r w:rsidRPr="00CB57E4">
              <w:rPr>
                <w:sz w:val="18"/>
                <w:szCs w:val="18"/>
              </w:rPr>
              <w:t>Pneumococcal conjugate -13vPCV</w:t>
            </w:r>
          </w:p>
        </w:tc>
        <w:tc>
          <w:tcPr>
            <w:tcW w:w="0" w:type="auto"/>
            <w:shd w:val="clear" w:color="auto" w:fill="auto"/>
            <w:hideMark/>
          </w:tcPr>
          <w:p w14:paraId="171F1C15" w14:textId="77777777" w:rsidR="001832A0" w:rsidRPr="00CB57E4" w:rsidRDefault="001832A0" w:rsidP="00A85ED8">
            <w:pPr>
              <w:pStyle w:val="NormalWeb"/>
              <w:jc w:val="center"/>
              <w:rPr>
                <w:sz w:val="18"/>
                <w:szCs w:val="18"/>
              </w:rPr>
            </w:pPr>
            <w:r w:rsidRPr="00CB57E4">
              <w:rPr>
                <w:sz w:val="18"/>
                <w:szCs w:val="18"/>
              </w:rPr>
              <w:t>439</w:t>
            </w:r>
          </w:p>
        </w:tc>
        <w:tc>
          <w:tcPr>
            <w:tcW w:w="4174" w:type="dxa"/>
            <w:shd w:val="clear" w:color="auto" w:fill="auto"/>
            <w:hideMark/>
          </w:tcPr>
          <w:p w14:paraId="1F851538" w14:textId="77777777" w:rsidR="001832A0" w:rsidRPr="00CB57E4" w:rsidRDefault="001832A0" w:rsidP="00A85ED8">
            <w:pPr>
              <w:pStyle w:val="NormalWeb"/>
              <w:jc w:val="center"/>
              <w:rPr>
                <w:sz w:val="18"/>
                <w:szCs w:val="18"/>
              </w:rPr>
            </w:pPr>
            <w:r w:rsidRPr="00CB57E4">
              <w:rPr>
                <w:sz w:val="18"/>
                <w:szCs w:val="18"/>
              </w:rPr>
              <w:t>821,374</w:t>
            </w:r>
          </w:p>
        </w:tc>
        <w:tc>
          <w:tcPr>
            <w:tcW w:w="3600" w:type="dxa"/>
            <w:shd w:val="clear" w:color="auto" w:fill="auto"/>
            <w:hideMark/>
          </w:tcPr>
          <w:p w14:paraId="4F8BC10B" w14:textId="77777777" w:rsidR="001832A0" w:rsidRPr="00CB57E4" w:rsidRDefault="001832A0" w:rsidP="00A85ED8">
            <w:pPr>
              <w:pStyle w:val="NormalWeb"/>
              <w:jc w:val="center"/>
              <w:rPr>
                <w:sz w:val="18"/>
                <w:szCs w:val="18"/>
              </w:rPr>
            </w:pPr>
            <w:r w:rsidRPr="00CB57E4">
              <w:rPr>
                <w:sz w:val="18"/>
                <w:szCs w:val="18"/>
              </w:rPr>
              <w:t>53.4 (48.6 – 58.7)</w:t>
            </w:r>
          </w:p>
        </w:tc>
        <w:tc>
          <w:tcPr>
            <w:tcW w:w="3420" w:type="dxa"/>
            <w:shd w:val="clear" w:color="auto" w:fill="auto"/>
            <w:hideMark/>
          </w:tcPr>
          <w:p w14:paraId="3F799BC9" w14:textId="77777777" w:rsidR="001832A0" w:rsidRPr="00CB57E4" w:rsidRDefault="001832A0" w:rsidP="00A85ED8">
            <w:pPr>
              <w:pStyle w:val="NormalWeb"/>
              <w:jc w:val="center"/>
              <w:rPr>
                <w:sz w:val="18"/>
                <w:szCs w:val="18"/>
              </w:rPr>
            </w:pPr>
            <w:r w:rsidRPr="00CB57E4">
              <w:rPr>
                <w:sz w:val="18"/>
                <w:szCs w:val="18"/>
              </w:rPr>
              <w:t>50.5 (45.9 – 55.4)</w:t>
            </w:r>
          </w:p>
        </w:tc>
      </w:tr>
      <w:tr w:rsidR="00644A40" w:rsidRPr="00CB57E4" w14:paraId="2C74A00A" w14:textId="77777777" w:rsidTr="00FC2B23">
        <w:tc>
          <w:tcPr>
            <w:tcW w:w="0" w:type="auto"/>
            <w:shd w:val="clear" w:color="auto" w:fill="auto"/>
            <w:hideMark/>
          </w:tcPr>
          <w:p w14:paraId="1EEAE46E" w14:textId="77777777" w:rsidR="001832A0" w:rsidRPr="00CB57E4" w:rsidRDefault="001832A0">
            <w:pPr>
              <w:pStyle w:val="NormalWeb"/>
              <w:rPr>
                <w:sz w:val="18"/>
                <w:szCs w:val="18"/>
              </w:rPr>
            </w:pPr>
            <w:r w:rsidRPr="00CB57E4">
              <w:rPr>
                <w:sz w:val="18"/>
                <w:szCs w:val="18"/>
              </w:rPr>
              <w:t>Rotavirus vaccine</w:t>
            </w:r>
          </w:p>
        </w:tc>
        <w:tc>
          <w:tcPr>
            <w:tcW w:w="0" w:type="auto"/>
            <w:shd w:val="clear" w:color="auto" w:fill="auto"/>
            <w:hideMark/>
          </w:tcPr>
          <w:p w14:paraId="344A18F1" w14:textId="77777777" w:rsidR="001832A0" w:rsidRPr="00CB57E4" w:rsidRDefault="001832A0" w:rsidP="00A85ED8">
            <w:pPr>
              <w:pStyle w:val="NormalWeb"/>
              <w:jc w:val="center"/>
              <w:rPr>
                <w:sz w:val="18"/>
                <w:szCs w:val="18"/>
              </w:rPr>
            </w:pPr>
            <w:r w:rsidRPr="00CB57E4">
              <w:rPr>
                <w:sz w:val="18"/>
                <w:szCs w:val="18"/>
              </w:rPr>
              <w:t>319</w:t>
            </w:r>
          </w:p>
        </w:tc>
        <w:tc>
          <w:tcPr>
            <w:tcW w:w="4174" w:type="dxa"/>
            <w:shd w:val="clear" w:color="auto" w:fill="auto"/>
            <w:hideMark/>
          </w:tcPr>
          <w:p w14:paraId="19ABAC3F" w14:textId="77777777" w:rsidR="001832A0" w:rsidRPr="00CB57E4" w:rsidRDefault="001832A0" w:rsidP="00A85ED8">
            <w:pPr>
              <w:pStyle w:val="NormalWeb"/>
              <w:jc w:val="center"/>
              <w:rPr>
                <w:sz w:val="18"/>
                <w:szCs w:val="18"/>
              </w:rPr>
            </w:pPr>
            <w:r w:rsidRPr="00CB57E4">
              <w:rPr>
                <w:sz w:val="18"/>
                <w:szCs w:val="18"/>
              </w:rPr>
              <w:t>547,545</w:t>
            </w:r>
          </w:p>
        </w:tc>
        <w:tc>
          <w:tcPr>
            <w:tcW w:w="3600" w:type="dxa"/>
            <w:shd w:val="clear" w:color="auto" w:fill="auto"/>
            <w:hideMark/>
          </w:tcPr>
          <w:p w14:paraId="69FBA66E" w14:textId="77777777" w:rsidR="001832A0" w:rsidRPr="00CB57E4" w:rsidRDefault="001832A0" w:rsidP="00A85ED8">
            <w:pPr>
              <w:pStyle w:val="NormalWeb"/>
              <w:jc w:val="center"/>
              <w:rPr>
                <w:sz w:val="18"/>
                <w:szCs w:val="18"/>
              </w:rPr>
            </w:pPr>
            <w:r w:rsidRPr="00CB57E4">
              <w:rPr>
                <w:sz w:val="18"/>
                <w:szCs w:val="18"/>
              </w:rPr>
              <w:t>58.3 (52.0 – 65.0)</w:t>
            </w:r>
          </w:p>
        </w:tc>
        <w:tc>
          <w:tcPr>
            <w:tcW w:w="3420" w:type="dxa"/>
            <w:shd w:val="clear" w:color="auto" w:fill="auto"/>
            <w:hideMark/>
          </w:tcPr>
          <w:p w14:paraId="762CB6FB" w14:textId="77777777" w:rsidR="001832A0" w:rsidRPr="00CB57E4" w:rsidRDefault="001832A0" w:rsidP="00A85ED8">
            <w:pPr>
              <w:pStyle w:val="NormalWeb"/>
              <w:jc w:val="center"/>
              <w:rPr>
                <w:sz w:val="18"/>
                <w:szCs w:val="18"/>
              </w:rPr>
            </w:pPr>
            <w:r w:rsidRPr="00CB57E4">
              <w:rPr>
                <w:sz w:val="18"/>
                <w:szCs w:val="18"/>
              </w:rPr>
              <w:t>60.0 (54.3 – 66.1)</w:t>
            </w:r>
          </w:p>
        </w:tc>
      </w:tr>
      <w:tr w:rsidR="006D7A71" w:rsidRPr="00CB57E4" w14:paraId="1C65BC3E"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112C65FE" w14:textId="77777777" w:rsidR="001832A0" w:rsidRPr="00CB57E4" w:rsidRDefault="001832A0">
            <w:pPr>
              <w:pStyle w:val="NormalWeb"/>
              <w:rPr>
                <w:sz w:val="18"/>
                <w:szCs w:val="18"/>
              </w:rPr>
            </w:pPr>
            <w:r w:rsidRPr="00CB57E4">
              <w:rPr>
                <w:sz w:val="18"/>
                <w:szCs w:val="18"/>
              </w:rPr>
              <w:t>Seasonal influenza</w:t>
            </w:r>
          </w:p>
        </w:tc>
        <w:tc>
          <w:tcPr>
            <w:tcW w:w="0" w:type="auto"/>
            <w:shd w:val="clear" w:color="auto" w:fill="auto"/>
            <w:hideMark/>
          </w:tcPr>
          <w:p w14:paraId="6F518A40" w14:textId="77777777" w:rsidR="001832A0" w:rsidRPr="00CB57E4" w:rsidRDefault="001832A0" w:rsidP="00A85ED8">
            <w:pPr>
              <w:pStyle w:val="NormalWeb"/>
              <w:jc w:val="center"/>
              <w:rPr>
                <w:sz w:val="18"/>
                <w:szCs w:val="18"/>
              </w:rPr>
            </w:pPr>
            <w:r w:rsidRPr="00CB57E4">
              <w:rPr>
                <w:sz w:val="18"/>
                <w:szCs w:val="18"/>
              </w:rPr>
              <w:t>240</w:t>
            </w:r>
          </w:p>
        </w:tc>
        <w:tc>
          <w:tcPr>
            <w:tcW w:w="4174" w:type="dxa"/>
            <w:shd w:val="clear" w:color="auto" w:fill="auto"/>
            <w:hideMark/>
          </w:tcPr>
          <w:p w14:paraId="2631B64F" w14:textId="77777777" w:rsidR="001832A0" w:rsidRPr="00CB57E4" w:rsidRDefault="001832A0" w:rsidP="00A85ED8">
            <w:pPr>
              <w:pStyle w:val="NormalWeb"/>
              <w:jc w:val="center"/>
              <w:rPr>
                <w:sz w:val="18"/>
                <w:szCs w:val="18"/>
              </w:rPr>
            </w:pPr>
            <w:r w:rsidRPr="00CB57E4">
              <w:rPr>
                <w:sz w:val="18"/>
                <w:szCs w:val="18"/>
              </w:rPr>
              <w:t>694,620</w:t>
            </w:r>
          </w:p>
        </w:tc>
        <w:tc>
          <w:tcPr>
            <w:tcW w:w="3600" w:type="dxa"/>
            <w:shd w:val="clear" w:color="auto" w:fill="auto"/>
            <w:hideMark/>
          </w:tcPr>
          <w:p w14:paraId="5C2BAE51" w14:textId="77777777" w:rsidR="001832A0" w:rsidRPr="00CB57E4" w:rsidRDefault="001832A0" w:rsidP="00A85ED8">
            <w:pPr>
              <w:pStyle w:val="NormalWeb"/>
              <w:jc w:val="center"/>
              <w:rPr>
                <w:sz w:val="18"/>
                <w:szCs w:val="18"/>
              </w:rPr>
            </w:pPr>
            <w:r w:rsidRPr="00CB57E4">
              <w:rPr>
                <w:sz w:val="18"/>
                <w:szCs w:val="18"/>
              </w:rPr>
              <w:t>34.6 (30.3 – 39.2)</w:t>
            </w:r>
          </w:p>
        </w:tc>
        <w:tc>
          <w:tcPr>
            <w:tcW w:w="3420" w:type="dxa"/>
            <w:shd w:val="clear" w:color="auto" w:fill="auto"/>
            <w:hideMark/>
          </w:tcPr>
          <w:p w14:paraId="12CB4D6B" w14:textId="77777777" w:rsidR="001832A0" w:rsidRPr="00CB57E4" w:rsidRDefault="001832A0" w:rsidP="00A85ED8">
            <w:pPr>
              <w:pStyle w:val="NormalWeb"/>
              <w:jc w:val="center"/>
              <w:rPr>
                <w:sz w:val="18"/>
                <w:szCs w:val="18"/>
              </w:rPr>
            </w:pPr>
            <w:r w:rsidRPr="00CB57E4">
              <w:rPr>
                <w:sz w:val="18"/>
                <w:szCs w:val="18"/>
              </w:rPr>
              <w:t>59.3 (47.0 – 73.8)</w:t>
            </w:r>
          </w:p>
        </w:tc>
      </w:tr>
      <w:tr w:rsidR="00644A40" w:rsidRPr="00CB57E4" w14:paraId="73CC1C25" w14:textId="77777777" w:rsidTr="00FC2B23">
        <w:tc>
          <w:tcPr>
            <w:tcW w:w="0" w:type="auto"/>
            <w:shd w:val="clear" w:color="auto" w:fill="auto"/>
            <w:hideMark/>
          </w:tcPr>
          <w:p w14:paraId="05F35D1C" w14:textId="77777777" w:rsidR="001832A0" w:rsidRPr="00CB57E4" w:rsidRDefault="001832A0">
            <w:pPr>
              <w:pStyle w:val="NormalWeb"/>
              <w:rPr>
                <w:sz w:val="18"/>
                <w:szCs w:val="18"/>
              </w:rPr>
            </w:pPr>
            <w:r w:rsidRPr="00CB57E4">
              <w:rPr>
                <w:sz w:val="18"/>
                <w:szCs w:val="18"/>
              </w:rPr>
              <w:t>Measles-mumps-rubella</w:t>
            </w:r>
          </w:p>
        </w:tc>
        <w:tc>
          <w:tcPr>
            <w:tcW w:w="0" w:type="auto"/>
            <w:shd w:val="clear" w:color="auto" w:fill="auto"/>
            <w:hideMark/>
          </w:tcPr>
          <w:p w14:paraId="6447B2B1" w14:textId="77777777" w:rsidR="001832A0" w:rsidRPr="00CB57E4" w:rsidRDefault="001832A0" w:rsidP="00A85ED8">
            <w:pPr>
              <w:pStyle w:val="NormalWeb"/>
              <w:jc w:val="center"/>
              <w:rPr>
                <w:sz w:val="18"/>
                <w:szCs w:val="18"/>
              </w:rPr>
            </w:pPr>
            <w:r w:rsidRPr="00CB57E4">
              <w:rPr>
                <w:sz w:val="18"/>
                <w:szCs w:val="18"/>
              </w:rPr>
              <w:t>228</w:t>
            </w:r>
          </w:p>
        </w:tc>
        <w:tc>
          <w:tcPr>
            <w:tcW w:w="4174" w:type="dxa"/>
            <w:shd w:val="clear" w:color="auto" w:fill="auto"/>
            <w:hideMark/>
          </w:tcPr>
          <w:p w14:paraId="2D9F20FF" w14:textId="77777777" w:rsidR="001832A0" w:rsidRPr="00CB57E4" w:rsidRDefault="001832A0" w:rsidP="00A85ED8">
            <w:pPr>
              <w:pStyle w:val="NormalWeb"/>
              <w:jc w:val="center"/>
              <w:rPr>
                <w:sz w:val="18"/>
                <w:szCs w:val="18"/>
              </w:rPr>
            </w:pPr>
            <w:r w:rsidRPr="00CB57E4">
              <w:rPr>
                <w:sz w:val="18"/>
                <w:szCs w:val="18"/>
              </w:rPr>
              <w:t>309,005</w:t>
            </w:r>
          </w:p>
        </w:tc>
        <w:tc>
          <w:tcPr>
            <w:tcW w:w="3600" w:type="dxa"/>
            <w:shd w:val="clear" w:color="auto" w:fill="auto"/>
            <w:hideMark/>
          </w:tcPr>
          <w:p w14:paraId="4CC1914E" w14:textId="77777777" w:rsidR="001832A0" w:rsidRPr="00CB57E4" w:rsidRDefault="001832A0" w:rsidP="00A85ED8">
            <w:pPr>
              <w:pStyle w:val="NormalWeb"/>
              <w:jc w:val="center"/>
              <w:rPr>
                <w:sz w:val="18"/>
                <w:szCs w:val="18"/>
              </w:rPr>
            </w:pPr>
            <w:r w:rsidRPr="00CB57E4">
              <w:rPr>
                <w:sz w:val="18"/>
                <w:szCs w:val="18"/>
              </w:rPr>
              <w:t>73.8 (64.5 – 84.0)</w:t>
            </w:r>
          </w:p>
        </w:tc>
        <w:tc>
          <w:tcPr>
            <w:tcW w:w="3420" w:type="dxa"/>
            <w:shd w:val="clear" w:color="auto" w:fill="auto"/>
            <w:hideMark/>
          </w:tcPr>
          <w:p w14:paraId="38F03FCB" w14:textId="77777777" w:rsidR="001832A0" w:rsidRPr="00CB57E4" w:rsidRDefault="001832A0" w:rsidP="00A85ED8">
            <w:pPr>
              <w:pStyle w:val="NormalWeb"/>
              <w:jc w:val="center"/>
              <w:rPr>
                <w:sz w:val="18"/>
                <w:szCs w:val="18"/>
              </w:rPr>
            </w:pPr>
            <w:r w:rsidRPr="00CB57E4">
              <w:rPr>
                <w:sz w:val="18"/>
                <w:szCs w:val="18"/>
              </w:rPr>
              <w:t>70.4 (61.5 – 80.2)</w:t>
            </w:r>
          </w:p>
        </w:tc>
      </w:tr>
      <w:tr w:rsidR="006D7A71" w:rsidRPr="00CB57E4" w14:paraId="2D885546"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7860A9A1" w14:textId="77777777" w:rsidR="001832A0" w:rsidRPr="00CB57E4" w:rsidRDefault="001832A0">
            <w:pPr>
              <w:pStyle w:val="NormalWeb"/>
              <w:rPr>
                <w:sz w:val="18"/>
                <w:szCs w:val="18"/>
              </w:rPr>
            </w:pPr>
            <w:r w:rsidRPr="00CB57E4">
              <w:rPr>
                <w:sz w:val="18"/>
                <w:szCs w:val="18"/>
              </w:rPr>
              <w:t>Meningococcal ACWY</w:t>
            </w:r>
          </w:p>
        </w:tc>
        <w:tc>
          <w:tcPr>
            <w:tcW w:w="0" w:type="auto"/>
            <w:shd w:val="clear" w:color="auto" w:fill="auto"/>
            <w:hideMark/>
          </w:tcPr>
          <w:p w14:paraId="2F587ECC" w14:textId="77777777" w:rsidR="001832A0" w:rsidRPr="00CB57E4" w:rsidRDefault="001832A0" w:rsidP="00A85ED8">
            <w:pPr>
              <w:pStyle w:val="NormalWeb"/>
              <w:jc w:val="center"/>
              <w:rPr>
                <w:sz w:val="18"/>
                <w:szCs w:val="18"/>
              </w:rPr>
            </w:pPr>
            <w:r w:rsidRPr="00CB57E4">
              <w:rPr>
                <w:sz w:val="18"/>
                <w:szCs w:val="18"/>
              </w:rPr>
              <w:t>211</w:t>
            </w:r>
          </w:p>
        </w:tc>
        <w:tc>
          <w:tcPr>
            <w:tcW w:w="4174" w:type="dxa"/>
            <w:shd w:val="clear" w:color="auto" w:fill="auto"/>
            <w:hideMark/>
          </w:tcPr>
          <w:p w14:paraId="710534F1" w14:textId="77777777" w:rsidR="001832A0" w:rsidRPr="00CB57E4" w:rsidRDefault="001832A0" w:rsidP="00A85ED8">
            <w:pPr>
              <w:pStyle w:val="NormalWeb"/>
              <w:jc w:val="center"/>
              <w:rPr>
                <w:sz w:val="18"/>
                <w:szCs w:val="18"/>
              </w:rPr>
            </w:pPr>
            <w:r w:rsidRPr="00CB57E4">
              <w:rPr>
                <w:sz w:val="18"/>
                <w:szCs w:val="18"/>
              </w:rPr>
              <w:t>310,909</w:t>
            </w:r>
          </w:p>
        </w:tc>
        <w:tc>
          <w:tcPr>
            <w:tcW w:w="3600" w:type="dxa"/>
            <w:shd w:val="clear" w:color="auto" w:fill="auto"/>
            <w:hideMark/>
          </w:tcPr>
          <w:p w14:paraId="6FCD03C6" w14:textId="77777777" w:rsidR="001832A0" w:rsidRPr="00CB57E4" w:rsidRDefault="001832A0" w:rsidP="00A85ED8">
            <w:pPr>
              <w:pStyle w:val="NormalWeb"/>
              <w:jc w:val="center"/>
              <w:rPr>
                <w:sz w:val="18"/>
                <w:szCs w:val="18"/>
              </w:rPr>
            </w:pPr>
            <w:r w:rsidRPr="00CB57E4">
              <w:rPr>
                <w:sz w:val="18"/>
                <w:szCs w:val="18"/>
              </w:rPr>
              <w:t>67.9 (59.0 – 77.7)</w:t>
            </w:r>
          </w:p>
        </w:tc>
        <w:tc>
          <w:tcPr>
            <w:tcW w:w="3420" w:type="dxa"/>
            <w:shd w:val="clear" w:color="auto" w:fill="auto"/>
            <w:hideMark/>
          </w:tcPr>
          <w:p w14:paraId="2716B772" w14:textId="77777777" w:rsidR="001832A0" w:rsidRPr="00CB57E4" w:rsidRDefault="001832A0" w:rsidP="00A85ED8">
            <w:pPr>
              <w:pStyle w:val="NormalWeb"/>
              <w:jc w:val="center"/>
              <w:rPr>
                <w:sz w:val="18"/>
                <w:szCs w:val="18"/>
              </w:rPr>
            </w:pPr>
            <w:r w:rsidRPr="00CB57E4">
              <w:rPr>
                <w:sz w:val="18"/>
                <w:szCs w:val="18"/>
              </w:rPr>
              <w:t>–</w:t>
            </w:r>
          </w:p>
        </w:tc>
      </w:tr>
      <w:tr w:rsidR="00644A40" w:rsidRPr="00CB57E4" w14:paraId="558D0D7E" w14:textId="77777777" w:rsidTr="00FC2B23">
        <w:tc>
          <w:tcPr>
            <w:tcW w:w="0" w:type="auto"/>
            <w:shd w:val="clear" w:color="auto" w:fill="auto"/>
            <w:hideMark/>
          </w:tcPr>
          <w:p w14:paraId="623C357F" w14:textId="77777777" w:rsidR="001832A0" w:rsidRPr="00CB57E4" w:rsidRDefault="001832A0">
            <w:pPr>
              <w:pStyle w:val="NormalWeb"/>
              <w:rPr>
                <w:sz w:val="18"/>
                <w:szCs w:val="18"/>
              </w:rPr>
            </w:pPr>
            <w:r w:rsidRPr="00CB57E4">
              <w:rPr>
                <w:sz w:val="18"/>
                <w:szCs w:val="18"/>
              </w:rPr>
              <w:t>Meningococcal B</w:t>
            </w:r>
          </w:p>
        </w:tc>
        <w:tc>
          <w:tcPr>
            <w:tcW w:w="0" w:type="auto"/>
            <w:shd w:val="clear" w:color="auto" w:fill="auto"/>
            <w:hideMark/>
          </w:tcPr>
          <w:p w14:paraId="3ADD2586" w14:textId="77777777" w:rsidR="001832A0" w:rsidRPr="00CB57E4" w:rsidRDefault="001832A0" w:rsidP="00A85ED8">
            <w:pPr>
              <w:pStyle w:val="NormalWeb"/>
              <w:jc w:val="center"/>
              <w:rPr>
                <w:sz w:val="18"/>
                <w:szCs w:val="18"/>
              </w:rPr>
            </w:pPr>
            <w:r w:rsidRPr="00CB57E4">
              <w:rPr>
                <w:sz w:val="18"/>
                <w:szCs w:val="18"/>
              </w:rPr>
              <w:t>207</w:t>
            </w:r>
          </w:p>
        </w:tc>
        <w:tc>
          <w:tcPr>
            <w:tcW w:w="4174" w:type="dxa"/>
            <w:shd w:val="clear" w:color="auto" w:fill="auto"/>
            <w:hideMark/>
          </w:tcPr>
          <w:p w14:paraId="50F55E18" w14:textId="77777777" w:rsidR="001832A0" w:rsidRPr="00CB57E4" w:rsidRDefault="001832A0" w:rsidP="00A85ED8">
            <w:pPr>
              <w:pStyle w:val="NormalWeb"/>
              <w:jc w:val="center"/>
              <w:rPr>
                <w:sz w:val="18"/>
                <w:szCs w:val="18"/>
              </w:rPr>
            </w:pPr>
            <w:r w:rsidRPr="00CB57E4">
              <w:rPr>
                <w:sz w:val="18"/>
                <w:szCs w:val="18"/>
              </w:rPr>
              <w:t>199,745</w:t>
            </w:r>
          </w:p>
        </w:tc>
        <w:tc>
          <w:tcPr>
            <w:tcW w:w="3600" w:type="dxa"/>
            <w:shd w:val="clear" w:color="auto" w:fill="auto"/>
            <w:hideMark/>
          </w:tcPr>
          <w:p w14:paraId="7027A571" w14:textId="77777777" w:rsidR="001832A0" w:rsidRPr="00CB57E4" w:rsidRDefault="001832A0" w:rsidP="00A85ED8">
            <w:pPr>
              <w:pStyle w:val="NormalWeb"/>
              <w:jc w:val="center"/>
              <w:rPr>
                <w:sz w:val="18"/>
                <w:szCs w:val="18"/>
              </w:rPr>
            </w:pPr>
            <w:r w:rsidRPr="00CB57E4">
              <w:rPr>
                <w:sz w:val="18"/>
                <w:szCs w:val="18"/>
              </w:rPr>
              <w:t>103.6 (90.0 – 118.7)</w:t>
            </w:r>
          </w:p>
        </w:tc>
        <w:tc>
          <w:tcPr>
            <w:tcW w:w="3420" w:type="dxa"/>
            <w:shd w:val="clear" w:color="auto" w:fill="auto"/>
            <w:hideMark/>
          </w:tcPr>
          <w:p w14:paraId="3C02E161" w14:textId="77777777" w:rsidR="001832A0" w:rsidRPr="00CB57E4" w:rsidRDefault="001832A0" w:rsidP="00A85ED8">
            <w:pPr>
              <w:pStyle w:val="NormalWeb"/>
              <w:jc w:val="center"/>
              <w:rPr>
                <w:sz w:val="18"/>
                <w:szCs w:val="18"/>
              </w:rPr>
            </w:pPr>
            <w:r w:rsidRPr="00CB57E4">
              <w:rPr>
                <w:sz w:val="18"/>
                <w:szCs w:val="18"/>
              </w:rPr>
              <w:t>120.3 (103.5 – 139.1)</w:t>
            </w:r>
          </w:p>
        </w:tc>
      </w:tr>
      <w:tr w:rsidR="006D7A71" w:rsidRPr="00CB57E4" w14:paraId="0EF823C4"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1F4B9103" w14:textId="77777777" w:rsidR="001832A0" w:rsidRPr="00CB57E4" w:rsidRDefault="001832A0">
            <w:pPr>
              <w:pStyle w:val="NormalWeb"/>
              <w:rPr>
                <w:sz w:val="18"/>
                <w:szCs w:val="18"/>
              </w:rPr>
            </w:pPr>
            <w:r w:rsidRPr="00CB57E4">
              <w:rPr>
                <w:sz w:val="18"/>
                <w:szCs w:val="18"/>
              </w:rPr>
              <w:t>Measles-mumps-rubella-varicella</w:t>
            </w:r>
          </w:p>
        </w:tc>
        <w:tc>
          <w:tcPr>
            <w:tcW w:w="0" w:type="auto"/>
            <w:shd w:val="clear" w:color="auto" w:fill="auto"/>
            <w:hideMark/>
          </w:tcPr>
          <w:p w14:paraId="3106EBB2" w14:textId="77777777" w:rsidR="001832A0" w:rsidRPr="00CB57E4" w:rsidRDefault="001832A0" w:rsidP="00A85ED8">
            <w:pPr>
              <w:pStyle w:val="NormalWeb"/>
              <w:jc w:val="center"/>
              <w:rPr>
                <w:sz w:val="18"/>
                <w:szCs w:val="18"/>
              </w:rPr>
            </w:pPr>
            <w:r w:rsidRPr="00CB57E4">
              <w:rPr>
                <w:sz w:val="18"/>
                <w:szCs w:val="18"/>
              </w:rPr>
              <w:t>206</w:t>
            </w:r>
          </w:p>
        </w:tc>
        <w:tc>
          <w:tcPr>
            <w:tcW w:w="4174" w:type="dxa"/>
            <w:shd w:val="clear" w:color="auto" w:fill="auto"/>
            <w:hideMark/>
          </w:tcPr>
          <w:p w14:paraId="718CC9B4" w14:textId="77777777" w:rsidR="001832A0" w:rsidRPr="00CB57E4" w:rsidRDefault="001832A0" w:rsidP="00A85ED8">
            <w:pPr>
              <w:pStyle w:val="NormalWeb"/>
              <w:jc w:val="center"/>
              <w:rPr>
                <w:sz w:val="18"/>
                <w:szCs w:val="18"/>
              </w:rPr>
            </w:pPr>
            <w:r w:rsidRPr="00CB57E4">
              <w:rPr>
                <w:sz w:val="18"/>
                <w:szCs w:val="18"/>
              </w:rPr>
              <w:t>302,682</w:t>
            </w:r>
          </w:p>
        </w:tc>
        <w:tc>
          <w:tcPr>
            <w:tcW w:w="3600" w:type="dxa"/>
            <w:shd w:val="clear" w:color="auto" w:fill="auto"/>
            <w:hideMark/>
          </w:tcPr>
          <w:p w14:paraId="4122E784" w14:textId="77777777" w:rsidR="001832A0" w:rsidRPr="00CB57E4" w:rsidRDefault="001832A0" w:rsidP="00A85ED8">
            <w:pPr>
              <w:pStyle w:val="NormalWeb"/>
              <w:jc w:val="center"/>
              <w:rPr>
                <w:sz w:val="18"/>
                <w:szCs w:val="18"/>
              </w:rPr>
            </w:pPr>
            <w:r w:rsidRPr="00CB57E4">
              <w:rPr>
                <w:sz w:val="18"/>
                <w:szCs w:val="18"/>
              </w:rPr>
              <w:t>68.1 (59.1 – 78.0)</w:t>
            </w:r>
          </w:p>
        </w:tc>
        <w:tc>
          <w:tcPr>
            <w:tcW w:w="3420" w:type="dxa"/>
            <w:shd w:val="clear" w:color="auto" w:fill="auto"/>
            <w:hideMark/>
          </w:tcPr>
          <w:p w14:paraId="731886CC" w14:textId="77777777" w:rsidR="001832A0" w:rsidRPr="00CB57E4" w:rsidRDefault="001832A0" w:rsidP="00A85ED8">
            <w:pPr>
              <w:pStyle w:val="NormalWeb"/>
              <w:jc w:val="center"/>
              <w:rPr>
                <w:sz w:val="18"/>
                <w:szCs w:val="18"/>
              </w:rPr>
            </w:pPr>
            <w:r w:rsidRPr="00CB57E4">
              <w:rPr>
                <w:sz w:val="18"/>
                <w:szCs w:val="18"/>
              </w:rPr>
              <w:t>87.7 (77.5 – 98.9)</w:t>
            </w:r>
          </w:p>
        </w:tc>
      </w:tr>
      <w:tr w:rsidR="00644A40" w:rsidRPr="00CB57E4" w14:paraId="62CCDB05" w14:textId="77777777" w:rsidTr="00FC2B23">
        <w:tc>
          <w:tcPr>
            <w:tcW w:w="0" w:type="auto"/>
            <w:shd w:val="clear" w:color="auto" w:fill="auto"/>
            <w:hideMark/>
          </w:tcPr>
          <w:p w14:paraId="6080E028" w14:textId="77777777" w:rsidR="001832A0" w:rsidRPr="00CB57E4" w:rsidRDefault="001832A0">
            <w:pPr>
              <w:pStyle w:val="NormalWeb"/>
              <w:rPr>
                <w:sz w:val="18"/>
                <w:szCs w:val="18"/>
              </w:rPr>
            </w:pPr>
            <w:r w:rsidRPr="00CB57E4">
              <w:rPr>
                <w:sz w:val="18"/>
                <w:szCs w:val="18"/>
              </w:rPr>
              <w:t>Hib-MenC</w:t>
            </w:r>
          </w:p>
        </w:tc>
        <w:tc>
          <w:tcPr>
            <w:tcW w:w="0" w:type="auto"/>
            <w:shd w:val="clear" w:color="auto" w:fill="auto"/>
            <w:hideMark/>
          </w:tcPr>
          <w:p w14:paraId="4B244316" w14:textId="77777777" w:rsidR="001832A0" w:rsidRPr="00CB57E4" w:rsidRDefault="001832A0" w:rsidP="00A85ED8">
            <w:pPr>
              <w:pStyle w:val="NormalWeb"/>
              <w:jc w:val="center"/>
              <w:rPr>
                <w:sz w:val="18"/>
                <w:szCs w:val="18"/>
              </w:rPr>
            </w:pPr>
            <w:r w:rsidRPr="00CB57E4">
              <w:rPr>
                <w:sz w:val="18"/>
                <w:szCs w:val="18"/>
              </w:rPr>
              <w:t>91</w:t>
            </w:r>
          </w:p>
        </w:tc>
        <w:tc>
          <w:tcPr>
            <w:tcW w:w="4174" w:type="dxa"/>
            <w:shd w:val="clear" w:color="auto" w:fill="auto"/>
            <w:hideMark/>
          </w:tcPr>
          <w:p w14:paraId="492E73B1" w14:textId="77777777" w:rsidR="001832A0" w:rsidRPr="00CB57E4" w:rsidRDefault="001832A0" w:rsidP="00A85ED8">
            <w:pPr>
              <w:pStyle w:val="NormalWeb"/>
              <w:jc w:val="center"/>
              <w:rPr>
                <w:sz w:val="18"/>
                <w:szCs w:val="18"/>
              </w:rPr>
            </w:pPr>
            <w:r w:rsidRPr="00CB57E4">
              <w:rPr>
                <w:sz w:val="18"/>
                <w:szCs w:val="18"/>
              </w:rPr>
              <w:t>155,851</w:t>
            </w:r>
          </w:p>
        </w:tc>
        <w:tc>
          <w:tcPr>
            <w:tcW w:w="3600" w:type="dxa"/>
            <w:shd w:val="clear" w:color="auto" w:fill="auto"/>
            <w:hideMark/>
          </w:tcPr>
          <w:p w14:paraId="161918D5" w14:textId="77777777" w:rsidR="001832A0" w:rsidRPr="00CB57E4" w:rsidRDefault="001832A0" w:rsidP="00A85ED8">
            <w:pPr>
              <w:pStyle w:val="NormalWeb"/>
              <w:jc w:val="center"/>
              <w:rPr>
                <w:sz w:val="18"/>
                <w:szCs w:val="18"/>
              </w:rPr>
            </w:pPr>
            <w:r w:rsidRPr="00CB57E4">
              <w:rPr>
                <w:sz w:val="18"/>
                <w:szCs w:val="18"/>
              </w:rPr>
              <w:t>58.4 (47.0 – 71.7)</w:t>
            </w:r>
          </w:p>
        </w:tc>
        <w:tc>
          <w:tcPr>
            <w:tcW w:w="3420" w:type="dxa"/>
            <w:shd w:val="clear" w:color="auto" w:fill="auto"/>
            <w:hideMark/>
          </w:tcPr>
          <w:p w14:paraId="5BDA5A73" w14:textId="77777777" w:rsidR="001832A0" w:rsidRPr="00CB57E4" w:rsidRDefault="001832A0" w:rsidP="00A85ED8">
            <w:pPr>
              <w:pStyle w:val="NormalWeb"/>
              <w:jc w:val="center"/>
              <w:rPr>
                <w:sz w:val="18"/>
                <w:szCs w:val="18"/>
              </w:rPr>
            </w:pPr>
            <w:r w:rsidRPr="00CB57E4">
              <w:rPr>
                <w:sz w:val="18"/>
                <w:szCs w:val="18"/>
              </w:rPr>
              <w:t>54.6 (46.7 – 63.5)</w:t>
            </w:r>
          </w:p>
        </w:tc>
      </w:tr>
      <w:tr w:rsidR="006D7A71" w:rsidRPr="00CB57E4" w14:paraId="57174EC1"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67FB4893" w14:textId="77777777" w:rsidR="001832A0" w:rsidRPr="00CB57E4" w:rsidRDefault="001832A0">
            <w:pPr>
              <w:pStyle w:val="NormalWeb"/>
              <w:rPr>
                <w:sz w:val="18"/>
                <w:szCs w:val="18"/>
              </w:rPr>
            </w:pPr>
            <w:r w:rsidRPr="00CB57E4">
              <w:rPr>
                <w:sz w:val="18"/>
                <w:szCs w:val="18"/>
              </w:rPr>
              <w:t>Varicella</w:t>
            </w:r>
          </w:p>
        </w:tc>
        <w:tc>
          <w:tcPr>
            <w:tcW w:w="0" w:type="auto"/>
            <w:shd w:val="clear" w:color="auto" w:fill="auto"/>
            <w:hideMark/>
          </w:tcPr>
          <w:p w14:paraId="2E1C0F9D" w14:textId="77777777" w:rsidR="001832A0" w:rsidRPr="00CB57E4" w:rsidRDefault="001832A0" w:rsidP="00A85ED8">
            <w:pPr>
              <w:pStyle w:val="NormalWeb"/>
              <w:jc w:val="center"/>
              <w:rPr>
                <w:sz w:val="18"/>
                <w:szCs w:val="18"/>
              </w:rPr>
            </w:pPr>
            <w:r w:rsidRPr="00CB57E4">
              <w:rPr>
                <w:sz w:val="18"/>
                <w:szCs w:val="18"/>
              </w:rPr>
              <w:t>20</w:t>
            </w:r>
          </w:p>
        </w:tc>
        <w:tc>
          <w:tcPr>
            <w:tcW w:w="4174" w:type="dxa"/>
            <w:shd w:val="clear" w:color="auto" w:fill="auto"/>
            <w:hideMark/>
          </w:tcPr>
          <w:p w14:paraId="058FB635" w14:textId="77777777" w:rsidR="001832A0" w:rsidRPr="00CB57E4" w:rsidRDefault="001832A0" w:rsidP="00A85ED8">
            <w:pPr>
              <w:pStyle w:val="NormalWeb"/>
              <w:jc w:val="center"/>
              <w:rPr>
                <w:sz w:val="18"/>
                <w:szCs w:val="18"/>
              </w:rPr>
            </w:pPr>
            <w:r w:rsidRPr="00CB57E4">
              <w:rPr>
                <w:sz w:val="18"/>
                <w:szCs w:val="18"/>
              </w:rPr>
              <w:t>16,036</w:t>
            </w:r>
          </w:p>
        </w:tc>
        <w:tc>
          <w:tcPr>
            <w:tcW w:w="3600" w:type="dxa"/>
            <w:shd w:val="clear" w:color="auto" w:fill="auto"/>
            <w:hideMark/>
          </w:tcPr>
          <w:p w14:paraId="754DBD42" w14:textId="77777777" w:rsidR="001832A0" w:rsidRPr="00CB57E4" w:rsidRDefault="001832A0" w:rsidP="00A85ED8">
            <w:pPr>
              <w:pStyle w:val="NormalWeb"/>
              <w:jc w:val="center"/>
              <w:rPr>
                <w:sz w:val="18"/>
                <w:szCs w:val="18"/>
              </w:rPr>
            </w:pPr>
            <w:r w:rsidRPr="00CB57E4">
              <w:rPr>
                <w:sz w:val="18"/>
                <w:szCs w:val="18"/>
              </w:rPr>
              <w:t>124.7 (76.2 – 192.6)</w:t>
            </w:r>
          </w:p>
        </w:tc>
        <w:tc>
          <w:tcPr>
            <w:tcW w:w="3420" w:type="dxa"/>
            <w:shd w:val="clear" w:color="auto" w:fill="auto"/>
            <w:hideMark/>
          </w:tcPr>
          <w:p w14:paraId="42627B0C" w14:textId="77777777" w:rsidR="001832A0" w:rsidRPr="00CB57E4" w:rsidRDefault="001832A0" w:rsidP="00A85ED8">
            <w:pPr>
              <w:pStyle w:val="NormalWeb"/>
              <w:jc w:val="center"/>
              <w:rPr>
                <w:sz w:val="18"/>
                <w:szCs w:val="18"/>
              </w:rPr>
            </w:pPr>
            <w:r w:rsidRPr="00CB57E4">
              <w:rPr>
                <w:sz w:val="18"/>
                <w:szCs w:val="18"/>
              </w:rPr>
              <w:t>173.0 (109.7 – 259.6)</w:t>
            </w:r>
          </w:p>
        </w:tc>
      </w:tr>
      <w:tr w:rsidR="00644A40" w:rsidRPr="00CB57E4" w14:paraId="0D6710E1" w14:textId="77777777" w:rsidTr="00FC2B23">
        <w:tc>
          <w:tcPr>
            <w:tcW w:w="0" w:type="auto"/>
            <w:shd w:val="clear" w:color="auto" w:fill="auto"/>
            <w:hideMark/>
          </w:tcPr>
          <w:p w14:paraId="34352252" w14:textId="77777777" w:rsidR="001832A0" w:rsidRPr="00CB57E4" w:rsidRDefault="001832A0">
            <w:pPr>
              <w:pStyle w:val="NormalWeb"/>
              <w:rPr>
                <w:sz w:val="18"/>
                <w:szCs w:val="18"/>
              </w:rPr>
            </w:pPr>
            <w:r w:rsidRPr="00CB57E4">
              <w:rPr>
                <w:sz w:val="18"/>
                <w:szCs w:val="18"/>
              </w:rPr>
              <w:t>Haemophilus influenzae type b</w:t>
            </w:r>
          </w:p>
        </w:tc>
        <w:tc>
          <w:tcPr>
            <w:tcW w:w="0" w:type="auto"/>
            <w:shd w:val="clear" w:color="auto" w:fill="auto"/>
            <w:hideMark/>
          </w:tcPr>
          <w:p w14:paraId="75728651" w14:textId="77777777" w:rsidR="001832A0" w:rsidRPr="00CB57E4" w:rsidRDefault="001832A0" w:rsidP="00A85ED8">
            <w:pPr>
              <w:pStyle w:val="NormalWeb"/>
              <w:jc w:val="center"/>
              <w:rPr>
                <w:sz w:val="18"/>
                <w:szCs w:val="18"/>
              </w:rPr>
            </w:pPr>
            <w:r w:rsidRPr="00CB57E4">
              <w:rPr>
                <w:sz w:val="18"/>
                <w:szCs w:val="18"/>
              </w:rPr>
              <w:t>13</w:t>
            </w:r>
          </w:p>
        </w:tc>
        <w:tc>
          <w:tcPr>
            <w:tcW w:w="4174" w:type="dxa"/>
            <w:shd w:val="clear" w:color="auto" w:fill="auto"/>
            <w:hideMark/>
          </w:tcPr>
          <w:p w14:paraId="4597CC29" w14:textId="77777777" w:rsidR="001832A0" w:rsidRPr="00CB57E4" w:rsidRDefault="001832A0" w:rsidP="00A85ED8">
            <w:pPr>
              <w:pStyle w:val="NormalWeb"/>
              <w:jc w:val="center"/>
              <w:rPr>
                <w:sz w:val="18"/>
                <w:szCs w:val="18"/>
              </w:rPr>
            </w:pPr>
            <w:r w:rsidRPr="00CB57E4">
              <w:rPr>
                <w:sz w:val="18"/>
                <w:szCs w:val="18"/>
              </w:rPr>
              <w:t>16,191</w:t>
            </w:r>
          </w:p>
        </w:tc>
        <w:tc>
          <w:tcPr>
            <w:tcW w:w="3600" w:type="dxa"/>
            <w:shd w:val="clear" w:color="auto" w:fill="auto"/>
            <w:hideMark/>
          </w:tcPr>
          <w:p w14:paraId="6B8008C0" w14:textId="77777777" w:rsidR="001832A0" w:rsidRPr="00CB57E4" w:rsidRDefault="001832A0" w:rsidP="00A85ED8">
            <w:pPr>
              <w:pStyle w:val="NormalWeb"/>
              <w:jc w:val="center"/>
              <w:rPr>
                <w:sz w:val="18"/>
                <w:szCs w:val="18"/>
              </w:rPr>
            </w:pPr>
            <w:r w:rsidRPr="00CB57E4">
              <w:rPr>
                <w:sz w:val="18"/>
                <w:szCs w:val="18"/>
              </w:rPr>
              <w:t>80.3 (42.8– 137.3)</w:t>
            </w:r>
          </w:p>
        </w:tc>
        <w:tc>
          <w:tcPr>
            <w:tcW w:w="3420" w:type="dxa"/>
            <w:shd w:val="clear" w:color="auto" w:fill="auto"/>
            <w:hideMark/>
          </w:tcPr>
          <w:p w14:paraId="29DC8F02" w14:textId="77777777" w:rsidR="001832A0" w:rsidRPr="00CB57E4" w:rsidRDefault="001832A0" w:rsidP="00A85ED8">
            <w:pPr>
              <w:pStyle w:val="NormalWeb"/>
              <w:jc w:val="center"/>
              <w:rPr>
                <w:sz w:val="18"/>
                <w:szCs w:val="18"/>
              </w:rPr>
            </w:pPr>
            <w:r w:rsidRPr="00CB57E4">
              <w:rPr>
                <w:sz w:val="18"/>
                <w:szCs w:val="18"/>
              </w:rPr>
              <w:t>36.7 (7.6– 107.2)</w:t>
            </w:r>
          </w:p>
        </w:tc>
      </w:tr>
      <w:tr w:rsidR="006D7A71" w:rsidRPr="00CB57E4" w14:paraId="4E98457D"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45FF3059" w14:textId="77777777" w:rsidR="001832A0" w:rsidRPr="00CB57E4" w:rsidRDefault="001832A0">
            <w:pPr>
              <w:pStyle w:val="NormalWeb"/>
              <w:rPr>
                <w:sz w:val="18"/>
                <w:szCs w:val="18"/>
              </w:rPr>
            </w:pPr>
            <w:r w:rsidRPr="00CB57E4">
              <w:rPr>
                <w:sz w:val="18"/>
                <w:szCs w:val="18"/>
              </w:rPr>
              <w:t>Hepatitis B</w:t>
            </w:r>
          </w:p>
        </w:tc>
        <w:tc>
          <w:tcPr>
            <w:tcW w:w="0" w:type="auto"/>
            <w:shd w:val="clear" w:color="auto" w:fill="auto"/>
            <w:hideMark/>
          </w:tcPr>
          <w:p w14:paraId="69EEB167" w14:textId="77777777" w:rsidR="001832A0" w:rsidRPr="00CB57E4" w:rsidRDefault="001832A0" w:rsidP="00A85ED8">
            <w:pPr>
              <w:pStyle w:val="NormalWeb"/>
              <w:jc w:val="center"/>
              <w:rPr>
                <w:sz w:val="18"/>
                <w:szCs w:val="18"/>
              </w:rPr>
            </w:pPr>
            <w:r w:rsidRPr="00CB57E4">
              <w:rPr>
                <w:sz w:val="18"/>
                <w:szCs w:val="18"/>
              </w:rPr>
              <w:t>10</w:t>
            </w:r>
          </w:p>
        </w:tc>
        <w:tc>
          <w:tcPr>
            <w:tcW w:w="4174" w:type="dxa"/>
            <w:shd w:val="clear" w:color="auto" w:fill="auto"/>
            <w:hideMark/>
          </w:tcPr>
          <w:p w14:paraId="0518ABEA" w14:textId="77777777" w:rsidR="001832A0" w:rsidRPr="00CB57E4" w:rsidRDefault="001832A0" w:rsidP="00A85ED8">
            <w:pPr>
              <w:pStyle w:val="NormalWeb"/>
              <w:jc w:val="center"/>
              <w:rPr>
                <w:sz w:val="18"/>
                <w:szCs w:val="18"/>
              </w:rPr>
            </w:pPr>
            <w:r w:rsidRPr="00CB57E4">
              <w:rPr>
                <w:sz w:val="18"/>
                <w:szCs w:val="18"/>
              </w:rPr>
              <w:t>31,066</w:t>
            </w:r>
          </w:p>
        </w:tc>
        <w:tc>
          <w:tcPr>
            <w:tcW w:w="3600" w:type="dxa"/>
            <w:shd w:val="clear" w:color="auto" w:fill="auto"/>
            <w:hideMark/>
          </w:tcPr>
          <w:p w14:paraId="1E87EE47" w14:textId="77777777" w:rsidR="001832A0" w:rsidRPr="00CB57E4" w:rsidRDefault="001832A0" w:rsidP="00A85ED8">
            <w:pPr>
              <w:pStyle w:val="NormalWeb"/>
              <w:jc w:val="center"/>
              <w:rPr>
                <w:sz w:val="18"/>
                <w:szCs w:val="18"/>
              </w:rPr>
            </w:pPr>
            <w:r w:rsidRPr="00CB57E4">
              <w:rPr>
                <w:sz w:val="18"/>
                <w:szCs w:val="18"/>
              </w:rPr>
              <w:t>32.2 (15.4 – 59.2)</w:t>
            </w:r>
          </w:p>
        </w:tc>
        <w:tc>
          <w:tcPr>
            <w:tcW w:w="3420" w:type="dxa"/>
            <w:shd w:val="clear" w:color="auto" w:fill="auto"/>
            <w:hideMark/>
          </w:tcPr>
          <w:p w14:paraId="5FCCCB18" w14:textId="77777777" w:rsidR="001832A0" w:rsidRPr="00CB57E4" w:rsidRDefault="001832A0" w:rsidP="00A85ED8">
            <w:pPr>
              <w:pStyle w:val="NormalWeb"/>
              <w:jc w:val="center"/>
              <w:rPr>
                <w:sz w:val="18"/>
                <w:szCs w:val="18"/>
              </w:rPr>
            </w:pPr>
            <w:r w:rsidRPr="00CB57E4">
              <w:rPr>
                <w:sz w:val="18"/>
                <w:szCs w:val="18"/>
              </w:rPr>
              <w:t>25.8 (11.1 – 50.9)</w:t>
            </w:r>
          </w:p>
        </w:tc>
      </w:tr>
      <w:tr w:rsidR="00644A40" w:rsidRPr="00CB57E4" w14:paraId="17CEB84C" w14:textId="77777777" w:rsidTr="00FC2B23">
        <w:tc>
          <w:tcPr>
            <w:tcW w:w="0" w:type="auto"/>
            <w:shd w:val="clear" w:color="auto" w:fill="auto"/>
            <w:hideMark/>
          </w:tcPr>
          <w:p w14:paraId="42AEAA38" w14:textId="77777777" w:rsidR="001832A0" w:rsidRPr="00CB57E4" w:rsidRDefault="001832A0">
            <w:pPr>
              <w:pStyle w:val="NormalWeb"/>
              <w:rPr>
                <w:sz w:val="18"/>
                <w:szCs w:val="18"/>
              </w:rPr>
            </w:pPr>
            <w:r w:rsidRPr="00CB57E4">
              <w:rPr>
                <w:sz w:val="18"/>
                <w:szCs w:val="18"/>
              </w:rPr>
              <w:t>Meningococcal C conjugate</w:t>
            </w:r>
          </w:p>
        </w:tc>
        <w:tc>
          <w:tcPr>
            <w:tcW w:w="0" w:type="auto"/>
            <w:shd w:val="clear" w:color="auto" w:fill="auto"/>
            <w:hideMark/>
          </w:tcPr>
          <w:p w14:paraId="41C51011" w14:textId="77777777" w:rsidR="001832A0" w:rsidRPr="00CB57E4" w:rsidRDefault="001832A0" w:rsidP="00A85ED8">
            <w:pPr>
              <w:pStyle w:val="NormalWeb"/>
              <w:jc w:val="center"/>
              <w:rPr>
                <w:sz w:val="18"/>
                <w:szCs w:val="18"/>
              </w:rPr>
            </w:pPr>
            <w:r w:rsidRPr="00CB57E4">
              <w:rPr>
                <w:sz w:val="18"/>
                <w:szCs w:val="18"/>
              </w:rPr>
              <w:t>2</w:t>
            </w:r>
          </w:p>
        </w:tc>
        <w:tc>
          <w:tcPr>
            <w:tcW w:w="4174" w:type="dxa"/>
            <w:shd w:val="clear" w:color="auto" w:fill="auto"/>
            <w:hideMark/>
          </w:tcPr>
          <w:p w14:paraId="40064154" w14:textId="77777777" w:rsidR="001832A0" w:rsidRPr="00CB57E4" w:rsidRDefault="001832A0" w:rsidP="00A85ED8">
            <w:pPr>
              <w:pStyle w:val="NormalWeb"/>
              <w:jc w:val="center"/>
              <w:rPr>
                <w:sz w:val="18"/>
                <w:szCs w:val="18"/>
              </w:rPr>
            </w:pPr>
            <w:r w:rsidRPr="00CB57E4">
              <w:rPr>
                <w:sz w:val="18"/>
                <w:szCs w:val="18"/>
              </w:rPr>
              <w:t>5,126</w:t>
            </w:r>
          </w:p>
        </w:tc>
        <w:tc>
          <w:tcPr>
            <w:tcW w:w="3600" w:type="dxa"/>
            <w:shd w:val="clear" w:color="auto" w:fill="auto"/>
            <w:hideMark/>
          </w:tcPr>
          <w:p w14:paraId="4B051599" w14:textId="77777777" w:rsidR="001832A0" w:rsidRPr="00CB57E4" w:rsidRDefault="001832A0" w:rsidP="00A85ED8">
            <w:pPr>
              <w:pStyle w:val="NormalWeb"/>
              <w:jc w:val="center"/>
              <w:rPr>
                <w:sz w:val="18"/>
                <w:szCs w:val="18"/>
              </w:rPr>
            </w:pPr>
            <w:r w:rsidRPr="00CB57E4">
              <w:rPr>
                <w:sz w:val="18"/>
                <w:szCs w:val="18"/>
              </w:rPr>
              <w:t>39.0 (4.7– 140.9)</w:t>
            </w:r>
          </w:p>
        </w:tc>
        <w:tc>
          <w:tcPr>
            <w:tcW w:w="3420" w:type="dxa"/>
            <w:shd w:val="clear" w:color="auto" w:fill="auto"/>
            <w:hideMark/>
          </w:tcPr>
          <w:p w14:paraId="1D1A5F82" w14:textId="77777777" w:rsidR="001832A0" w:rsidRPr="00CB57E4" w:rsidRDefault="001832A0" w:rsidP="00A85ED8">
            <w:pPr>
              <w:pStyle w:val="NormalWeb"/>
              <w:jc w:val="center"/>
              <w:rPr>
                <w:sz w:val="18"/>
                <w:szCs w:val="18"/>
              </w:rPr>
            </w:pPr>
            <w:r w:rsidRPr="00CB57E4">
              <w:rPr>
                <w:sz w:val="18"/>
                <w:szCs w:val="18"/>
              </w:rPr>
              <w:t>161.7 (86.1– 276.5)</w:t>
            </w:r>
          </w:p>
        </w:tc>
      </w:tr>
      <w:tr w:rsidR="00205EF3" w:rsidRPr="00205EF3" w14:paraId="045700B3" w14:textId="77777777" w:rsidTr="00205EF3">
        <w:trPr>
          <w:cnfStyle w:val="000000010000" w:firstRow="0" w:lastRow="0" w:firstColumn="0" w:lastColumn="0" w:oddVBand="0" w:evenVBand="0" w:oddHBand="0" w:evenHBand="1" w:firstRowFirstColumn="0" w:firstRowLastColumn="0" w:lastRowFirstColumn="0" w:lastRowLastColumn="0"/>
        </w:trPr>
        <w:tc>
          <w:tcPr>
            <w:tcW w:w="0" w:type="auto"/>
            <w:shd w:val="clear" w:color="auto" w:fill="808080" w:themeFill="background1" w:themeFillShade="80"/>
            <w:hideMark/>
          </w:tcPr>
          <w:p w14:paraId="70810CAE" w14:textId="77777777" w:rsidR="001832A0" w:rsidRPr="00205EF3" w:rsidRDefault="001832A0">
            <w:pPr>
              <w:pStyle w:val="NormalWeb"/>
              <w:rPr>
                <w:b/>
                <w:color w:val="FFFFFF" w:themeColor="background1"/>
                <w:sz w:val="18"/>
                <w:szCs w:val="18"/>
              </w:rPr>
            </w:pPr>
            <w:r w:rsidRPr="00205EF3">
              <w:rPr>
                <w:b/>
                <w:color w:val="FFFFFF" w:themeColor="background1"/>
                <w:sz w:val="18"/>
                <w:szCs w:val="18"/>
              </w:rPr>
              <w:t>7–17 years</w:t>
            </w:r>
          </w:p>
        </w:tc>
        <w:tc>
          <w:tcPr>
            <w:tcW w:w="0" w:type="auto"/>
            <w:shd w:val="clear" w:color="auto" w:fill="808080" w:themeFill="background1" w:themeFillShade="80"/>
            <w:hideMark/>
          </w:tcPr>
          <w:p w14:paraId="21D05D95" w14:textId="77777777" w:rsidR="001832A0" w:rsidRPr="00205EF3" w:rsidRDefault="001832A0" w:rsidP="00A85ED8">
            <w:pPr>
              <w:jc w:val="center"/>
              <w:rPr>
                <w:b/>
                <w:color w:val="FFFFFF" w:themeColor="background1"/>
                <w:sz w:val="18"/>
                <w:szCs w:val="18"/>
              </w:rPr>
            </w:pPr>
          </w:p>
        </w:tc>
        <w:tc>
          <w:tcPr>
            <w:tcW w:w="4174" w:type="dxa"/>
            <w:shd w:val="clear" w:color="auto" w:fill="808080" w:themeFill="background1" w:themeFillShade="80"/>
            <w:hideMark/>
          </w:tcPr>
          <w:p w14:paraId="51A2E609" w14:textId="77777777" w:rsidR="001832A0" w:rsidRPr="00205EF3" w:rsidRDefault="001832A0" w:rsidP="00A85ED8">
            <w:pPr>
              <w:jc w:val="center"/>
              <w:rPr>
                <w:rFonts w:eastAsia="Times New Roman"/>
                <w:b/>
                <w:color w:val="FFFFFF" w:themeColor="background1"/>
                <w:sz w:val="18"/>
                <w:szCs w:val="18"/>
              </w:rPr>
            </w:pPr>
          </w:p>
        </w:tc>
        <w:tc>
          <w:tcPr>
            <w:tcW w:w="3600" w:type="dxa"/>
            <w:shd w:val="clear" w:color="auto" w:fill="808080" w:themeFill="background1" w:themeFillShade="80"/>
            <w:hideMark/>
          </w:tcPr>
          <w:p w14:paraId="715FB6FE" w14:textId="77777777" w:rsidR="001832A0" w:rsidRPr="00205EF3" w:rsidRDefault="001832A0" w:rsidP="00A85ED8">
            <w:pPr>
              <w:jc w:val="center"/>
              <w:rPr>
                <w:rFonts w:eastAsia="Times New Roman"/>
                <w:b/>
                <w:color w:val="FFFFFF" w:themeColor="background1"/>
                <w:sz w:val="18"/>
                <w:szCs w:val="18"/>
              </w:rPr>
            </w:pPr>
          </w:p>
        </w:tc>
        <w:tc>
          <w:tcPr>
            <w:tcW w:w="3420" w:type="dxa"/>
            <w:shd w:val="clear" w:color="auto" w:fill="808080" w:themeFill="background1" w:themeFillShade="80"/>
            <w:hideMark/>
          </w:tcPr>
          <w:p w14:paraId="7FFC124D" w14:textId="77777777" w:rsidR="001832A0" w:rsidRPr="00205EF3" w:rsidRDefault="001832A0" w:rsidP="00A85ED8">
            <w:pPr>
              <w:jc w:val="center"/>
              <w:rPr>
                <w:rFonts w:eastAsia="Times New Roman"/>
                <w:b/>
                <w:color w:val="FFFFFF" w:themeColor="background1"/>
                <w:sz w:val="18"/>
                <w:szCs w:val="18"/>
              </w:rPr>
            </w:pPr>
          </w:p>
        </w:tc>
      </w:tr>
      <w:tr w:rsidR="00644A40" w:rsidRPr="00CB57E4" w14:paraId="65B31547" w14:textId="77777777" w:rsidTr="00FC2B23">
        <w:tc>
          <w:tcPr>
            <w:tcW w:w="0" w:type="auto"/>
            <w:shd w:val="clear" w:color="auto" w:fill="auto"/>
            <w:hideMark/>
          </w:tcPr>
          <w:p w14:paraId="18C275B9" w14:textId="77777777" w:rsidR="001832A0" w:rsidRPr="00CB57E4" w:rsidRDefault="001832A0">
            <w:pPr>
              <w:pStyle w:val="NormalWeb"/>
              <w:rPr>
                <w:sz w:val="18"/>
                <w:szCs w:val="18"/>
              </w:rPr>
            </w:pPr>
            <w:r w:rsidRPr="00CB57E4">
              <w:rPr>
                <w:sz w:val="18"/>
                <w:szCs w:val="18"/>
              </w:rPr>
              <w:t>HPV</w:t>
            </w:r>
          </w:p>
        </w:tc>
        <w:tc>
          <w:tcPr>
            <w:tcW w:w="0" w:type="auto"/>
            <w:shd w:val="clear" w:color="auto" w:fill="auto"/>
            <w:hideMark/>
          </w:tcPr>
          <w:p w14:paraId="772AF180" w14:textId="77777777" w:rsidR="001832A0" w:rsidRPr="00CB57E4" w:rsidRDefault="001832A0" w:rsidP="00A85ED8">
            <w:pPr>
              <w:pStyle w:val="NormalWeb"/>
              <w:jc w:val="center"/>
              <w:rPr>
                <w:sz w:val="18"/>
                <w:szCs w:val="18"/>
              </w:rPr>
            </w:pPr>
            <w:r w:rsidRPr="00CB57E4">
              <w:rPr>
                <w:sz w:val="18"/>
                <w:szCs w:val="18"/>
              </w:rPr>
              <w:t>288</w:t>
            </w:r>
          </w:p>
        </w:tc>
        <w:tc>
          <w:tcPr>
            <w:tcW w:w="4174" w:type="dxa"/>
            <w:shd w:val="clear" w:color="auto" w:fill="auto"/>
            <w:hideMark/>
          </w:tcPr>
          <w:p w14:paraId="457FBDA7" w14:textId="77777777" w:rsidR="001832A0" w:rsidRPr="00CB57E4" w:rsidRDefault="001832A0" w:rsidP="00A85ED8">
            <w:pPr>
              <w:pStyle w:val="NormalWeb"/>
              <w:jc w:val="center"/>
              <w:rPr>
                <w:sz w:val="18"/>
                <w:szCs w:val="18"/>
              </w:rPr>
            </w:pPr>
            <w:r w:rsidRPr="00CB57E4">
              <w:rPr>
                <w:sz w:val="18"/>
                <w:szCs w:val="18"/>
              </w:rPr>
              <w:t>500</w:t>
            </w:r>
            <w:r w:rsidR="00A22D08">
              <w:rPr>
                <w:sz w:val="18"/>
                <w:szCs w:val="18"/>
              </w:rPr>
              <w:t>,</w:t>
            </w:r>
            <w:r w:rsidRPr="00CB57E4">
              <w:rPr>
                <w:sz w:val="18"/>
                <w:szCs w:val="18"/>
              </w:rPr>
              <w:t>522</w:t>
            </w:r>
          </w:p>
        </w:tc>
        <w:tc>
          <w:tcPr>
            <w:tcW w:w="3600" w:type="dxa"/>
            <w:shd w:val="clear" w:color="auto" w:fill="auto"/>
            <w:hideMark/>
          </w:tcPr>
          <w:p w14:paraId="509B76C6" w14:textId="77777777" w:rsidR="001832A0" w:rsidRPr="00CB57E4" w:rsidRDefault="001832A0" w:rsidP="00A85ED8">
            <w:pPr>
              <w:pStyle w:val="NormalWeb"/>
              <w:jc w:val="center"/>
              <w:rPr>
                <w:sz w:val="18"/>
                <w:szCs w:val="18"/>
              </w:rPr>
            </w:pPr>
            <w:r w:rsidRPr="00CB57E4">
              <w:rPr>
                <w:sz w:val="18"/>
                <w:szCs w:val="18"/>
              </w:rPr>
              <w:t>57.5 (51.1 – 64.6)</w:t>
            </w:r>
          </w:p>
        </w:tc>
        <w:tc>
          <w:tcPr>
            <w:tcW w:w="3420" w:type="dxa"/>
            <w:shd w:val="clear" w:color="auto" w:fill="auto"/>
            <w:hideMark/>
          </w:tcPr>
          <w:p w14:paraId="7728723A" w14:textId="77777777" w:rsidR="001832A0" w:rsidRPr="00CB57E4" w:rsidRDefault="001832A0" w:rsidP="00A85ED8">
            <w:pPr>
              <w:pStyle w:val="NormalWeb"/>
              <w:jc w:val="center"/>
              <w:rPr>
                <w:sz w:val="18"/>
                <w:szCs w:val="18"/>
              </w:rPr>
            </w:pPr>
            <w:r w:rsidRPr="00CB57E4">
              <w:rPr>
                <w:sz w:val="18"/>
                <w:szCs w:val="18"/>
              </w:rPr>
              <w:t>–</w:t>
            </w:r>
          </w:p>
        </w:tc>
      </w:tr>
      <w:tr w:rsidR="006D7A71" w:rsidRPr="00CB57E4" w14:paraId="65C1C8A1"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22442886" w14:textId="77777777" w:rsidR="001832A0" w:rsidRPr="00CB57E4" w:rsidRDefault="001832A0">
            <w:pPr>
              <w:pStyle w:val="NormalWeb"/>
              <w:rPr>
                <w:sz w:val="18"/>
                <w:szCs w:val="18"/>
              </w:rPr>
            </w:pPr>
            <w:r w:rsidRPr="00CB57E4">
              <w:rPr>
                <w:sz w:val="18"/>
                <w:szCs w:val="18"/>
              </w:rPr>
              <w:t>dTpa</w:t>
            </w:r>
          </w:p>
        </w:tc>
        <w:tc>
          <w:tcPr>
            <w:tcW w:w="0" w:type="auto"/>
            <w:shd w:val="clear" w:color="auto" w:fill="auto"/>
            <w:hideMark/>
          </w:tcPr>
          <w:p w14:paraId="2BD36D74" w14:textId="77777777" w:rsidR="001832A0" w:rsidRPr="00CB57E4" w:rsidRDefault="001832A0" w:rsidP="00A85ED8">
            <w:pPr>
              <w:pStyle w:val="NormalWeb"/>
              <w:jc w:val="center"/>
              <w:rPr>
                <w:sz w:val="18"/>
                <w:szCs w:val="18"/>
              </w:rPr>
            </w:pPr>
            <w:r w:rsidRPr="00CB57E4">
              <w:rPr>
                <w:sz w:val="18"/>
                <w:szCs w:val="18"/>
              </w:rPr>
              <w:t>219</w:t>
            </w:r>
          </w:p>
        </w:tc>
        <w:tc>
          <w:tcPr>
            <w:tcW w:w="4174" w:type="dxa"/>
            <w:shd w:val="clear" w:color="auto" w:fill="auto"/>
            <w:hideMark/>
          </w:tcPr>
          <w:p w14:paraId="691ACDA2" w14:textId="77777777" w:rsidR="001832A0" w:rsidRPr="00CB57E4" w:rsidRDefault="001832A0" w:rsidP="00A85ED8">
            <w:pPr>
              <w:pStyle w:val="NormalWeb"/>
              <w:jc w:val="center"/>
              <w:rPr>
                <w:sz w:val="18"/>
                <w:szCs w:val="18"/>
              </w:rPr>
            </w:pPr>
            <w:r w:rsidRPr="00CB57E4">
              <w:rPr>
                <w:sz w:val="18"/>
                <w:szCs w:val="18"/>
              </w:rPr>
              <w:t>161</w:t>
            </w:r>
            <w:r w:rsidR="00A22D08">
              <w:rPr>
                <w:sz w:val="18"/>
                <w:szCs w:val="18"/>
              </w:rPr>
              <w:t>,</w:t>
            </w:r>
            <w:r w:rsidRPr="00CB57E4">
              <w:rPr>
                <w:sz w:val="18"/>
                <w:szCs w:val="18"/>
              </w:rPr>
              <w:t>438</w:t>
            </w:r>
          </w:p>
        </w:tc>
        <w:tc>
          <w:tcPr>
            <w:tcW w:w="3600" w:type="dxa"/>
            <w:shd w:val="clear" w:color="auto" w:fill="auto"/>
            <w:hideMark/>
          </w:tcPr>
          <w:p w14:paraId="444FBF88" w14:textId="77777777" w:rsidR="001832A0" w:rsidRPr="00CB57E4" w:rsidRDefault="001832A0" w:rsidP="00A85ED8">
            <w:pPr>
              <w:pStyle w:val="NormalWeb"/>
              <w:jc w:val="center"/>
              <w:rPr>
                <w:sz w:val="18"/>
                <w:szCs w:val="18"/>
              </w:rPr>
            </w:pPr>
            <w:r w:rsidRPr="00CB57E4">
              <w:rPr>
                <w:sz w:val="18"/>
                <w:szCs w:val="18"/>
              </w:rPr>
              <w:t>135.7 (118.3 – 154.8)</w:t>
            </w:r>
          </w:p>
        </w:tc>
        <w:tc>
          <w:tcPr>
            <w:tcW w:w="3420" w:type="dxa"/>
            <w:shd w:val="clear" w:color="auto" w:fill="auto"/>
            <w:hideMark/>
          </w:tcPr>
          <w:p w14:paraId="42738BAA" w14:textId="77777777" w:rsidR="001832A0" w:rsidRPr="00CB57E4" w:rsidRDefault="001832A0" w:rsidP="00A85ED8">
            <w:pPr>
              <w:pStyle w:val="NormalWeb"/>
              <w:jc w:val="center"/>
              <w:rPr>
                <w:sz w:val="18"/>
                <w:szCs w:val="18"/>
              </w:rPr>
            </w:pPr>
            <w:r w:rsidRPr="00CB57E4">
              <w:rPr>
                <w:sz w:val="18"/>
                <w:szCs w:val="18"/>
              </w:rPr>
              <w:t>–</w:t>
            </w:r>
          </w:p>
        </w:tc>
      </w:tr>
      <w:tr w:rsidR="00644A40" w:rsidRPr="00CB57E4" w14:paraId="7A9214A4" w14:textId="77777777" w:rsidTr="00FC2B23">
        <w:tc>
          <w:tcPr>
            <w:tcW w:w="0" w:type="auto"/>
            <w:shd w:val="clear" w:color="auto" w:fill="auto"/>
            <w:hideMark/>
          </w:tcPr>
          <w:p w14:paraId="563ABA74" w14:textId="77777777" w:rsidR="001832A0" w:rsidRPr="00CB57E4" w:rsidRDefault="001832A0">
            <w:pPr>
              <w:pStyle w:val="NormalWeb"/>
              <w:rPr>
                <w:sz w:val="18"/>
                <w:szCs w:val="18"/>
              </w:rPr>
            </w:pPr>
            <w:r w:rsidRPr="00CB57E4">
              <w:rPr>
                <w:sz w:val="18"/>
                <w:szCs w:val="18"/>
              </w:rPr>
              <w:t>Meningococcal ACWY</w:t>
            </w:r>
          </w:p>
        </w:tc>
        <w:tc>
          <w:tcPr>
            <w:tcW w:w="0" w:type="auto"/>
            <w:shd w:val="clear" w:color="auto" w:fill="auto"/>
            <w:hideMark/>
          </w:tcPr>
          <w:p w14:paraId="260FD88C" w14:textId="77777777" w:rsidR="001832A0" w:rsidRPr="00CB57E4" w:rsidRDefault="001832A0" w:rsidP="00A85ED8">
            <w:pPr>
              <w:pStyle w:val="NormalWeb"/>
              <w:jc w:val="center"/>
              <w:rPr>
                <w:sz w:val="18"/>
                <w:szCs w:val="18"/>
              </w:rPr>
            </w:pPr>
            <w:r w:rsidRPr="00CB57E4">
              <w:rPr>
                <w:sz w:val="18"/>
                <w:szCs w:val="18"/>
              </w:rPr>
              <w:t>147</w:t>
            </w:r>
          </w:p>
        </w:tc>
        <w:tc>
          <w:tcPr>
            <w:tcW w:w="4174" w:type="dxa"/>
            <w:shd w:val="clear" w:color="auto" w:fill="auto"/>
            <w:hideMark/>
          </w:tcPr>
          <w:p w14:paraId="48F3359F" w14:textId="77777777" w:rsidR="001832A0" w:rsidRPr="00CB57E4" w:rsidRDefault="001832A0" w:rsidP="00A85ED8">
            <w:pPr>
              <w:pStyle w:val="NormalWeb"/>
              <w:jc w:val="center"/>
              <w:rPr>
                <w:sz w:val="18"/>
                <w:szCs w:val="18"/>
              </w:rPr>
            </w:pPr>
            <w:r w:rsidRPr="00CB57E4">
              <w:rPr>
                <w:sz w:val="18"/>
                <w:szCs w:val="18"/>
              </w:rPr>
              <w:t>232</w:t>
            </w:r>
            <w:r w:rsidR="00A22D08">
              <w:rPr>
                <w:sz w:val="18"/>
                <w:szCs w:val="18"/>
              </w:rPr>
              <w:t>,</w:t>
            </w:r>
            <w:r w:rsidRPr="00CB57E4">
              <w:rPr>
                <w:sz w:val="18"/>
                <w:szCs w:val="18"/>
              </w:rPr>
              <w:t>731</w:t>
            </w:r>
          </w:p>
        </w:tc>
        <w:tc>
          <w:tcPr>
            <w:tcW w:w="3600" w:type="dxa"/>
            <w:shd w:val="clear" w:color="auto" w:fill="auto"/>
            <w:hideMark/>
          </w:tcPr>
          <w:p w14:paraId="355CE888" w14:textId="77777777" w:rsidR="001832A0" w:rsidRPr="00CB57E4" w:rsidRDefault="001832A0" w:rsidP="00A85ED8">
            <w:pPr>
              <w:pStyle w:val="NormalWeb"/>
              <w:jc w:val="center"/>
              <w:rPr>
                <w:sz w:val="18"/>
                <w:szCs w:val="18"/>
              </w:rPr>
            </w:pPr>
            <w:r w:rsidRPr="00CB57E4">
              <w:rPr>
                <w:sz w:val="18"/>
                <w:szCs w:val="18"/>
              </w:rPr>
              <w:t>63.2 (53.4 – 74.2)</w:t>
            </w:r>
          </w:p>
        </w:tc>
        <w:tc>
          <w:tcPr>
            <w:tcW w:w="3420" w:type="dxa"/>
            <w:shd w:val="clear" w:color="auto" w:fill="auto"/>
            <w:hideMark/>
          </w:tcPr>
          <w:p w14:paraId="48518618" w14:textId="77777777" w:rsidR="001832A0" w:rsidRPr="00CB57E4" w:rsidRDefault="001832A0" w:rsidP="00A85ED8">
            <w:pPr>
              <w:pStyle w:val="NormalWeb"/>
              <w:jc w:val="center"/>
              <w:rPr>
                <w:sz w:val="18"/>
                <w:szCs w:val="18"/>
              </w:rPr>
            </w:pPr>
            <w:r w:rsidRPr="00CB57E4">
              <w:rPr>
                <w:sz w:val="18"/>
                <w:szCs w:val="18"/>
              </w:rPr>
              <w:t>–</w:t>
            </w:r>
          </w:p>
        </w:tc>
      </w:tr>
      <w:tr w:rsidR="006D7A71" w:rsidRPr="00CB57E4" w14:paraId="5194E505"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512ED42F" w14:textId="77777777" w:rsidR="001832A0" w:rsidRPr="00CB57E4" w:rsidRDefault="001832A0">
            <w:pPr>
              <w:pStyle w:val="NormalWeb"/>
              <w:rPr>
                <w:sz w:val="18"/>
                <w:szCs w:val="18"/>
              </w:rPr>
            </w:pPr>
            <w:r w:rsidRPr="00CB57E4">
              <w:rPr>
                <w:sz w:val="18"/>
                <w:szCs w:val="18"/>
              </w:rPr>
              <w:t>Seasonal influenza</w:t>
            </w:r>
          </w:p>
        </w:tc>
        <w:tc>
          <w:tcPr>
            <w:tcW w:w="0" w:type="auto"/>
            <w:shd w:val="clear" w:color="auto" w:fill="auto"/>
            <w:hideMark/>
          </w:tcPr>
          <w:p w14:paraId="0C8EEB9D" w14:textId="77777777" w:rsidR="001832A0" w:rsidRPr="00CB57E4" w:rsidRDefault="001832A0" w:rsidP="00A85ED8">
            <w:pPr>
              <w:pStyle w:val="NormalWeb"/>
              <w:jc w:val="center"/>
              <w:rPr>
                <w:sz w:val="18"/>
                <w:szCs w:val="18"/>
              </w:rPr>
            </w:pPr>
            <w:r w:rsidRPr="00CB57E4">
              <w:rPr>
                <w:sz w:val="18"/>
                <w:szCs w:val="18"/>
              </w:rPr>
              <w:t>93</w:t>
            </w:r>
          </w:p>
        </w:tc>
        <w:tc>
          <w:tcPr>
            <w:tcW w:w="4174" w:type="dxa"/>
            <w:shd w:val="clear" w:color="auto" w:fill="auto"/>
            <w:hideMark/>
          </w:tcPr>
          <w:p w14:paraId="61F1A606" w14:textId="77777777" w:rsidR="001832A0" w:rsidRPr="00CB57E4" w:rsidRDefault="001832A0" w:rsidP="00A85ED8">
            <w:pPr>
              <w:pStyle w:val="NormalWeb"/>
              <w:jc w:val="center"/>
              <w:rPr>
                <w:sz w:val="18"/>
                <w:szCs w:val="18"/>
              </w:rPr>
            </w:pPr>
            <w:r w:rsidRPr="00CB57E4">
              <w:rPr>
                <w:sz w:val="18"/>
                <w:szCs w:val="18"/>
              </w:rPr>
              <w:t>381</w:t>
            </w:r>
            <w:r w:rsidR="00A22D08">
              <w:rPr>
                <w:sz w:val="18"/>
                <w:szCs w:val="18"/>
              </w:rPr>
              <w:t>,</w:t>
            </w:r>
            <w:r w:rsidRPr="00CB57E4">
              <w:rPr>
                <w:sz w:val="18"/>
                <w:szCs w:val="18"/>
              </w:rPr>
              <w:t>689</w:t>
            </w:r>
          </w:p>
        </w:tc>
        <w:tc>
          <w:tcPr>
            <w:tcW w:w="3600" w:type="dxa"/>
            <w:shd w:val="clear" w:color="auto" w:fill="auto"/>
            <w:hideMark/>
          </w:tcPr>
          <w:p w14:paraId="0E7B12AB" w14:textId="77777777" w:rsidR="001832A0" w:rsidRPr="00CB57E4" w:rsidRDefault="001832A0" w:rsidP="00A85ED8">
            <w:pPr>
              <w:pStyle w:val="NormalWeb"/>
              <w:jc w:val="center"/>
              <w:rPr>
                <w:sz w:val="18"/>
                <w:szCs w:val="18"/>
              </w:rPr>
            </w:pPr>
            <w:r w:rsidRPr="00CB57E4">
              <w:rPr>
                <w:sz w:val="18"/>
                <w:szCs w:val="18"/>
              </w:rPr>
              <w:t>24.4 (19.7 – 29.8)</w:t>
            </w:r>
          </w:p>
        </w:tc>
        <w:tc>
          <w:tcPr>
            <w:tcW w:w="3420" w:type="dxa"/>
            <w:shd w:val="clear" w:color="auto" w:fill="auto"/>
            <w:hideMark/>
          </w:tcPr>
          <w:p w14:paraId="2287DF79" w14:textId="77777777" w:rsidR="001832A0" w:rsidRPr="00CB57E4" w:rsidRDefault="001832A0" w:rsidP="00A85ED8">
            <w:pPr>
              <w:pStyle w:val="NormalWeb"/>
              <w:jc w:val="center"/>
              <w:rPr>
                <w:sz w:val="18"/>
                <w:szCs w:val="18"/>
              </w:rPr>
            </w:pPr>
            <w:r w:rsidRPr="00CB57E4">
              <w:rPr>
                <w:sz w:val="18"/>
                <w:szCs w:val="18"/>
              </w:rPr>
              <w:t>–</w:t>
            </w:r>
          </w:p>
        </w:tc>
      </w:tr>
      <w:tr w:rsidR="00644A40" w:rsidRPr="00CB57E4" w14:paraId="3E8254E8" w14:textId="77777777" w:rsidTr="00FC2B23">
        <w:tc>
          <w:tcPr>
            <w:tcW w:w="0" w:type="auto"/>
            <w:shd w:val="clear" w:color="auto" w:fill="auto"/>
            <w:hideMark/>
          </w:tcPr>
          <w:p w14:paraId="5822D645" w14:textId="77777777" w:rsidR="001832A0" w:rsidRPr="00CB57E4" w:rsidRDefault="001832A0">
            <w:pPr>
              <w:pStyle w:val="NormalWeb"/>
              <w:rPr>
                <w:sz w:val="18"/>
                <w:szCs w:val="18"/>
              </w:rPr>
            </w:pPr>
            <w:r w:rsidRPr="00CB57E4">
              <w:rPr>
                <w:sz w:val="18"/>
                <w:szCs w:val="18"/>
              </w:rPr>
              <w:t>Meningococcal B</w:t>
            </w:r>
          </w:p>
        </w:tc>
        <w:tc>
          <w:tcPr>
            <w:tcW w:w="0" w:type="auto"/>
            <w:shd w:val="clear" w:color="auto" w:fill="auto"/>
            <w:hideMark/>
          </w:tcPr>
          <w:p w14:paraId="4B82ECA8" w14:textId="77777777" w:rsidR="001832A0" w:rsidRPr="00CB57E4" w:rsidRDefault="001832A0" w:rsidP="00A85ED8">
            <w:pPr>
              <w:pStyle w:val="NormalWeb"/>
              <w:jc w:val="center"/>
              <w:rPr>
                <w:sz w:val="18"/>
                <w:szCs w:val="18"/>
              </w:rPr>
            </w:pPr>
            <w:r w:rsidRPr="00CB57E4">
              <w:rPr>
                <w:sz w:val="18"/>
                <w:szCs w:val="18"/>
              </w:rPr>
              <w:t>72</w:t>
            </w:r>
          </w:p>
        </w:tc>
        <w:tc>
          <w:tcPr>
            <w:tcW w:w="4174" w:type="dxa"/>
            <w:shd w:val="clear" w:color="auto" w:fill="auto"/>
            <w:hideMark/>
          </w:tcPr>
          <w:p w14:paraId="78BDCFD4" w14:textId="77777777" w:rsidR="001832A0" w:rsidRPr="00CB57E4" w:rsidRDefault="001832A0" w:rsidP="00A85ED8">
            <w:pPr>
              <w:pStyle w:val="NormalWeb"/>
              <w:jc w:val="center"/>
              <w:rPr>
                <w:sz w:val="18"/>
                <w:szCs w:val="18"/>
              </w:rPr>
            </w:pPr>
            <w:r w:rsidRPr="00CB57E4">
              <w:rPr>
                <w:sz w:val="18"/>
                <w:szCs w:val="18"/>
              </w:rPr>
              <w:t>54</w:t>
            </w:r>
            <w:r w:rsidR="00A22D08">
              <w:rPr>
                <w:sz w:val="18"/>
                <w:szCs w:val="18"/>
              </w:rPr>
              <w:t>,</w:t>
            </w:r>
            <w:r w:rsidRPr="00CB57E4">
              <w:rPr>
                <w:sz w:val="18"/>
                <w:szCs w:val="18"/>
              </w:rPr>
              <w:t>968</w:t>
            </w:r>
          </w:p>
        </w:tc>
        <w:tc>
          <w:tcPr>
            <w:tcW w:w="3600" w:type="dxa"/>
            <w:shd w:val="clear" w:color="auto" w:fill="auto"/>
            <w:hideMark/>
          </w:tcPr>
          <w:p w14:paraId="24DB0050" w14:textId="77777777" w:rsidR="001832A0" w:rsidRPr="00CB57E4" w:rsidRDefault="001832A0" w:rsidP="00A85ED8">
            <w:pPr>
              <w:pStyle w:val="NormalWeb"/>
              <w:jc w:val="center"/>
              <w:rPr>
                <w:sz w:val="18"/>
                <w:szCs w:val="18"/>
              </w:rPr>
            </w:pPr>
            <w:r w:rsidRPr="00CB57E4">
              <w:rPr>
                <w:sz w:val="18"/>
                <w:szCs w:val="18"/>
              </w:rPr>
              <w:t>131.0 (102.5 – 164.9)</w:t>
            </w:r>
          </w:p>
        </w:tc>
        <w:tc>
          <w:tcPr>
            <w:tcW w:w="3420" w:type="dxa"/>
            <w:shd w:val="clear" w:color="auto" w:fill="auto"/>
            <w:hideMark/>
          </w:tcPr>
          <w:p w14:paraId="00A7C021" w14:textId="77777777" w:rsidR="001832A0" w:rsidRPr="00CB57E4" w:rsidRDefault="001832A0" w:rsidP="00A85ED8">
            <w:pPr>
              <w:pStyle w:val="NormalWeb"/>
              <w:jc w:val="center"/>
              <w:rPr>
                <w:sz w:val="18"/>
                <w:szCs w:val="18"/>
              </w:rPr>
            </w:pPr>
            <w:r w:rsidRPr="00CB57E4">
              <w:rPr>
                <w:sz w:val="18"/>
                <w:szCs w:val="18"/>
              </w:rPr>
              <w:t>–</w:t>
            </w:r>
          </w:p>
        </w:tc>
      </w:tr>
      <w:tr w:rsidR="006D7A71" w:rsidRPr="00CB57E4" w14:paraId="7C7BEE7B"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2900147C" w14:textId="77777777" w:rsidR="001832A0" w:rsidRPr="00CB57E4" w:rsidRDefault="001832A0">
            <w:pPr>
              <w:pStyle w:val="NormalWeb"/>
              <w:rPr>
                <w:sz w:val="18"/>
                <w:szCs w:val="18"/>
              </w:rPr>
            </w:pPr>
            <w:r w:rsidRPr="00CB57E4">
              <w:rPr>
                <w:sz w:val="18"/>
                <w:szCs w:val="18"/>
              </w:rPr>
              <w:t>Measles-mumps-rubella</w:t>
            </w:r>
          </w:p>
        </w:tc>
        <w:tc>
          <w:tcPr>
            <w:tcW w:w="0" w:type="auto"/>
            <w:shd w:val="clear" w:color="auto" w:fill="auto"/>
            <w:hideMark/>
          </w:tcPr>
          <w:p w14:paraId="031EB3F0" w14:textId="77777777" w:rsidR="001832A0" w:rsidRPr="00CB57E4" w:rsidRDefault="001832A0" w:rsidP="00A85ED8">
            <w:pPr>
              <w:pStyle w:val="NormalWeb"/>
              <w:jc w:val="center"/>
              <w:rPr>
                <w:sz w:val="18"/>
                <w:szCs w:val="18"/>
              </w:rPr>
            </w:pPr>
            <w:r w:rsidRPr="00CB57E4">
              <w:rPr>
                <w:sz w:val="18"/>
                <w:szCs w:val="18"/>
              </w:rPr>
              <w:t>11</w:t>
            </w:r>
          </w:p>
        </w:tc>
        <w:tc>
          <w:tcPr>
            <w:tcW w:w="4174" w:type="dxa"/>
            <w:shd w:val="clear" w:color="auto" w:fill="auto"/>
            <w:hideMark/>
          </w:tcPr>
          <w:p w14:paraId="4BE9BE53" w14:textId="77777777" w:rsidR="001832A0" w:rsidRPr="00CB57E4" w:rsidRDefault="001832A0" w:rsidP="00A85ED8">
            <w:pPr>
              <w:pStyle w:val="NormalWeb"/>
              <w:jc w:val="center"/>
              <w:rPr>
                <w:sz w:val="18"/>
                <w:szCs w:val="18"/>
              </w:rPr>
            </w:pPr>
            <w:r w:rsidRPr="00CB57E4">
              <w:rPr>
                <w:sz w:val="18"/>
                <w:szCs w:val="18"/>
              </w:rPr>
              <w:t>25</w:t>
            </w:r>
            <w:r w:rsidR="00A22D08">
              <w:rPr>
                <w:sz w:val="18"/>
                <w:szCs w:val="18"/>
              </w:rPr>
              <w:t>,</w:t>
            </w:r>
            <w:r w:rsidRPr="00CB57E4">
              <w:rPr>
                <w:sz w:val="18"/>
                <w:szCs w:val="18"/>
              </w:rPr>
              <w:t>975</w:t>
            </w:r>
          </w:p>
        </w:tc>
        <w:tc>
          <w:tcPr>
            <w:tcW w:w="3600" w:type="dxa"/>
            <w:shd w:val="clear" w:color="auto" w:fill="auto"/>
            <w:hideMark/>
          </w:tcPr>
          <w:p w14:paraId="61376293" w14:textId="77777777" w:rsidR="001832A0" w:rsidRPr="00CB57E4" w:rsidRDefault="001832A0" w:rsidP="00A85ED8">
            <w:pPr>
              <w:pStyle w:val="NormalWeb"/>
              <w:jc w:val="center"/>
              <w:rPr>
                <w:sz w:val="18"/>
                <w:szCs w:val="18"/>
              </w:rPr>
            </w:pPr>
            <w:r w:rsidRPr="00CB57E4">
              <w:rPr>
                <w:sz w:val="18"/>
                <w:szCs w:val="18"/>
              </w:rPr>
              <w:t>42.3 (21.1 – 75.8)</w:t>
            </w:r>
          </w:p>
        </w:tc>
        <w:tc>
          <w:tcPr>
            <w:tcW w:w="3420" w:type="dxa"/>
            <w:shd w:val="clear" w:color="auto" w:fill="auto"/>
            <w:hideMark/>
          </w:tcPr>
          <w:p w14:paraId="24CD8BE1" w14:textId="77777777" w:rsidR="001832A0" w:rsidRPr="00CB57E4" w:rsidRDefault="001832A0" w:rsidP="00A85ED8">
            <w:pPr>
              <w:pStyle w:val="NormalWeb"/>
              <w:jc w:val="center"/>
              <w:rPr>
                <w:sz w:val="18"/>
                <w:szCs w:val="18"/>
              </w:rPr>
            </w:pPr>
            <w:r w:rsidRPr="00CB57E4">
              <w:rPr>
                <w:sz w:val="18"/>
                <w:szCs w:val="18"/>
              </w:rPr>
              <w:t>–</w:t>
            </w:r>
          </w:p>
        </w:tc>
      </w:tr>
      <w:tr w:rsidR="00644A40" w:rsidRPr="00CB57E4" w14:paraId="4F9BEB71" w14:textId="77777777" w:rsidTr="00FC2B23">
        <w:tc>
          <w:tcPr>
            <w:tcW w:w="0" w:type="auto"/>
            <w:shd w:val="clear" w:color="auto" w:fill="auto"/>
            <w:hideMark/>
          </w:tcPr>
          <w:p w14:paraId="3978EA48" w14:textId="77777777" w:rsidR="001832A0" w:rsidRPr="00CB57E4" w:rsidRDefault="001832A0">
            <w:pPr>
              <w:pStyle w:val="NormalWeb"/>
              <w:rPr>
                <w:sz w:val="18"/>
                <w:szCs w:val="18"/>
              </w:rPr>
            </w:pPr>
            <w:r w:rsidRPr="00CB57E4">
              <w:rPr>
                <w:sz w:val="18"/>
                <w:szCs w:val="18"/>
              </w:rPr>
              <w:t>23vPPV</w:t>
            </w:r>
          </w:p>
        </w:tc>
        <w:tc>
          <w:tcPr>
            <w:tcW w:w="0" w:type="auto"/>
            <w:shd w:val="clear" w:color="auto" w:fill="auto"/>
            <w:hideMark/>
          </w:tcPr>
          <w:p w14:paraId="6EC0A0E6" w14:textId="77777777" w:rsidR="001832A0" w:rsidRPr="00CB57E4" w:rsidRDefault="001832A0" w:rsidP="00A85ED8">
            <w:pPr>
              <w:pStyle w:val="NormalWeb"/>
              <w:jc w:val="center"/>
              <w:rPr>
                <w:sz w:val="18"/>
                <w:szCs w:val="18"/>
              </w:rPr>
            </w:pPr>
            <w:r w:rsidRPr="00CB57E4">
              <w:rPr>
                <w:sz w:val="18"/>
                <w:szCs w:val="18"/>
              </w:rPr>
              <w:t>11</w:t>
            </w:r>
          </w:p>
        </w:tc>
        <w:tc>
          <w:tcPr>
            <w:tcW w:w="4174" w:type="dxa"/>
            <w:shd w:val="clear" w:color="auto" w:fill="auto"/>
            <w:hideMark/>
          </w:tcPr>
          <w:p w14:paraId="6EE9821A" w14:textId="77777777" w:rsidR="001832A0" w:rsidRPr="00CB57E4" w:rsidRDefault="001832A0" w:rsidP="00A85ED8">
            <w:pPr>
              <w:pStyle w:val="NormalWeb"/>
              <w:jc w:val="center"/>
              <w:rPr>
                <w:sz w:val="18"/>
                <w:szCs w:val="18"/>
              </w:rPr>
            </w:pPr>
            <w:r w:rsidRPr="00CB57E4">
              <w:rPr>
                <w:sz w:val="18"/>
                <w:szCs w:val="18"/>
              </w:rPr>
              <w:t>2</w:t>
            </w:r>
            <w:r w:rsidR="00A22D08">
              <w:rPr>
                <w:sz w:val="18"/>
                <w:szCs w:val="18"/>
              </w:rPr>
              <w:t>,</w:t>
            </w:r>
            <w:r w:rsidRPr="00CB57E4">
              <w:rPr>
                <w:sz w:val="18"/>
                <w:szCs w:val="18"/>
              </w:rPr>
              <w:t>192</w:t>
            </w:r>
          </w:p>
        </w:tc>
        <w:tc>
          <w:tcPr>
            <w:tcW w:w="3600" w:type="dxa"/>
            <w:shd w:val="clear" w:color="auto" w:fill="auto"/>
            <w:hideMark/>
          </w:tcPr>
          <w:p w14:paraId="0F3104AD" w14:textId="77777777" w:rsidR="001832A0" w:rsidRPr="00CB57E4" w:rsidRDefault="001832A0" w:rsidP="00A85ED8">
            <w:pPr>
              <w:pStyle w:val="NormalWeb"/>
              <w:jc w:val="center"/>
              <w:rPr>
                <w:sz w:val="18"/>
                <w:szCs w:val="18"/>
              </w:rPr>
            </w:pPr>
            <w:r w:rsidRPr="00CB57E4">
              <w:rPr>
                <w:sz w:val="18"/>
                <w:szCs w:val="18"/>
              </w:rPr>
              <w:t>501.8 (250.8 – 896.1)</w:t>
            </w:r>
          </w:p>
        </w:tc>
        <w:tc>
          <w:tcPr>
            <w:tcW w:w="3420" w:type="dxa"/>
            <w:shd w:val="clear" w:color="auto" w:fill="auto"/>
            <w:hideMark/>
          </w:tcPr>
          <w:p w14:paraId="668D239B" w14:textId="77777777" w:rsidR="001832A0" w:rsidRPr="00CB57E4" w:rsidRDefault="001832A0" w:rsidP="00A85ED8">
            <w:pPr>
              <w:pStyle w:val="NormalWeb"/>
              <w:jc w:val="center"/>
              <w:rPr>
                <w:sz w:val="18"/>
                <w:szCs w:val="18"/>
              </w:rPr>
            </w:pPr>
            <w:r w:rsidRPr="00CB57E4">
              <w:rPr>
                <w:sz w:val="18"/>
                <w:szCs w:val="18"/>
              </w:rPr>
              <w:t>–</w:t>
            </w:r>
          </w:p>
        </w:tc>
      </w:tr>
      <w:tr w:rsidR="006D7A71" w:rsidRPr="00CB57E4" w14:paraId="11C6419B"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2BA42ABD" w14:textId="77777777" w:rsidR="001832A0" w:rsidRPr="00CB57E4" w:rsidRDefault="001832A0">
            <w:pPr>
              <w:pStyle w:val="NormalWeb"/>
              <w:rPr>
                <w:sz w:val="18"/>
                <w:szCs w:val="18"/>
              </w:rPr>
            </w:pPr>
            <w:r w:rsidRPr="00CB57E4">
              <w:rPr>
                <w:sz w:val="18"/>
                <w:szCs w:val="18"/>
              </w:rPr>
              <w:t>Varicella</w:t>
            </w:r>
          </w:p>
        </w:tc>
        <w:tc>
          <w:tcPr>
            <w:tcW w:w="0" w:type="auto"/>
            <w:shd w:val="clear" w:color="auto" w:fill="auto"/>
            <w:hideMark/>
          </w:tcPr>
          <w:p w14:paraId="54086296" w14:textId="77777777" w:rsidR="001832A0" w:rsidRPr="00CB57E4" w:rsidRDefault="001832A0" w:rsidP="00A85ED8">
            <w:pPr>
              <w:pStyle w:val="NormalWeb"/>
              <w:jc w:val="center"/>
              <w:rPr>
                <w:sz w:val="18"/>
                <w:szCs w:val="18"/>
              </w:rPr>
            </w:pPr>
            <w:r w:rsidRPr="00CB57E4">
              <w:rPr>
                <w:sz w:val="18"/>
                <w:szCs w:val="18"/>
              </w:rPr>
              <w:t>8</w:t>
            </w:r>
          </w:p>
        </w:tc>
        <w:tc>
          <w:tcPr>
            <w:tcW w:w="4174" w:type="dxa"/>
            <w:shd w:val="clear" w:color="auto" w:fill="auto"/>
            <w:hideMark/>
          </w:tcPr>
          <w:p w14:paraId="60BAEABC" w14:textId="77777777" w:rsidR="001832A0" w:rsidRPr="00CB57E4" w:rsidRDefault="001832A0" w:rsidP="00A85ED8">
            <w:pPr>
              <w:pStyle w:val="NormalWeb"/>
              <w:jc w:val="center"/>
              <w:rPr>
                <w:sz w:val="18"/>
                <w:szCs w:val="18"/>
              </w:rPr>
            </w:pPr>
            <w:r w:rsidRPr="00CB57E4">
              <w:rPr>
                <w:sz w:val="18"/>
                <w:szCs w:val="18"/>
              </w:rPr>
              <w:t>16</w:t>
            </w:r>
            <w:r w:rsidR="00A22D08">
              <w:rPr>
                <w:sz w:val="18"/>
                <w:szCs w:val="18"/>
              </w:rPr>
              <w:t>,</w:t>
            </w:r>
            <w:r w:rsidRPr="00CB57E4">
              <w:rPr>
                <w:sz w:val="18"/>
                <w:szCs w:val="18"/>
              </w:rPr>
              <w:t>411</w:t>
            </w:r>
          </w:p>
        </w:tc>
        <w:tc>
          <w:tcPr>
            <w:tcW w:w="3600" w:type="dxa"/>
            <w:shd w:val="clear" w:color="auto" w:fill="auto"/>
            <w:hideMark/>
          </w:tcPr>
          <w:p w14:paraId="7DCC0AC1" w14:textId="77777777" w:rsidR="001832A0" w:rsidRPr="00CB57E4" w:rsidRDefault="001832A0" w:rsidP="00A85ED8">
            <w:pPr>
              <w:pStyle w:val="NormalWeb"/>
              <w:jc w:val="center"/>
              <w:rPr>
                <w:sz w:val="18"/>
                <w:szCs w:val="18"/>
              </w:rPr>
            </w:pPr>
            <w:r w:rsidRPr="00CB57E4">
              <w:rPr>
                <w:sz w:val="18"/>
                <w:szCs w:val="18"/>
              </w:rPr>
              <w:t>48.7 (21.1 – 75.8)</w:t>
            </w:r>
          </w:p>
        </w:tc>
        <w:tc>
          <w:tcPr>
            <w:tcW w:w="3420" w:type="dxa"/>
            <w:shd w:val="clear" w:color="auto" w:fill="auto"/>
            <w:hideMark/>
          </w:tcPr>
          <w:p w14:paraId="17C593DD" w14:textId="77777777" w:rsidR="001832A0" w:rsidRPr="00CB57E4" w:rsidRDefault="001832A0" w:rsidP="00A85ED8">
            <w:pPr>
              <w:pStyle w:val="NormalWeb"/>
              <w:jc w:val="center"/>
              <w:rPr>
                <w:sz w:val="18"/>
                <w:szCs w:val="18"/>
              </w:rPr>
            </w:pPr>
            <w:r w:rsidRPr="00CB57E4">
              <w:rPr>
                <w:sz w:val="18"/>
                <w:szCs w:val="18"/>
              </w:rPr>
              <w:t>–</w:t>
            </w:r>
          </w:p>
        </w:tc>
      </w:tr>
      <w:tr w:rsidR="00644A40" w:rsidRPr="00CB57E4" w14:paraId="167EA576" w14:textId="77777777" w:rsidTr="00FC2B23">
        <w:tc>
          <w:tcPr>
            <w:tcW w:w="0" w:type="auto"/>
            <w:shd w:val="clear" w:color="auto" w:fill="auto"/>
            <w:hideMark/>
          </w:tcPr>
          <w:p w14:paraId="7DCF933F" w14:textId="77777777" w:rsidR="001832A0" w:rsidRPr="00CB57E4" w:rsidRDefault="001832A0">
            <w:pPr>
              <w:pStyle w:val="NormalWeb"/>
              <w:rPr>
                <w:sz w:val="18"/>
                <w:szCs w:val="18"/>
              </w:rPr>
            </w:pPr>
            <w:r w:rsidRPr="00CB57E4">
              <w:rPr>
                <w:sz w:val="18"/>
                <w:szCs w:val="18"/>
              </w:rPr>
              <w:t>dTpa-IPV</w:t>
            </w:r>
          </w:p>
        </w:tc>
        <w:tc>
          <w:tcPr>
            <w:tcW w:w="0" w:type="auto"/>
            <w:shd w:val="clear" w:color="auto" w:fill="auto"/>
            <w:hideMark/>
          </w:tcPr>
          <w:p w14:paraId="1F50E414" w14:textId="77777777" w:rsidR="001832A0" w:rsidRPr="00CB57E4" w:rsidRDefault="001832A0" w:rsidP="00A85ED8">
            <w:pPr>
              <w:pStyle w:val="NormalWeb"/>
              <w:jc w:val="center"/>
              <w:rPr>
                <w:sz w:val="18"/>
                <w:szCs w:val="18"/>
              </w:rPr>
            </w:pPr>
            <w:r w:rsidRPr="00CB57E4">
              <w:rPr>
                <w:sz w:val="18"/>
                <w:szCs w:val="18"/>
              </w:rPr>
              <w:t>7</w:t>
            </w:r>
          </w:p>
        </w:tc>
        <w:tc>
          <w:tcPr>
            <w:tcW w:w="4174" w:type="dxa"/>
            <w:shd w:val="clear" w:color="auto" w:fill="auto"/>
            <w:hideMark/>
          </w:tcPr>
          <w:p w14:paraId="7D4AA768" w14:textId="77777777" w:rsidR="001832A0" w:rsidRPr="00CB57E4" w:rsidRDefault="001832A0" w:rsidP="00A85ED8">
            <w:pPr>
              <w:pStyle w:val="NormalWeb"/>
              <w:jc w:val="center"/>
              <w:rPr>
                <w:sz w:val="18"/>
                <w:szCs w:val="18"/>
              </w:rPr>
            </w:pPr>
            <w:r w:rsidRPr="00CB57E4">
              <w:rPr>
                <w:sz w:val="18"/>
                <w:szCs w:val="18"/>
              </w:rPr>
              <w:t>4</w:t>
            </w:r>
            <w:r w:rsidR="00A22D08">
              <w:rPr>
                <w:sz w:val="18"/>
                <w:szCs w:val="18"/>
              </w:rPr>
              <w:t>,</w:t>
            </w:r>
            <w:r w:rsidRPr="00CB57E4">
              <w:rPr>
                <w:sz w:val="18"/>
                <w:szCs w:val="18"/>
              </w:rPr>
              <w:t>817</w:t>
            </w:r>
          </w:p>
        </w:tc>
        <w:tc>
          <w:tcPr>
            <w:tcW w:w="3600" w:type="dxa"/>
            <w:shd w:val="clear" w:color="auto" w:fill="auto"/>
            <w:hideMark/>
          </w:tcPr>
          <w:p w14:paraId="3405404F" w14:textId="77777777" w:rsidR="001832A0" w:rsidRPr="00CB57E4" w:rsidRDefault="001832A0" w:rsidP="00A85ED8">
            <w:pPr>
              <w:pStyle w:val="NormalWeb"/>
              <w:jc w:val="center"/>
              <w:rPr>
                <w:sz w:val="18"/>
                <w:szCs w:val="18"/>
              </w:rPr>
            </w:pPr>
            <w:r w:rsidRPr="00CB57E4">
              <w:rPr>
                <w:sz w:val="18"/>
                <w:szCs w:val="18"/>
              </w:rPr>
              <w:t>145.3 (58.4 – 299.2)</w:t>
            </w:r>
          </w:p>
        </w:tc>
        <w:tc>
          <w:tcPr>
            <w:tcW w:w="3420" w:type="dxa"/>
            <w:shd w:val="clear" w:color="auto" w:fill="auto"/>
            <w:hideMark/>
          </w:tcPr>
          <w:p w14:paraId="4880F688" w14:textId="77777777" w:rsidR="001832A0" w:rsidRPr="00CB57E4" w:rsidRDefault="001832A0" w:rsidP="00A85ED8">
            <w:pPr>
              <w:pStyle w:val="NormalWeb"/>
              <w:jc w:val="center"/>
              <w:rPr>
                <w:sz w:val="18"/>
                <w:szCs w:val="18"/>
              </w:rPr>
            </w:pPr>
            <w:r w:rsidRPr="00CB57E4">
              <w:rPr>
                <w:sz w:val="18"/>
                <w:szCs w:val="18"/>
              </w:rPr>
              <w:t>–</w:t>
            </w:r>
          </w:p>
        </w:tc>
      </w:tr>
      <w:tr w:rsidR="006D7A71" w:rsidRPr="00CB57E4" w14:paraId="6AA48892"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139E627B" w14:textId="77777777" w:rsidR="001832A0" w:rsidRPr="00CB57E4" w:rsidRDefault="001832A0">
            <w:pPr>
              <w:pStyle w:val="NormalWeb"/>
              <w:rPr>
                <w:sz w:val="18"/>
                <w:szCs w:val="18"/>
              </w:rPr>
            </w:pPr>
            <w:r w:rsidRPr="00CB57E4">
              <w:rPr>
                <w:sz w:val="18"/>
                <w:szCs w:val="18"/>
              </w:rPr>
              <w:t>Hepatitis B</w:t>
            </w:r>
          </w:p>
        </w:tc>
        <w:tc>
          <w:tcPr>
            <w:tcW w:w="0" w:type="auto"/>
            <w:shd w:val="clear" w:color="auto" w:fill="auto"/>
            <w:hideMark/>
          </w:tcPr>
          <w:p w14:paraId="3E34CE84" w14:textId="77777777" w:rsidR="001832A0" w:rsidRPr="00CB57E4" w:rsidRDefault="001832A0" w:rsidP="00A85ED8">
            <w:pPr>
              <w:pStyle w:val="NormalWeb"/>
              <w:jc w:val="center"/>
              <w:rPr>
                <w:sz w:val="18"/>
                <w:szCs w:val="18"/>
              </w:rPr>
            </w:pPr>
            <w:r w:rsidRPr="00CB57E4">
              <w:rPr>
                <w:sz w:val="18"/>
                <w:szCs w:val="18"/>
              </w:rPr>
              <w:t>5</w:t>
            </w:r>
          </w:p>
        </w:tc>
        <w:tc>
          <w:tcPr>
            <w:tcW w:w="4174" w:type="dxa"/>
            <w:shd w:val="clear" w:color="auto" w:fill="auto"/>
            <w:hideMark/>
          </w:tcPr>
          <w:p w14:paraId="0AE382E3" w14:textId="77777777" w:rsidR="001832A0" w:rsidRPr="00CB57E4" w:rsidRDefault="001832A0" w:rsidP="00A85ED8">
            <w:pPr>
              <w:pStyle w:val="NormalWeb"/>
              <w:jc w:val="center"/>
              <w:rPr>
                <w:sz w:val="18"/>
                <w:szCs w:val="18"/>
              </w:rPr>
            </w:pPr>
            <w:r w:rsidRPr="00CB57E4">
              <w:rPr>
                <w:sz w:val="18"/>
                <w:szCs w:val="18"/>
              </w:rPr>
              <w:t>32</w:t>
            </w:r>
            <w:r w:rsidR="00A22D08">
              <w:rPr>
                <w:sz w:val="18"/>
                <w:szCs w:val="18"/>
              </w:rPr>
              <w:t>,</w:t>
            </w:r>
            <w:r w:rsidRPr="00CB57E4">
              <w:rPr>
                <w:sz w:val="18"/>
                <w:szCs w:val="18"/>
              </w:rPr>
              <w:t>089</w:t>
            </w:r>
          </w:p>
        </w:tc>
        <w:tc>
          <w:tcPr>
            <w:tcW w:w="3600" w:type="dxa"/>
            <w:shd w:val="clear" w:color="auto" w:fill="auto"/>
            <w:hideMark/>
          </w:tcPr>
          <w:p w14:paraId="5520E547" w14:textId="77777777" w:rsidR="001832A0" w:rsidRPr="00CB57E4" w:rsidRDefault="001832A0" w:rsidP="00A85ED8">
            <w:pPr>
              <w:pStyle w:val="NormalWeb"/>
              <w:jc w:val="center"/>
              <w:rPr>
                <w:sz w:val="18"/>
                <w:szCs w:val="18"/>
              </w:rPr>
            </w:pPr>
            <w:r w:rsidRPr="00CB57E4">
              <w:rPr>
                <w:sz w:val="18"/>
                <w:szCs w:val="18"/>
              </w:rPr>
              <w:t>15.6 (5.1 – 36.4)</w:t>
            </w:r>
          </w:p>
        </w:tc>
        <w:tc>
          <w:tcPr>
            <w:tcW w:w="3420" w:type="dxa"/>
            <w:shd w:val="clear" w:color="auto" w:fill="auto"/>
            <w:hideMark/>
          </w:tcPr>
          <w:p w14:paraId="6A08B214" w14:textId="77777777" w:rsidR="001832A0" w:rsidRPr="00CB57E4" w:rsidRDefault="001832A0" w:rsidP="00A85ED8">
            <w:pPr>
              <w:pStyle w:val="NormalWeb"/>
              <w:jc w:val="center"/>
              <w:rPr>
                <w:sz w:val="18"/>
                <w:szCs w:val="18"/>
              </w:rPr>
            </w:pPr>
            <w:r w:rsidRPr="00CB57E4">
              <w:rPr>
                <w:sz w:val="18"/>
                <w:szCs w:val="18"/>
              </w:rPr>
              <w:t>–</w:t>
            </w:r>
          </w:p>
        </w:tc>
      </w:tr>
      <w:tr w:rsidR="00644A40" w:rsidRPr="00CB57E4" w14:paraId="7A5B9128" w14:textId="77777777" w:rsidTr="00FC2B23">
        <w:tc>
          <w:tcPr>
            <w:tcW w:w="0" w:type="auto"/>
            <w:shd w:val="clear" w:color="auto" w:fill="auto"/>
            <w:hideMark/>
          </w:tcPr>
          <w:p w14:paraId="45184B0A" w14:textId="77777777" w:rsidR="001832A0" w:rsidRPr="00CB57E4" w:rsidRDefault="001832A0">
            <w:pPr>
              <w:pStyle w:val="NormalWeb"/>
              <w:rPr>
                <w:sz w:val="18"/>
                <w:szCs w:val="18"/>
              </w:rPr>
            </w:pPr>
            <w:r w:rsidRPr="00CB57E4">
              <w:rPr>
                <w:sz w:val="18"/>
                <w:szCs w:val="18"/>
              </w:rPr>
              <w:t>Meningococcal C conjugate</w:t>
            </w:r>
          </w:p>
        </w:tc>
        <w:tc>
          <w:tcPr>
            <w:tcW w:w="0" w:type="auto"/>
            <w:shd w:val="clear" w:color="auto" w:fill="auto"/>
            <w:hideMark/>
          </w:tcPr>
          <w:p w14:paraId="50039E17" w14:textId="77777777" w:rsidR="001832A0" w:rsidRPr="00CB57E4" w:rsidRDefault="001832A0" w:rsidP="00A85ED8">
            <w:pPr>
              <w:pStyle w:val="NormalWeb"/>
              <w:jc w:val="center"/>
              <w:rPr>
                <w:sz w:val="18"/>
                <w:szCs w:val="18"/>
              </w:rPr>
            </w:pPr>
            <w:r w:rsidRPr="00CB57E4">
              <w:rPr>
                <w:sz w:val="18"/>
                <w:szCs w:val="18"/>
              </w:rPr>
              <w:t>4</w:t>
            </w:r>
          </w:p>
        </w:tc>
        <w:tc>
          <w:tcPr>
            <w:tcW w:w="4174" w:type="dxa"/>
            <w:shd w:val="clear" w:color="auto" w:fill="auto"/>
            <w:hideMark/>
          </w:tcPr>
          <w:p w14:paraId="35D4C1EE" w14:textId="77777777" w:rsidR="001832A0" w:rsidRPr="00CB57E4" w:rsidRDefault="001832A0" w:rsidP="00A85ED8">
            <w:pPr>
              <w:pStyle w:val="NormalWeb"/>
              <w:jc w:val="center"/>
              <w:rPr>
                <w:sz w:val="18"/>
                <w:szCs w:val="18"/>
              </w:rPr>
            </w:pPr>
            <w:r w:rsidRPr="00CB57E4">
              <w:rPr>
                <w:sz w:val="18"/>
                <w:szCs w:val="18"/>
              </w:rPr>
              <w:t>10</w:t>
            </w:r>
            <w:r w:rsidR="00A22D08">
              <w:rPr>
                <w:sz w:val="18"/>
                <w:szCs w:val="18"/>
              </w:rPr>
              <w:t>,</w:t>
            </w:r>
            <w:r w:rsidRPr="00CB57E4">
              <w:rPr>
                <w:sz w:val="18"/>
                <w:szCs w:val="18"/>
              </w:rPr>
              <w:t>294</w:t>
            </w:r>
          </w:p>
        </w:tc>
        <w:tc>
          <w:tcPr>
            <w:tcW w:w="3600" w:type="dxa"/>
            <w:shd w:val="clear" w:color="auto" w:fill="auto"/>
            <w:hideMark/>
          </w:tcPr>
          <w:p w14:paraId="3E209EAE" w14:textId="77777777" w:rsidR="001832A0" w:rsidRPr="00CB57E4" w:rsidRDefault="001832A0" w:rsidP="00A85ED8">
            <w:pPr>
              <w:pStyle w:val="NormalWeb"/>
              <w:jc w:val="center"/>
              <w:rPr>
                <w:sz w:val="18"/>
                <w:szCs w:val="18"/>
              </w:rPr>
            </w:pPr>
            <w:r w:rsidRPr="00CB57E4">
              <w:rPr>
                <w:sz w:val="18"/>
                <w:szCs w:val="18"/>
              </w:rPr>
              <w:t>38.9 (10.6 – 99.5)</w:t>
            </w:r>
          </w:p>
        </w:tc>
        <w:tc>
          <w:tcPr>
            <w:tcW w:w="3420" w:type="dxa"/>
            <w:shd w:val="clear" w:color="auto" w:fill="auto"/>
            <w:hideMark/>
          </w:tcPr>
          <w:p w14:paraId="04743D2D" w14:textId="77777777" w:rsidR="001832A0" w:rsidRPr="00CB57E4" w:rsidRDefault="001832A0" w:rsidP="00A85ED8">
            <w:pPr>
              <w:pStyle w:val="NormalWeb"/>
              <w:jc w:val="center"/>
              <w:rPr>
                <w:sz w:val="18"/>
                <w:szCs w:val="18"/>
              </w:rPr>
            </w:pPr>
            <w:r w:rsidRPr="00CB57E4">
              <w:rPr>
                <w:sz w:val="18"/>
                <w:szCs w:val="18"/>
              </w:rPr>
              <w:t>–</w:t>
            </w:r>
          </w:p>
        </w:tc>
      </w:tr>
      <w:tr w:rsidR="006D7A71" w:rsidRPr="00CB57E4" w14:paraId="215B9A4C"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25DC9302" w14:textId="77777777" w:rsidR="001832A0" w:rsidRPr="00CB57E4" w:rsidRDefault="001832A0">
            <w:pPr>
              <w:pStyle w:val="NormalWeb"/>
              <w:rPr>
                <w:sz w:val="18"/>
                <w:szCs w:val="18"/>
              </w:rPr>
            </w:pPr>
            <w:r w:rsidRPr="00CB57E4">
              <w:rPr>
                <w:sz w:val="18"/>
                <w:szCs w:val="18"/>
              </w:rPr>
              <w:t>Measles-mumps-rubella-varicella</w:t>
            </w:r>
          </w:p>
        </w:tc>
        <w:tc>
          <w:tcPr>
            <w:tcW w:w="0" w:type="auto"/>
            <w:shd w:val="clear" w:color="auto" w:fill="auto"/>
            <w:hideMark/>
          </w:tcPr>
          <w:p w14:paraId="1A0087B9" w14:textId="77777777" w:rsidR="001832A0" w:rsidRPr="00CB57E4" w:rsidRDefault="001832A0" w:rsidP="00A85ED8">
            <w:pPr>
              <w:pStyle w:val="NormalWeb"/>
              <w:jc w:val="center"/>
              <w:rPr>
                <w:sz w:val="18"/>
                <w:szCs w:val="18"/>
              </w:rPr>
            </w:pPr>
            <w:r w:rsidRPr="00CB57E4">
              <w:rPr>
                <w:sz w:val="18"/>
                <w:szCs w:val="18"/>
              </w:rPr>
              <w:t>2</w:t>
            </w:r>
          </w:p>
        </w:tc>
        <w:tc>
          <w:tcPr>
            <w:tcW w:w="4174" w:type="dxa"/>
            <w:shd w:val="clear" w:color="auto" w:fill="auto"/>
            <w:hideMark/>
          </w:tcPr>
          <w:p w14:paraId="21638F70" w14:textId="77777777" w:rsidR="001832A0" w:rsidRPr="00CB57E4" w:rsidRDefault="001832A0" w:rsidP="00A85ED8">
            <w:pPr>
              <w:pStyle w:val="NormalWeb"/>
              <w:jc w:val="center"/>
              <w:rPr>
                <w:sz w:val="18"/>
                <w:szCs w:val="18"/>
              </w:rPr>
            </w:pPr>
            <w:r w:rsidRPr="00CB57E4">
              <w:rPr>
                <w:sz w:val="18"/>
                <w:szCs w:val="18"/>
              </w:rPr>
              <w:t>7</w:t>
            </w:r>
            <w:r w:rsidR="00A22D08">
              <w:rPr>
                <w:sz w:val="18"/>
                <w:szCs w:val="18"/>
              </w:rPr>
              <w:t>,</w:t>
            </w:r>
            <w:r w:rsidRPr="00CB57E4">
              <w:rPr>
                <w:sz w:val="18"/>
                <w:szCs w:val="18"/>
              </w:rPr>
              <w:t>467</w:t>
            </w:r>
          </w:p>
        </w:tc>
        <w:tc>
          <w:tcPr>
            <w:tcW w:w="3600" w:type="dxa"/>
            <w:shd w:val="clear" w:color="auto" w:fill="auto"/>
            <w:hideMark/>
          </w:tcPr>
          <w:p w14:paraId="03827D41" w14:textId="77777777" w:rsidR="001832A0" w:rsidRPr="00CB57E4" w:rsidRDefault="001832A0" w:rsidP="00A85ED8">
            <w:pPr>
              <w:pStyle w:val="NormalWeb"/>
              <w:jc w:val="center"/>
              <w:rPr>
                <w:sz w:val="18"/>
                <w:szCs w:val="18"/>
              </w:rPr>
            </w:pPr>
            <w:r w:rsidRPr="00CB57E4">
              <w:rPr>
                <w:sz w:val="18"/>
                <w:szCs w:val="18"/>
              </w:rPr>
              <w:t>26.8 (3.2 – 96.7)</w:t>
            </w:r>
          </w:p>
        </w:tc>
        <w:tc>
          <w:tcPr>
            <w:tcW w:w="3420" w:type="dxa"/>
            <w:shd w:val="clear" w:color="auto" w:fill="auto"/>
            <w:hideMark/>
          </w:tcPr>
          <w:p w14:paraId="400BD79E" w14:textId="77777777" w:rsidR="001832A0" w:rsidRPr="00CB57E4" w:rsidRDefault="001832A0" w:rsidP="00A85ED8">
            <w:pPr>
              <w:pStyle w:val="NormalWeb"/>
              <w:jc w:val="center"/>
              <w:rPr>
                <w:sz w:val="18"/>
                <w:szCs w:val="18"/>
              </w:rPr>
            </w:pPr>
            <w:r w:rsidRPr="00CB57E4">
              <w:rPr>
                <w:sz w:val="18"/>
                <w:szCs w:val="18"/>
              </w:rPr>
              <w:t>–</w:t>
            </w:r>
          </w:p>
        </w:tc>
      </w:tr>
      <w:tr w:rsidR="00205EF3" w:rsidRPr="00205EF3" w14:paraId="50B0DFD4" w14:textId="77777777" w:rsidTr="00205EF3">
        <w:tc>
          <w:tcPr>
            <w:tcW w:w="0" w:type="auto"/>
            <w:shd w:val="clear" w:color="auto" w:fill="808080" w:themeFill="background1" w:themeFillShade="80"/>
            <w:hideMark/>
          </w:tcPr>
          <w:p w14:paraId="523B1D8A" w14:textId="77777777" w:rsidR="001832A0" w:rsidRPr="00205EF3" w:rsidRDefault="001832A0">
            <w:pPr>
              <w:pStyle w:val="NormalWeb"/>
              <w:rPr>
                <w:b/>
                <w:color w:val="FFFFFF" w:themeColor="background1"/>
                <w:sz w:val="18"/>
                <w:szCs w:val="18"/>
              </w:rPr>
            </w:pPr>
            <w:r w:rsidRPr="00205EF3">
              <w:rPr>
                <w:b/>
                <w:color w:val="FFFFFF" w:themeColor="background1"/>
                <w:sz w:val="18"/>
                <w:szCs w:val="18"/>
              </w:rPr>
              <w:t>18–64 years</w:t>
            </w:r>
          </w:p>
        </w:tc>
        <w:tc>
          <w:tcPr>
            <w:tcW w:w="0" w:type="auto"/>
            <w:shd w:val="clear" w:color="auto" w:fill="808080" w:themeFill="background1" w:themeFillShade="80"/>
            <w:hideMark/>
          </w:tcPr>
          <w:p w14:paraId="40E91F5C" w14:textId="77777777" w:rsidR="001832A0" w:rsidRPr="00205EF3" w:rsidRDefault="001832A0" w:rsidP="00A85ED8">
            <w:pPr>
              <w:jc w:val="center"/>
              <w:rPr>
                <w:b/>
                <w:color w:val="FFFFFF" w:themeColor="background1"/>
                <w:sz w:val="18"/>
                <w:szCs w:val="18"/>
              </w:rPr>
            </w:pPr>
          </w:p>
        </w:tc>
        <w:tc>
          <w:tcPr>
            <w:tcW w:w="4174" w:type="dxa"/>
            <w:shd w:val="clear" w:color="auto" w:fill="808080" w:themeFill="background1" w:themeFillShade="80"/>
            <w:hideMark/>
          </w:tcPr>
          <w:p w14:paraId="4A64D94C" w14:textId="77777777" w:rsidR="001832A0" w:rsidRPr="00205EF3" w:rsidRDefault="001832A0" w:rsidP="00A85ED8">
            <w:pPr>
              <w:jc w:val="center"/>
              <w:rPr>
                <w:rFonts w:eastAsia="Times New Roman"/>
                <w:b/>
                <w:color w:val="FFFFFF" w:themeColor="background1"/>
                <w:sz w:val="18"/>
                <w:szCs w:val="18"/>
              </w:rPr>
            </w:pPr>
          </w:p>
        </w:tc>
        <w:tc>
          <w:tcPr>
            <w:tcW w:w="3600" w:type="dxa"/>
            <w:shd w:val="clear" w:color="auto" w:fill="808080" w:themeFill="background1" w:themeFillShade="80"/>
            <w:hideMark/>
          </w:tcPr>
          <w:p w14:paraId="19F12063" w14:textId="77777777" w:rsidR="001832A0" w:rsidRPr="00205EF3" w:rsidRDefault="001832A0" w:rsidP="00A85ED8">
            <w:pPr>
              <w:jc w:val="center"/>
              <w:rPr>
                <w:rFonts w:eastAsia="Times New Roman"/>
                <w:b/>
                <w:color w:val="FFFFFF" w:themeColor="background1"/>
                <w:sz w:val="18"/>
                <w:szCs w:val="18"/>
              </w:rPr>
            </w:pPr>
          </w:p>
        </w:tc>
        <w:tc>
          <w:tcPr>
            <w:tcW w:w="3420" w:type="dxa"/>
            <w:shd w:val="clear" w:color="auto" w:fill="808080" w:themeFill="background1" w:themeFillShade="80"/>
            <w:hideMark/>
          </w:tcPr>
          <w:p w14:paraId="52743F65" w14:textId="77777777" w:rsidR="001832A0" w:rsidRPr="00205EF3" w:rsidRDefault="001832A0" w:rsidP="00A85ED8">
            <w:pPr>
              <w:jc w:val="center"/>
              <w:rPr>
                <w:rFonts w:eastAsia="Times New Roman"/>
                <w:b/>
                <w:color w:val="FFFFFF" w:themeColor="background1"/>
                <w:sz w:val="18"/>
                <w:szCs w:val="18"/>
              </w:rPr>
            </w:pPr>
          </w:p>
        </w:tc>
      </w:tr>
      <w:tr w:rsidR="006D7A71" w:rsidRPr="00CB57E4" w14:paraId="30B25D25"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2C87B590" w14:textId="77777777" w:rsidR="001832A0" w:rsidRPr="00CB57E4" w:rsidRDefault="001832A0">
            <w:pPr>
              <w:pStyle w:val="NormalWeb"/>
              <w:rPr>
                <w:sz w:val="18"/>
                <w:szCs w:val="18"/>
              </w:rPr>
            </w:pPr>
            <w:r w:rsidRPr="00CB57E4">
              <w:rPr>
                <w:sz w:val="18"/>
                <w:szCs w:val="18"/>
              </w:rPr>
              <w:lastRenderedPageBreak/>
              <w:t>Seasonal influenza</w:t>
            </w:r>
          </w:p>
        </w:tc>
        <w:tc>
          <w:tcPr>
            <w:tcW w:w="0" w:type="auto"/>
            <w:shd w:val="clear" w:color="auto" w:fill="auto"/>
            <w:hideMark/>
          </w:tcPr>
          <w:p w14:paraId="6D4D1E37" w14:textId="77777777" w:rsidR="001832A0" w:rsidRPr="00CB57E4" w:rsidRDefault="001832A0" w:rsidP="00A85ED8">
            <w:pPr>
              <w:pStyle w:val="NormalWeb"/>
              <w:jc w:val="center"/>
              <w:rPr>
                <w:sz w:val="18"/>
                <w:szCs w:val="18"/>
              </w:rPr>
            </w:pPr>
            <w:r w:rsidRPr="00CB57E4">
              <w:rPr>
                <w:sz w:val="18"/>
                <w:szCs w:val="18"/>
              </w:rPr>
              <w:t>534</w:t>
            </w:r>
          </w:p>
        </w:tc>
        <w:tc>
          <w:tcPr>
            <w:tcW w:w="4174" w:type="dxa"/>
            <w:shd w:val="clear" w:color="auto" w:fill="auto"/>
            <w:hideMark/>
          </w:tcPr>
          <w:p w14:paraId="428D1A11" w14:textId="77777777" w:rsidR="001832A0" w:rsidRPr="00CB57E4" w:rsidRDefault="001832A0" w:rsidP="00A85ED8">
            <w:pPr>
              <w:pStyle w:val="NormalWeb"/>
              <w:jc w:val="center"/>
              <w:rPr>
                <w:sz w:val="18"/>
                <w:szCs w:val="18"/>
              </w:rPr>
            </w:pPr>
            <w:r w:rsidRPr="00CB57E4">
              <w:rPr>
                <w:sz w:val="18"/>
                <w:szCs w:val="18"/>
              </w:rPr>
              <w:t>1</w:t>
            </w:r>
            <w:r w:rsidR="00951557">
              <w:rPr>
                <w:sz w:val="18"/>
                <w:szCs w:val="18"/>
              </w:rPr>
              <w:t>,</w:t>
            </w:r>
            <w:r w:rsidRPr="00CB57E4">
              <w:rPr>
                <w:sz w:val="18"/>
                <w:szCs w:val="18"/>
              </w:rPr>
              <w:t>875</w:t>
            </w:r>
            <w:r w:rsidR="00951557">
              <w:rPr>
                <w:sz w:val="18"/>
                <w:szCs w:val="18"/>
              </w:rPr>
              <w:t>,</w:t>
            </w:r>
            <w:r w:rsidRPr="00CB57E4">
              <w:rPr>
                <w:sz w:val="18"/>
                <w:szCs w:val="18"/>
              </w:rPr>
              <w:t>459</w:t>
            </w:r>
          </w:p>
        </w:tc>
        <w:tc>
          <w:tcPr>
            <w:tcW w:w="3600" w:type="dxa"/>
            <w:shd w:val="clear" w:color="auto" w:fill="auto"/>
            <w:hideMark/>
          </w:tcPr>
          <w:p w14:paraId="3A2DE235" w14:textId="77777777" w:rsidR="001832A0" w:rsidRPr="00CB57E4" w:rsidRDefault="001832A0" w:rsidP="00A85ED8">
            <w:pPr>
              <w:pStyle w:val="NormalWeb"/>
              <w:jc w:val="center"/>
              <w:rPr>
                <w:sz w:val="18"/>
                <w:szCs w:val="18"/>
              </w:rPr>
            </w:pPr>
            <w:r w:rsidRPr="00CB57E4">
              <w:rPr>
                <w:sz w:val="18"/>
                <w:szCs w:val="18"/>
              </w:rPr>
              <w:t>28.5 (26.1 – 31.0)</w:t>
            </w:r>
          </w:p>
        </w:tc>
        <w:tc>
          <w:tcPr>
            <w:tcW w:w="3420" w:type="dxa"/>
            <w:shd w:val="clear" w:color="auto" w:fill="auto"/>
            <w:hideMark/>
          </w:tcPr>
          <w:p w14:paraId="0D4BD18A" w14:textId="77777777" w:rsidR="001832A0" w:rsidRPr="00CB57E4" w:rsidRDefault="001832A0" w:rsidP="00A85ED8">
            <w:pPr>
              <w:pStyle w:val="NormalWeb"/>
              <w:jc w:val="center"/>
              <w:rPr>
                <w:sz w:val="18"/>
                <w:szCs w:val="18"/>
              </w:rPr>
            </w:pPr>
            <w:r w:rsidRPr="00CB57E4">
              <w:rPr>
                <w:sz w:val="18"/>
                <w:szCs w:val="18"/>
              </w:rPr>
              <w:t>–</w:t>
            </w:r>
          </w:p>
        </w:tc>
      </w:tr>
      <w:tr w:rsidR="00644A40" w:rsidRPr="00CB57E4" w14:paraId="166DE73B" w14:textId="77777777" w:rsidTr="00FC2B23">
        <w:tc>
          <w:tcPr>
            <w:tcW w:w="0" w:type="auto"/>
            <w:shd w:val="clear" w:color="auto" w:fill="auto"/>
            <w:hideMark/>
          </w:tcPr>
          <w:p w14:paraId="45AC2F41" w14:textId="77777777" w:rsidR="001832A0" w:rsidRPr="00CB57E4" w:rsidRDefault="001832A0">
            <w:pPr>
              <w:pStyle w:val="NormalWeb"/>
              <w:rPr>
                <w:sz w:val="18"/>
                <w:szCs w:val="18"/>
              </w:rPr>
            </w:pPr>
            <w:r w:rsidRPr="00CB57E4">
              <w:rPr>
                <w:sz w:val="18"/>
                <w:szCs w:val="18"/>
              </w:rPr>
              <w:t>dTpa</w:t>
            </w:r>
          </w:p>
        </w:tc>
        <w:tc>
          <w:tcPr>
            <w:tcW w:w="0" w:type="auto"/>
            <w:shd w:val="clear" w:color="auto" w:fill="auto"/>
            <w:hideMark/>
          </w:tcPr>
          <w:p w14:paraId="799DB025" w14:textId="77777777" w:rsidR="001832A0" w:rsidRPr="00CB57E4" w:rsidRDefault="001832A0" w:rsidP="00A85ED8">
            <w:pPr>
              <w:pStyle w:val="NormalWeb"/>
              <w:jc w:val="center"/>
              <w:rPr>
                <w:sz w:val="18"/>
                <w:szCs w:val="18"/>
              </w:rPr>
            </w:pPr>
            <w:r w:rsidRPr="00CB57E4">
              <w:rPr>
                <w:sz w:val="18"/>
                <w:szCs w:val="18"/>
              </w:rPr>
              <w:t>120</w:t>
            </w:r>
          </w:p>
        </w:tc>
        <w:tc>
          <w:tcPr>
            <w:tcW w:w="4174" w:type="dxa"/>
            <w:shd w:val="clear" w:color="auto" w:fill="auto"/>
            <w:hideMark/>
          </w:tcPr>
          <w:p w14:paraId="317B6BFC" w14:textId="77777777" w:rsidR="001832A0" w:rsidRPr="00CB57E4" w:rsidRDefault="001832A0" w:rsidP="00A85ED8">
            <w:pPr>
              <w:pStyle w:val="NormalWeb"/>
              <w:jc w:val="center"/>
              <w:rPr>
                <w:sz w:val="18"/>
                <w:szCs w:val="18"/>
              </w:rPr>
            </w:pPr>
            <w:r w:rsidRPr="00CB57E4">
              <w:rPr>
                <w:sz w:val="18"/>
                <w:szCs w:val="18"/>
              </w:rPr>
              <w:t>454</w:t>
            </w:r>
            <w:r w:rsidR="00951557">
              <w:rPr>
                <w:sz w:val="18"/>
                <w:szCs w:val="18"/>
              </w:rPr>
              <w:t>,</w:t>
            </w:r>
            <w:r w:rsidRPr="00CB57E4">
              <w:rPr>
                <w:sz w:val="18"/>
                <w:szCs w:val="18"/>
              </w:rPr>
              <w:t>466</w:t>
            </w:r>
          </w:p>
        </w:tc>
        <w:tc>
          <w:tcPr>
            <w:tcW w:w="3600" w:type="dxa"/>
            <w:shd w:val="clear" w:color="auto" w:fill="auto"/>
            <w:hideMark/>
          </w:tcPr>
          <w:p w14:paraId="66EA75CA" w14:textId="77777777" w:rsidR="001832A0" w:rsidRPr="00CB57E4" w:rsidRDefault="001832A0" w:rsidP="00A85ED8">
            <w:pPr>
              <w:pStyle w:val="NormalWeb"/>
              <w:jc w:val="center"/>
              <w:rPr>
                <w:sz w:val="18"/>
                <w:szCs w:val="18"/>
              </w:rPr>
            </w:pPr>
            <w:r w:rsidRPr="00CB57E4">
              <w:rPr>
                <w:sz w:val="18"/>
                <w:szCs w:val="18"/>
              </w:rPr>
              <w:t>26.4 (21.9 – 31.6)</w:t>
            </w:r>
          </w:p>
        </w:tc>
        <w:tc>
          <w:tcPr>
            <w:tcW w:w="3420" w:type="dxa"/>
            <w:shd w:val="clear" w:color="auto" w:fill="auto"/>
            <w:hideMark/>
          </w:tcPr>
          <w:p w14:paraId="4BB5BF04" w14:textId="77777777" w:rsidR="001832A0" w:rsidRPr="00CB57E4" w:rsidRDefault="001832A0" w:rsidP="00A85ED8">
            <w:pPr>
              <w:pStyle w:val="NormalWeb"/>
              <w:jc w:val="center"/>
              <w:rPr>
                <w:sz w:val="18"/>
                <w:szCs w:val="18"/>
              </w:rPr>
            </w:pPr>
            <w:r w:rsidRPr="00CB57E4">
              <w:rPr>
                <w:sz w:val="18"/>
                <w:szCs w:val="18"/>
              </w:rPr>
              <w:t>–</w:t>
            </w:r>
          </w:p>
        </w:tc>
      </w:tr>
      <w:tr w:rsidR="006D7A71" w:rsidRPr="00CB57E4" w14:paraId="5BF2887A"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114C6FB2" w14:textId="77777777" w:rsidR="001832A0" w:rsidRPr="00CB57E4" w:rsidRDefault="001832A0">
            <w:pPr>
              <w:pStyle w:val="NormalWeb"/>
              <w:rPr>
                <w:sz w:val="18"/>
                <w:szCs w:val="18"/>
              </w:rPr>
            </w:pPr>
            <w:r w:rsidRPr="00CB57E4">
              <w:rPr>
                <w:sz w:val="18"/>
                <w:szCs w:val="18"/>
              </w:rPr>
              <w:t>23vPPV</w:t>
            </w:r>
          </w:p>
        </w:tc>
        <w:tc>
          <w:tcPr>
            <w:tcW w:w="0" w:type="auto"/>
            <w:shd w:val="clear" w:color="auto" w:fill="auto"/>
            <w:hideMark/>
          </w:tcPr>
          <w:p w14:paraId="3C65A80D" w14:textId="77777777" w:rsidR="001832A0" w:rsidRPr="00CB57E4" w:rsidRDefault="001832A0" w:rsidP="00A85ED8">
            <w:pPr>
              <w:pStyle w:val="NormalWeb"/>
              <w:jc w:val="center"/>
              <w:rPr>
                <w:sz w:val="18"/>
                <w:szCs w:val="18"/>
              </w:rPr>
            </w:pPr>
            <w:r w:rsidRPr="00CB57E4">
              <w:rPr>
                <w:sz w:val="18"/>
                <w:szCs w:val="18"/>
              </w:rPr>
              <w:t>47</w:t>
            </w:r>
          </w:p>
        </w:tc>
        <w:tc>
          <w:tcPr>
            <w:tcW w:w="4174" w:type="dxa"/>
            <w:shd w:val="clear" w:color="auto" w:fill="auto"/>
            <w:hideMark/>
          </w:tcPr>
          <w:p w14:paraId="22ECD0E4" w14:textId="77777777" w:rsidR="001832A0" w:rsidRPr="00CB57E4" w:rsidRDefault="001832A0" w:rsidP="00A85ED8">
            <w:pPr>
              <w:pStyle w:val="NormalWeb"/>
              <w:jc w:val="center"/>
              <w:rPr>
                <w:sz w:val="18"/>
                <w:szCs w:val="18"/>
              </w:rPr>
            </w:pPr>
            <w:r w:rsidRPr="00CB57E4">
              <w:rPr>
                <w:sz w:val="18"/>
                <w:szCs w:val="18"/>
              </w:rPr>
              <w:t>41</w:t>
            </w:r>
            <w:r w:rsidR="00951557">
              <w:rPr>
                <w:sz w:val="18"/>
                <w:szCs w:val="18"/>
              </w:rPr>
              <w:t>,</w:t>
            </w:r>
            <w:r w:rsidRPr="00CB57E4">
              <w:rPr>
                <w:sz w:val="18"/>
                <w:szCs w:val="18"/>
              </w:rPr>
              <w:t>593</w:t>
            </w:r>
          </w:p>
        </w:tc>
        <w:tc>
          <w:tcPr>
            <w:tcW w:w="3600" w:type="dxa"/>
            <w:shd w:val="clear" w:color="auto" w:fill="auto"/>
            <w:hideMark/>
          </w:tcPr>
          <w:p w14:paraId="72169052" w14:textId="77777777" w:rsidR="001832A0" w:rsidRPr="00CB57E4" w:rsidRDefault="001832A0" w:rsidP="00A85ED8">
            <w:pPr>
              <w:pStyle w:val="NormalWeb"/>
              <w:jc w:val="center"/>
              <w:rPr>
                <w:sz w:val="18"/>
                <w:szCs w:val="18"/>
              </w:rPr>
            </w:pPr>
            <w:r w:rsidRPr="00CB57E4">
              <w:rPr>
                <w:sz w:val="18"/>
                <w:szCs w:val="18"/>
              </w:rPr>
              <w:t>113.0 (83.0 – 150.2)</w:t>
            </w:r>
          </w:p>
        </w:tc>
        <w:tc>
          <w:tcPr>
            <w:tcW w:w="3420" w:type="dxa"/>
            <w:shd w:val="clear" w:color="auto" w:fill="auto"/>
            <w:hideMark/>
          </w:tcPr>
          <w:p w14:paraId="66AB7D4B" w14:textId="77777777" w:rsidR="001832A0" w:rsidRPr="00CB57E4" w:rsidRDefault="001832A0" w:rsidP="00A85ED8">
            <w:pPr>
              <w:pStyle w:val="NormalWeb"/>
              <w:jc w:val="center"/>
              <w:rPr>
                <w:sz w:val="18"/>
                <w:szCs w:val="18"/>
              </w:rPr>
            </w:pPr>
            <w:r w:rsidRPr="00CB57E4">
              <w:rPr>
                <w:sz w:val="18"/>
                <w:szCs w:val="18"/>
              </w:rPr>
              <w:t>–</w:t>
            </w:r>
          </w:p>
        </w:tc>
      </w:tr>
      <w:tr w:rsidR="00644A40" w:rsidRPr="00CB57E4" w14:paraId="59867820" w14:textId="77777777" w:rsidTr="00FC2B23">
        <w:tc>
          <w:tcPr>
            <w:tcW w:w="0" w:type="auto"/>
            <w:shd w:val="clear" w:color="auto" w:fill="auto"/>
            <w:hideMark/>
          </w:tcPr>
          <w:p w14:paraId="026A8F2F" w14:textId="77777777" w:rsidR="001832A0" w:rsidRPr="00CB57E4" w:rsidRDefault="001832A0">
            <w:pPr>
              <w:pStyle w:val="NormalWeb"/>
              <w:rPr>
                <w:sz w:val="18"/>
                <w:szCs w:val="18"/>
              </w:rPr>
            </w:pPr>
            <w:r w:rsidRPr="00CB57E4">
              <w:rPr>
                <w:sz w:val="18"/>
                <w:szCs w:val="18"/>
              </w:rPr>
              <w:t>MMR</w:t>
            </w:r>
          </w:p>
        </w:tc>
        <w:tc>
          <w:tcPr>
            <w:tcW w:w="0" w:type="auto"/>
            <w:shd w:val="clear" w:color="auto" w:fill="auto"/>
            <w:hideMark/>
          </w:tcPr>
          <w:p w14:paraId="4D03AFE7" w14:textId="77777777" w:rsidR="001832A0" w:rsidRPr="00CB57E4" w:rsidRDefault="001832A0" w:rsidP="00A85ED8">
            <w:pPr>
              <w:pStyle w:val="NormalWeb"/>
              <w:jc w:val="center"/>
              <w:rPr>
                <w:sz w:val="18"/>
                <w:szCs w:val="18"/>
              </w:rPr>
            </w:pPr>
            <w:r w:rsidRPr="00CB57E4">
              <w:rPr>
                <w:sz w:val="18"/>
                <w:szCs w:val="18"/>
              </w:rPr>
              <w:t>44</w:t>
            </w:r>
          </w:p>
        </w:tc>
        <w:tc>
          <w:tcPr>
            <w:tcW w:w="4174" w:type="dxa"/>
            <w:shd w:val="clear" w:color="auto" w:fill="auto"/>
            <w:hideMark/>
          </w:tcPr>
          <w:p w14:paraId="218002BF" w14:textId="77777777" w:rsidR="001832A0" w:rsidRPr="00CB57E4" w:rsidRDefault="001832A0" w:rsidP="00A85ED8">
            <w:pPr>
              <w:pStyle w:val="NormalWeb"/>
              <w:jc w:val="center"/>
              <w:rPr>
                <w:sz w:val="18"/>
                <w:szCs w:val="18"/>
              </w:rPr>
            </w:pPr>
            <w:r w:rsidRPr="00CB57E4">
              <w:rPr>
                <w:sz w:val="18"/>
                <w:szCs w:val="18"/>
              </w:rPr>
              <w:t>81</w:t>
            </w:r>
            <w:r w:rsidR="00951557">
              <w:rPr>
                <w:sz w:val="18"/>
                <w:szCs w:val="18"/>
              </w:rPr>
              <w:t>,</w:t>
            </w:r>
            <w:r w:rsidRPr="00CB57E4">
              <w:rPr>
                <w:sz w:val="18"/>
                <w:szCs w:val="18"/>
              </w:rPr>
              <w:t>888</w:t>
            </w:r>
          </w:p>
        </w:tc>
        <w:tc>
          <w:tcPr>
            <w:tcW w:w="3600" w:type="dxa"/>
            <w:shd w:val="clear" w:color="auto" w:fill="auto"/>
            <w:hideMark/>
          </w:tcPr>
          <w:p w14:paraId="46F60AFD" w14:textId="77777777" w:rsidR="001832A0" w:rsidRPr="00CB57E4" w:rsidRDefault="001832A0" w:rsidP="00A85ED8">
            <w:pPr>
              <w:pStyle w:val="NormalWeb"/>
              <w:jc w:val="center"/>
              <w:rPr>
                <w:sz w:val="18"/>
                <w:szCs w:val="18"/>
              </w:rPr>
            </w:pPr>
            <w:r w:rsidRPr="00CB57E4">
              <w:rPr>
                <w:sz w:val="18"/>
                <w:szCs w:val="18"/>
              </w:rPr>
              <w:t>53.7 (39.0 – 72.1)</w:t>
            </w:r>
          </w:p>
        </w:tc>
        <w:tc>
          <w:tcPr>
            <w:tcW w:w="3420" w:type="dxa"/>
            <w:shd w:val="clear" w:color="auto" w:fill="auto"/>
            <w:hideMark/>
          </w:tcPr>
          <w:p w14:paraId="68106F30" w14:textId="77777777" w:rsidR="001832A0" w:rsidRPr="00CB57E4" w:rsidRDefault="001832A0" w:rsidP="00A85ED8">
            <w:pPr>
              <w:pStyle w:val="NormalWeb"/>
              <w:jc w:val="center"/>
              <w:rPr>
                <w:sz w:val="18"/>
                <w:szCs w:val="18"/>
              </w:rPr>
            </w:pPr>
            <w:r w:rsidRPr="00CB57E4">
              <w:rPr>
                <w:sz w:val="18"/>
                <w:szCs w:val="18"/>
              </w:rPr>
              <w:t>–</w:t>
            </w:r>
          </w:p>
        </w:tc>
      </w:tr>
      <w:tr w:rsidR="006D7A71" w:rsidRPr="00CB57E4" w14:paraId="0465E279"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16BB4EDA" w14:textId="77777777" w:rsidR="001832A0" w:rsidRPr="00CB57E4" w:rsidRDefault="001832A0">
            <w:pPr>
              <w:pStyle w:val="NormalWeb"/>
              <w:rPr>
                <w:sz w:val="18"/>
                <w:szCs w:val="18"/>
              </w:rPr>
            </w:pPr>
            <w:r w:rsidRPr="00CB57E4">
              <w:rPr>
                <w:sz w:val="18"/>
                <w:szCs w:val="18"/>
              </w:rPr>
              <w:t>Hepatitis B</w:t>
            </w:r>
          </w:p>
        </w:tc>
        <w:tc>
          <w:tcPr>
            <w:tcW w:w="0" w:type="auto"/>
            <w:shd w:val="clear" w:color="auto" w:fill="auto"/>
            <w:hideMark/>
          </w:tcPr>
          <w:p w14:paraId="2ACCB1E6" w14:textId="77777777" w:rsidR="001832A0" w:rsidRPr="00CB57E4" w:rsidRDefault="001832A0" w:rsidP="00A85ED8">
            <w:pPr>
              <w:pStyle w:val="NormalWeb"/>
              <w:jc w:val="center"/>
              <w:rPr>
                <w:sz w:val="18"/>
                <w:szCs w:val="18"/>
              </w:rPr>
            </w:pPr>
            <w:r w:rsidRPr="00CB57E4">
              <w:rPr>
                <w:sz w:val="18"/>
                <w:szCs w:val="18"/>
              </w:rPr>
              <w:t>35</w:t>
            </w:r>
          </w:p>
        </w:tc>
        <w:tc>
          <w:tcPr>
            <w:tcW w:w="4174" w:type="dxa"/>
            <w:shd w:val="clear" w:color="auto" w:fill="auto"/>
            <w:hideMark/>
          </w:tcPr>
          <w:p w14:paraId="09D1A0F2" w14:textId="77777777" w:rsidR="001832A0" w:rsidRPr="00CB57E4" w:rsidRDefault="001832A0" w:rsidP="00A85ED8">
            <w:pPr>
              <w:pStyle w:val="NormalWeb"/>
              <w:jc w:val="center"/>
              <w:rPr>
                <w:sz w:val="18"/>
                <w:szCs w:val="18"/>
              </w:rPr>
            </w:pPr>
            <w:r w:rsidRPr="00CB57E4">
              <w:rPr>
                <w:sz w:val="18"/>
                <w:szCs w:val="18"/>
              </w:rPr>
              <w:t>136</w:t>
            </w:r>
            <w:r w:rsidR="00951557">
              <w:rPr>
                <w:sz w:val="18"/>
                <w:szCs w:val="18"/>
              </w:rPr>
              <w:t>,</w:t>
            </w:r>
            <w:r w:rsidRPr="00CB57E4">
              <w:rPr>
                <w:sz w:val="18"/>
                <w:szCs w:val="18"/>
              </w:rPr>
              <w:t>170</w:t>
            </w:r>
          </w:p>
        </w:tc>
        <w:tc>
          <w:tcPr>
            <w:tcW w:w="3600" w:type="dxa"/>
            <w:shd w:val="clear" w:color="auto" w:fill="auto"/>
            <w:hideMark/>
          </w:tcPr>
          <w:p w14:paraId="4A1815F7" w14:textId="77777777" w:rsidR="001832A0" w:rsidRPr="00CB57E4" w:rsidRDefault="001832A0" w:rsidP="00A85ED8">
            <w:pPr>
              <w:pStyle w:val="NormalWeb"/>
              <w:jc w:val="center"/>
              <w:rPr>
                <w:sz w:val="18"/>
                <w:szCs w:val="18"/>
              </w:rPr>
            </w:pPr>
            <w:r w:rsidRPr="00CB57E4">
              <w:rPr>
                <w:sz w:val="18"/>
                <w:szCs w:val="18"/>
              </w:rPr>
              <w:t>25.7 (17.9 – 35.7)</w:t>
            </w:r>
          </w:p>
        </w:tc>
        <w:tc>
          <w:tcPr>
            <w:tcW w:w="3420" w:type="dxa"/>
            <w:shd w:val="clear" w:color="auto" w:fill="auto"/>
            <w:hideMark/>
          </w:tcPr>
          <w:p w14:paraId="190F8B76" w14:textId="77777777" w:rsidR="001832A0" w:rsidRPr="00CB57E4" w:rsidRDefault="001832A0" w:rsidP="00A85ED8">
            <w:pPr>
              <w:pStyle w:val="NormalWeb"/>
              <w:jc w:val="center"/>
              <w:rPr>
                <w:sz w:val="18"/>
                <w:szCs w:val="18"/>
              </w:rPr>
            </w:pPr>
            <w:r w:rsidRPr="00CB57E4">
              <w:rPr>
                <w:sz w:val="18"/>
                <w:szCs w:val="18"/>
              </w:rPr>
              <w:t>–</w:t>
            </w:r>
          </w:p>
        </w:tc>
      </w:tr>
      <w:tr w:rsidR="00644A40" w:rsidRPr="00CB57E4" w14:paraId="49CCCC28" w14:textId="77777777" w:rsidTr="00FC2B23">
        <w:tc>
          <w:tcPr>
            <w:tcW w:w="0" w:type="auto"/>
            <w:shd w:val="clear" w:color="auto" w:fill="auto"/>
            <w:hideMark/>
          </w:tcPr>
          <w:p w14:paraId="53ADDCB3" w14:textId="77777777" w:rsidR="001832A0" w:rsidRPr="00CB57E4" w:rsidRDefault="001832A0">
            <w:pPr>
              <w:pStyle w:val="NormalWeb"/>
              <w:rPr>
                <w:sz w:val="18"/>
                <w:szCs w:val="18"/>
              </w:rPr>
            </w:pPr>
            <w:r w:rsidRPr="00CB57E4">
              <w:rPr>
                <w:sz w:val="18"/>
                <w:szCs w:val="18"/>
              </w:rPr>
              <w:t>Meningococcal ACWY</w:t>
            </w:r>
          </w:p>
        </w:tc>
        <w:tc>
          <w:tcPr>
            <w:tcW w:w="0" w:type="auto"/>
            <w:shd w:val="clear" w:color="auto" w:fill="auto"/>
            <w:hideMark/>
          </w:tcPr>
          <w:p w14:paraId="4FF8A754" w14:textId="77777777" w:rsidR="001832A0" w:rsidRPr="00CB57E4" w:rsidRDefault="001832A0" w:rsidP="00A85ED8">
            <w:pPr>
              <w:pStyle w:val="NormalWeb"/>
              <w:jc w:val="center"/>
              <w:rPr>
                <w:sz w:val="18"/>
                <w:szCs w:val="18"/>
              </w:rPr>
            </w:pPr>
            <w:r w:rsidRPr="00CB57E4">
              <w:rPr>
                <w:sz w:val="18"/>
                <w:szCs w:val="18"/>
              </w:rPr>
              <w:t>34</w:t>
            </w:r>
          </w:p>
        </w:tc>
        <w:tc>
          <w:tcPr>
            <w:tcW w:w="4174" w:type="dxa"/>
            <w:shd w:val="clear" w:color="auto" w:fill="auto"/>
            <w:hideMark/>
          </w:tcPr>
          <w:p w14:paraId="1138155D" w14:textId="77777777" w:rsidR="001832A0" w:rsidRPr="00CB57E4" w:rsidRDefault="001832A0" w:rsidP="00A85ED8">
            <w:pPr>
              <w:pStyle w:val="NormalWeb"/>
              <w:jc w:val="center"/>
              <w:rPr>
                <w:sz w:val="18"/>
                <w:szCs w:val="18"/>
              </w:rPr>
            </w:pPr>
            <w:r w:rsidRPr="00CB57E4">
              <w:rPr>
                <w:sz w:val="18"/>
                <w:szCs w:val="18"/>
              </w:rPr>
              <w:t>71,705</w:t>
            </w:r>
          </w:p>
        </w:tc>
        <w:tc>
          <w:tcPr>
            <w:tcW w:w="3600" w:type="dxa"/>
            <w:shd w:val="clear" w:color="auto" w:fill="auto"/>
            <w:hideMark/>
          </w:tcPr>
          <w:p w14:paraId="2F984E14" w14:textId="77777777" w:rsidR="001832A0" w:rsidRPr="00CB57E4" w:rsidRDefault="001832A0" w:rsidP="00A85ED8">
            <w:pPr>
              <w:pStyle w:val="NormalWeb"/>
              <w:jc w:val="center"/>
              <w:rPr>
                <w:sz w:val="18"/>
                <w:szCs w:val="18"/>
              </w:rPr>
            </w:pPr>
            <w:r w:rsidRPr="00CB57E4">
              <w:rPr>
                <w:sz w:val="18"/>
                <w:szCs w:val="18"/>
              </w:rPr>
              <w:t>47.4 (32.8 – 66.3)</w:t>
            </w:r>
          </w:p>
        </w:tc>
        <w:tc>
          <w:tcPr>
            <w:tcW w:w="3420" w:type="dxa"/>
            <w:shd w:val="clear" w:color="auto" w:fill="auto"/>
            <w:hideMark/>
          </w:tcPr>
          <w:p w14:paraId="00F81F13" w14:textId="77777777" w:rsidR="001832A0" w:rsidRPr="00CB57E4" w:rsidRDefault="001832A0" w:rsidP="00A85ED8">
            <w:pPr>
              <w:pStyle w:val="NormalWeb"/>
              <w:jc w:val="center"/>
              <w:rPr>
                <w:sz w:val="18"/>
                <w:szCs w:val="18"/>
              </w:rPr>
            </w:pPr>
            <w:r w:rsidRPr="00CB57E4">
              <w:rPr>
                <w:sz w:val="18"/>
                <w:szCs w:val="18"/>
              </w:rPr>
              <w:t>–</w:t>
            </w:r>
          </w:p>
        </w:tc>
      </w:tr>
      <w:tr w:rsidR="006D7A71" w:rsidRPr="00CB57E4" w14:paraId="1C5B8989"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50C0F379" w14:textId="77777777" w:rsidR="001832A0" w:rsidRPr="00CB57E4" w:rsidRDefault="001832A0">
            <w:pPr>
              <w:pStyle w:val="NormalWeb"/>
              <w:rPr>
                <w:sz w:val="18"/>
                <w:szCs w:val="18"/>
              </w:rPr>
            </w:pPr>
            <w:r w:rsidRPr="00CB57E4">
              <w:rPr>
                <w:sz w:val="18"/>
                <w:szCs w:val="18"/>
              </w:rPr>
              <w:t>Hepatitis A</w:t>
            </w:r>
          </w:p>
        </w:tc>
        <w:tc>
          <w:tcPr>
            <w:tcW w:w="0" w:type="auto"/>
            <w:shd w:val="clear" w:color="auto" w:fill="auto"/>
            <w:hideMark/>
          </w:tcPr>
          <w:p w14:paraId="15493F34" w14:textId="77777777" w:rsidR="001832A0" w:rsidRPr="00CB57E4" w:rsidRDefault="001832A0" w:rsidP="00A85ED8">
            <w:pPr>
              <w:pStyle w:val="NormalWeb"/>
              <w:jc w:val="center"/>
              <w:rPr>
                <w:sz w:val="18"/>
                <w:szCs w:val="18"/>
              </w:rPr>
            </w:pPr>
            <w:r w:rsidRPr="00CB57E4">
              <w:rPr>
                <w:sz w:val="18"/>
                <w:szCs w:val="18"/>
              </w:rPr>
              <w:t>22</w:t>
            </w:r>
          </w:p>
        </w:tc>
        <w:tc>
          <w:tcPr>
            <w:tcW w:w="4174" w:type="dxa"/>
            <w:shd w:val="clear" w:color="auto" w:fill="auto"/>
            <w:hideMark/>
          </w:tcPr>
          <w:p w14:paraId="360A63FD" w14:textId="77777777" w:rsidR="001832A0" w:rsidRPr="00CB57E4" w:rsidRDefault="001832A0" w:rsidP="00A85ED8">
            <w:pPr>
              <w:pStyle w:val="NormalWeb"/>
              <w:jc w:val="center"/>
              <w:rPr>
                <w:sz w:val="18"/>
                <w:szCs w:val="18"/>
              </w:rPr>
            </w:pPr>
            <w:r w:rsidRPr="00CB57E4">
              <w:rPr>
                <w:sz w:val="18"/>
                <w:szCs w:val="18"/>
              </w:rPr>
              <w:t>126,839</w:t>
            </w:r>
          </w:p>
        </w:tc>
        <w:tc>
          <w:tcPr>
            <w:tcW w:w="3600" w:type="dxa"/>
            <w:shd w:val="clear" w:color="auto" w:fill="auto"/>
            <w:hideMark/>
          </w:tcPr>
          <w:p w14:paraId="47AAC04B" w14:textId="77777777" w:rsidR="001832A0" w:rsidRPr="00CB57E4" w:rsidRDefault="001832A0" w:rsidP="00A85ED8">
            <w:pPr>
              <w:pStyle w:val="NormalWeb"/>
              <w:jc w:val="center"/>
              <w:rPr>
                <w:sz w:val="18"/>
                <w:szCs w:val="18"/>
              </w:rPr>
            </w:pPr>
            <w:r w:rsidRPr="00CB57E4">
              <w:rPr>
                <w:sz w:val="18"/>
                <w:szCs w:val="18"/>
              </w:rPr>
              <w:t>17.3 (10.9 – 26.3)</w:t>
            </w:r>
          </w:p>
        </w:tc>
        <w:tc>
          <w:tcPr>
            <w:tcW w:w="3420" w:type="dxa"/>
            <w:shd w:val="clear" w:color="auto" w:fill="auto"/>
            <w:hideMark/>
          </w:tcPr>
          <w:p w14:paraId="7C9FDFD9" w14:textId="77777777" w:rsidR="001832A0" w:rsidRPr="00CB57E4" w:rsidRDefault="001832A0" w:rsidP="00A85ED8">
            <w:pPr>
              <w:pStyle w:val="NormalWeb"/>
              <w:jc w:val="center"/>
              <w:rPr>
                <w:sz w:val="18"/>
                <w:szCs w:val="18"/>
              </w:rPr>
            </w:pPr>
            <w:r w:rsidRPr="00CB57E4">
              <w:rPr>
                <w:sz w:val="18"/>
                <w:szCs w:val="18"/>
              </w:rPr>
              <w:t>–</w:t>
            </w:r>
          </w:p>
        </w:tc>
      </w:tr>
      <w:tr w:rsidR="00644A40" w:rsidRPr="00CB57E4" w14:paraId="02DBF16C" w14:textId="77777777" w:rsidTr="00FC2B23">
        <w:tc>
          <w:tcPr>
            <w:tcW w:w="0" w:type="auto"/>
            <w:shd w:val="clear" w:color="auto" w:fill="auto"/>
            <w:hideMark/>
          </w:tcPr>
          <w:p w14:paraId="7EB8106D" w14:textId="77777777" w:rsidR="001832A0" w:rsidRPr="00CB57E4" w:rsidRDefault="001832A0">
            <w:pPr>
              <w:pStyle w:val="NormalWeb"/>
              <w:rPr>
                <w:sz w:val="18"/>
                <w:szCs w:val="18"/>
              </w:rPr>
            </w:pPr>
            <w:r w:rsidRPr="00CB57E4">
              <w:rPr>
                <w:sz w:val="18"/>
                <w:szCs w:val="18"/>
              </w:rPr>
              <w:t>Meningococcal B</w:t>
            </w:r>
          </w:p>
        </w:tc>
        <w:tc>
          <w:tcPr>
            <w:tcW w:w="0" w:type="auto"/>
            <w:shd w:val="clear" w:color="auto" w:fill="auto"/>
            <w:hideMark/>
          </w:tcPr>
          <w:p w14:paraId="765B269F" w14:textId="77777777" w:rsidR="001832A0" w:rsidRPr="00CB57E4" w:rsidRDefault="001832A0" w:rsidP="00A85ED8">
            <w:pPr>
              <w:pStyle w:val="NormalWeb"/>
              <w:jc w:val="center"/>
              <w:rPr>
                <w:sz w:val="18"/>
                <w:szCs w:val="18"/>
              </w:rPr>
            </w:pPr>
            <w:r w:rsidRPr="00CB57E4">
              <w:rPr>
                <w:sz w:val="18"/>
                <w:szCs w:val="18"/>
              </w:rPr>
              <w:t>18</w:t>
            </w:r>
          </w:p>
        </w:tc>
        <w:tc>
          <w:tcPr>
            <w:tcW w:w="4174" w:type="dxa"/>
            <w:shd w:val="clear" w:color="auto" w:fill="auto"/>
            <w:hideMark/>
          </w:tcPr>
          <w:p w14:paraId="21E599E0" w14:textId="77777777" w:rsidR="001832A0" w:rsidRPr="00CB57E4" w:rsidRDefault="001832A0" w:rsidP="00A85ED8">
            <w:pPr>
              <w:pStyle w:val="NormalWeb"/>
              <w:jc w:val="center"/>
              <w:rPr>
                <w:sz w:val="18"/>
                <w:szCs w:val="18"/>
              </w:rPr>
            </w:pPr>
            <w:r w:rsidRPr="00CB57E4">
              <w:rPr>
                <w:sz w:val="18"/>
                <w:szCs w:val="18"/>
              </w:rPr>
              <w:t>22</w:t>
            </w:r>
            <w:r w:rsidR="00951557">
              <w:rPr>
                <w:sz w:val="18"/>
                <w:szCs w:val="18"/>
              </w:rPr>
              <w:t>,</w:t>
            </w:r>
            <w:r w:rsidRPr="00CB57E4">
              <w:rPr>
                <w:sz w:val="18"/>
                <w:szCs w:val="18"/>
              </w:rPr>
              <w:t>959</w:t>
            </w:r>
          </w:p>
        </w:tc>
        <w:tc>
          <w:tcPr>
            <w:tcW w:w="3600" w:type="dxa"/>
            <w:shd w:val="clear" w:color="auto" w:fill="auto"/>
            <w:hideMark/>
          </w:tcPr>
          <w:p w14:paraId="004CE073" w14:textId="77777777" w:rsidR="001832A0" w:rsidRPr="00CB57E4" w:rsidRDefault="001832A0" w:rsidP="00A85ED8">
            <w:pPr>
              <w:pStyle w:val="NormalWeb"/>
              <w:jc w:val="center"/>
              <w:rPr>
                <w:sz w:val="18"/>
                <w:szCs w:val="18"/>
              </w:rPr>
            </w:pPr>
            <w:r w:rsidRPr="00CB57E4">
              <w:rPr>
                <w:sz w:val="18"/>
                <w:szCs w:val="18"/>
              </w:rPr>
              <w:t>78.4 (46.5 – 123.9)</w:t>
            </w:r>
          </w:p>
        </w:tc>
        <w:tc>
          <w:tcPr>
            <w:tcW w:w="3420" w:type="dxa"/>
            <w:shd w:val="clear" w:color="auto" w:fill="auto"/>
            <w:hideMark/>
          </w:tcPr>
          <w:p w14:paraId="204B467D" w14:textId="77777777" w:rsidR="001832A0" w:rsidRPr="00CB57E4" w:rsidRDefault="001832A0" w:rsidP="00A85ED8">
            <w:pPr>
              <w:pStyle w:val="NormalWeb"/>
              <w:jc w:val="center"/>
              <w:rPr>
                <w:sz w:val="18"/>
                <w:szCs w:val="18"/>
              </w:rPr>
            </w:pPr>
            <w:r w:rsidRPr="00CB57E4">
              <w:rPr>
                <w:sz w:val="18"/>
                <w:szCs w:val="18"/>
              </w:rPr>
              <w:t>–</w:t>
            </w:r>
          </w:p>
        </w:tc>
      </w:tr>
      <w:tr w:rsidR="006D7A71" w:rsidRPr="00CB57E4" w14:paraId="3A1F1105"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4AC96D16" w14:textId="77777777" w:rsidR="001832A0" w:rsidRPr="00CB57E4" w:rsidRDefault="001832A0">
            <w:pPr>
              <w:pStyle w:val="NormalWeb"/>
              <w:rPr>
                <w:sz w:val="18"/>
                <w:szCs w:val="18"/>
              </w:rPr>
            </w:pPr>
            <w:r w:rsidRPr="00CB57E4">
              <w:rPr>
                <w:sz w:val="18"/>
                <w:szCs w:val="18"/>
              </w:rPr>
              <w:t>Varicella</w:t>
            </w:r>
          </w:p>
        </w:tc>
        <w:tc>
          <w:tcPr>
            <w:tcW w:w="0" w:type="auto"/>
            <w:shd w:val="clear" w:color="auto" w:fill="auto"/>
            <w:hideMark/>
          </w:tcPr>
          <w:p w14:paraId="2C6ACF52" w14:textId="77777777" w:rsidR="001832A0" w:rsidRPr="00CB57E4" w:rsidRDefault="001832A0" w:rsidP="00A85ED8">
            <w:pPr>
              <w:pStyle w:val="NormalWeb"/>
              <w:jc w:val="center"/>
              <w:rPr>
                <w:sz w:val="18"/>
                <w:szCs w:val="18"/>
              </w:rPr>
            </w:pPr>
            <w:r w:rsidRPr="00CB57E4">
              <w:rPr>
                <w:sz w:val="18"/>
                <w:szCs w:val="18"/>
              </w:rPr>
              <w:t>13</w:t>
            </w:r>
          </w:p>
        </w:tc>
        <w:tc>
          <w:tcPr>
            <w:tcW w:w="4174" w:type="dxa"/>
            <w:shd w:val="clear" w:color="auto" w:fill="auto"/>
            <w:hideMark/>
          </w:tcPr>
          <w:p w14:paraId="18A03D9B" w14:textId="77777777" w:rsidR="001832A0" w:rsidRPr="00CB57E4" w:rsidRDefault="001832A0" w:rsidP="00A85ED8">
            <w:pPr>
              <w:pStyle w:val="NormalWeb"/>
              <w:jc w:val="center"/>
              <w:rPr>
                <w:sz w:val="18"/>
                <w:szCs w:val="18"/>
              </w:rPr>
            </w:pPr>
            <w:r w:rsidRPr="00CB57E4">
              <w:rPr>
                <w:sz w:val="18"/>
                <w:szCs w:val="18"/>
              </w:rPr>
              <w:t>26</w:t>
            </w:r>
            <w:r w:rsidR="00951557">
              <w:rPr>
                <w:sz w:val="18"/>
                <w:szCs w:val="18"/>
              </w:rPr>
              <w:t>,</w:t>
            </w:r>
            <w:r w:rsidRPr="00CB57E4">
              <w:rPr>
                <w:sz w:val="18"/>
                <w:szCs w:val="18"/>
              </w:rPr>
              <w:t>403</w:t>
            </w:r>
          </w:p>
        </w:tc>
        <w:tc>
          <w:tcPr>
            <w:tcW w:w="3600" w:type="dxa"/>
            <w:shd w:val="clear" w:color="auto" w:fill="auto"/>
            <w:hideMark/>
          </w:tcPr>
          <w:p w14:paraId="56681B5B" w14:textId="77777777" w:rsidR="001832A0" w:rsidRPr="00CB57E4" w:rsidRDefault="001832A0" w:rsidP="00A85ED8">
            <w:pPr>
              <w:pStyle w:val="NormalWeb"/>
              <w:jc w:val="center"/>
              <w:rPr>
                <w:sz w:val="18"/>
                <w:szCs w:val="18"/>
              </w:rPr>
            </w:pPr>
            <w:r w:rsidRPr="00CB57E4">
              <w:rPr>
                <w:sz w:val="18"/>
                <w:szCs w:val="18"/>
              </w:rPr>
              <w:t>49.2 (26.2 – 84.2)</w:t>
            </w:r>
          </w:p>
        </w:tc>
        <w:tc>
          <w:tcPr>
            <w:tcW w:w="3420" w:type="dxa"/>
            <w:shd w:val="clear" w:color="auto" w:fill="auto"/>
            <w:hideMark/>
          </w:tcPr>
          <w:p w14:paraId="72EE46CD" w14:textId="77777777" w:rsidR="001832A0" w:rsidRPr="00CB57E4" w:rsidRDefault="001832A0" w:rsidP="00A85ED8">
            <w:pPr>
              <w:pStyle w:val="NormalWeb"/>
              <w:jc w:val="center"/>
              <w:rPr>
                <w:sz w:val="18"/>
                <w:szCs w:val="18"/>
              </w:rPr>
            </w:pPr>
            <w:r w:rsidRPr="00CB57E4">
              <w:rPr>
                <w:sz w:val="18"/>
                <w:szCs w:val="18"/>
              </w:rPr>
              <w:t>–</w:t>
            </w:r>
          </w:p>
        </w:tc>
      </w:tr>
      <w:tr w:rsidR="00644A40" w:rsidRPr="00CB57E4" w14:paraId="3A8AF851" w14:textId="77777777" w:rsidTr="00FC2B23">
        <w:tc>
          <w:tcPr>
            <w:tcW w:w="0" w:type="auto"/>
            <w:shd w:val="clear" w:color="auto" w:fill="auto"/>
            <w:hideMark/>
          </w:tcPr>
          <w:p w14:paraId="54DCD20B" w14:textId="77777777" w:rsidR="001832A0" w:rsidRPr="00CB57E4" w:rsidRDefault="001832A0">
            <w:pPr>
              <w:pStyle w:val="NormalWeb"/>
              <w:rPr>
                <w:sz w:val="18"/>
                <w:szCs w:val="18"/>
              </w:rPr>
            </w:pPr>
            <w:r w:rsidRPr="00CB57E4">
              <w:rPr>
                <w:sz w:val="18"/>
                <w:szCs w:val="18"/>
              </w:rPr>
              <w:t>Hepatitis A-typhoid</w:t>
            </w:r>
          </w:p>
        </w:tc>
        <w:tc>
          <w:tcPr>
            <w:tcW w:w="0" w:type="auto"/>
            <w:shd w:val="clear" w:color="auto" w:fill="auto"/>
            <w:hideMark/>
          </w:tcPr>
          <w:p w14:paraId="3672D90C" w14:textId="77777777" w:rsidR="001832A0" w:rsidRPr="00CB57E4" w:rsidRDefault="001832A0" w:rsidP="00A85ED8">
            <w:pPr>
              <w:pStyle w:val="NormalWeb"/>
              <w:jc w:val="center"/>
              <w:rPr>
                <w:sz w:val="18"/>
                <w:szCs w:val="18"/>
              </w:rPr>
            </w:pPr>
            <w:r w:rsidRPr="00CB57E4">
              <w:rPr>
                <w:sz w:val="18"/>
                <w:szCs w:val="18"/>
              </w:rPr>
              <w:t>11</w:t>
            </w:r>
          </w:p>
        </w:tc>
        <w:tc>
          <w:tcPr>
            <w:tcW w:w="4174" w:type="dxa"/>
            <w:shd w:val="clear" w:color="auto" w:fill="auto"/>
            <w:hideMark/>
          </w:tcPr>
          <w:p w14:paraId="6EFD6E29" w14:textId="77777777" w:rsidR="001832A0" w:rsidRPr="00CB57E4" w:rsidRDefault="001832A0" w:rsidP="00A85ED8">
            <w:pPr>
              <w:pStyle w:val="NormalWeb"/>
              <w:jc w:val="center"/>
              <w:rPr>
                <w:sz w:val="18"/>
                <w:szCs w:val="18"/>
              </w:rPr>
            </w:pPr>
            <w:r w:rsidRPr="00CB57E4">
              <w:rPr>
                <w:sz w:val="18"/>
                <w:szCs w:val="18"/>
              </w:rPr>
              <w:t>139,311</w:t>
            </w:r>
          </w:p>
        </w:tc>
        <w:tc>
          <w:tcPr>
            <w:tcW w:w="3600" w:type="dxa"/>
            <w:shd w:val="clear" w:color="auto" w:fill="auto"/>
            <w:hideMark/>
          </w:tcPr>
          <w:p w14:paraId="0B77FBB5" w14:textId="77777777" w:rsidR="001832A0" w:rsidRPr="00CB57E4" w:rsidRDefault="001832A0" w:rsidP="00A85ED8">
            <w:pPr>
              <w:pStyle w:val="NormalWeb"/>
              <w:jc w:val="center"/>
              <w:rPr>
                <w:sz w:val="18"/>
                <w:szCs w:val="18"/>
              </w:rPr>
            </w:pPr>
            <w:r w:rsidRPr="00CB57E4">
              <w:rPr>
                <w:sz w:val="18"/>
                <w:szCs w:val="18"/>
              </w:rPr>
              <w:t>7.9 (3.9 – 14.1)</w:t>
            </w:r>
          </w:p>
        </w:tc>
        <w:tc>
          <w:tcPr>
            <w:tcW w:w="3420" w:type="dxa"/>
            <w:shd w:val="clear" w:color="auto" w:fill="auto"/>
            <w:hideMark/>
          </w:tcPr>
          <w:p w14:paraId="14FFF5F2" w14:textId="77777777" w:rsidR="001832A0" w:rsidRPr="00CB57E4" w:rsidRDefault="001832A0" w:rsidP="00A85ED8">
            <w:pPr>
              <w:pStyle w:val="NormalWeb"/>
              <w:jc w:val="center"/>
              <w:rPr>
                <w:sz w:val="18"/>
                <w:szCs w:val="18"/>
              </w:rPr>
            </w:pPr>
            <w:r w:rsidRPr="00CB57E4">
              <w:rPr>
                <w:sz w:val="18"/>
                <w:szCs w:val="18"/>
              </w:rPr>
              <w:t>–</w:t>
            </w:r>
          </w:p>
        </w:tc>
      </w:tr>
      <w:tr w:rsidR="006D7A71" w:rsidRPr="00CB57E4" w14:paraId="42EAF4AE"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00650622" w14:textId="77777777" w:rsidR="001832A0" w:rsidRPr="00CB57E4" w:rsidRDefault="001832A0">
            <w:pPr>
              <w:pStyle w:val="NormalWeb"/>
              <w:rPr>
                <w:sz w:val="18"/>
                <w:szCs w:val="18"/>
              </w:rPr>
            </w:pPr>
            <w:r w:rsidRPr="00CB57E4">
              <w:rPr>
                <w:sz w:val="18"/>
                <w:szCs w:val="18"/>
              </w:rPr>
              <w:t>Hepatitis A-hepatitis B</w:t>
            </w:r>
          </w:p>
        </w:tc>
        <w:tc>
          <w:tcPr>
            <w:tcW w:w="0" w:type="auto"/>
            <w:shd w:val="clear" w:color="auto" w:fill="auto"/>
            <w:hideMark/>
          </w:tcPr>
          <w:p w14:paraId="3EA8FD80" w14:textId="77777777" w:rsidR="001832A0" w:rsidRPr="00CB57E4" w:rsidRDefault="001832A0" w:rsidP="00A85ED8">
            <w:pPr>
              <w:pStyle w:val="NormalWeb"/>
              <w:jc w:val="center"/>
              <w:rPr>
                <w:sz w:val="18"/>
                <w:szCs w:val="18"/>
              </w:rPr>
            </w:pPr>
            <w:r w:rsidRPr="00CB57E4">
              <w:rPr>
                <w:sz w:val="18"/>
                <w:szCs w:val="18"/>
              </w:rPr>
              <w:t>9</w:t>
            </w:r>
          </w:p>
        </w:tc>
        <w:tc>
          <w:tcPr>
            <w:tcW w:w="4174" w:type="dxa"/>
            <w:shd w:val="clear" w:color="auto" w:fill="auto"/>
            <w:hideMark/>
          </w:tcPr>
          <w:p w14:paraId="7411E559" w14:textId="77777777" w:rsidR="001832A0" w:rsidRPr="00CB57E4" w:rsidRDefault="001832A0" w:rsidP="00A85ED8">
            <w:pPr>
              <w:pStyle w:val="NormalWeb"/>
              <w:jc w:val="center"/>
              <w:rPr>
                <w:sz w:val="18"/>
                <w:szCs w:val="18"/>
              </w:rPr>
            </w:pPr>
            <w:r w:rsidRPr="00CB57E4">
              <w:rPr>
                <w:sz w:val="18"/>
                <w:szCs w:val="18"/>
              </w:rPr>
              <w:t>70,969</w:t>
            </w:r>
          </w:p>
        </w:tc>
        <w:tc>
          <w:tcPr>
            <w:tcW w:w="3600" w:type="dxa"/>
            <w:shd w:val="clear" w:color="auto" w:fill="auto"/>
            <w:hideMark/>
          </w:tcPr>
          <w:p w14:paraId="6D988B5A" w14:textId="77777777" w:rsidR="001832A0" w:rsidRPr="00CB57E4" w:rsidRDefault="001832A0" w:rsidP="00A85ED8">
            <w:pPr>
              <w:pStyle w:val="NormalWeb"/>
              <w:jc w:val="center"/>
              <w:rPr>
                <w:sz w:val="18"/>
                <w:szCs w:val="18"/>
              </w:rPr>
            </w:pPr>
            <w:r w:rsidRPr="00CB57E4">
              <w:rPr>
                <w:sz w:val="18"/>
                <w:szCs w:val="18"/>
              </w:rPr>
              <w:t>12.7 (5.8 – 24.1)</w:t>
            </w:r>
          </w:p>
        </w:tc>
        <w:tc>
          <w:tcPr>
            <w:tcW w:w="3420" w:type="dxa"/>
            <w:shd w:val="clear" w:color="auto" w:fill="auto"/>
            <w:hideMark/>
          </w:tcPr>
          <w:p w14:paraId="1026FE00" w14:textId="77777777" w:rsidR="001832A0" w:rsidRPr="00CB57E4" w:rsidRDefault="001832A0" w:rsidP="00A85ED8">
            <w:pPr>
              <w:pStyle w:val="NormalWeb"/>
              <w:jc w:val="center"/>
              <w:rPr>
                <w:sz w:val="18"/>
                <w:szCs w:val="18"/>
              </w:rPr>
            </w:pPr>
            <w:r w:rsidRPr="00CB57E4">
              <w:rPr>
                <w:sz w:val="18"/>
                <w:szCs w:val="18"/>
              </w:rPr>
              <w:t>–</w:t>
            </w:r>
          </w:p>
        </w:tc>
      </w:tr>
      <w:tr w:rsidR="00644A40" w:rsidRPr="00CB57E4" w14:paraId="2EAA7B47" w14:textId="77777777" w:rsidTr="00FC2B23">
        <w:tc>
          <w:tcPr>
            <w:tcW w:w="0" w:type="auto"/>
            <w:shd w:val="clear" w:color="auto" w:fill="auto"/>
            <w:hideMark/>
          </w:tcPr>
          <w:p w14:paraId="4AB99745" w14:textId="77777777" w:rsidR="001832A0" w:rsidRPr="00CB57E4" w:rsidRDefault="001832A0">
            <w:pPr>
              <w:pStyle w:val="NormalWeb"/>
              <w:rPr>
                <w:sz w:val="18"/>
                <w:szCs w:val="18"/>
              </w:rPr>
            </w:pPr>
            <w:r w:rsidRPr="00CB57E4">
              <w:rPr>
                <w:sz w:val="18"/>
                <w:szCs w:val="18"/>
              </w:rPr>
              <w:t>Q fever</w:t>
            </w:r>
          </w:p>
        </w:tc>
        <w:tc>
          <w:tcPr>
            <w:tcW w:w="0" w:type="auto"/>
            <w:shd w:val="clear" w:color="auto" w:fill="auto"/>
            <w:hideMark/>
          </w:tcPr>
          <w:p w14:paraId="4CED06A9" w14:textId="77777777" w:rsidR="001832A0" w:rsidRPr="00CB57E4" w:rsidRDefault="001832A0" w:rsidP="00A85ED8">
            <w:pPr>
              <w:pStyle w:val="NormalWeb"/>
              <w:jc w:val="center"/>
              <w:rPr>
                <w:sz w:val="18"/>
                <w:szCs w:val="18"/>
              </w:rPr>
            </w:pPr>
            <w:r w:rsidRPr="00CB57E4">
              <w:rPr>
                <w:sz w:val="18"/>
                <w:szCs w:val="18"/>
              </w:rPr>
              <w:t>5</w:t>
            </w:r>
          </w:p>
        </w:tc>
        <w:tc>
          <w:tcPr>
            <w:tcW w:w="4174" w:type="dxa"/>
            <w:shd w:val="clear" w:color="auto" w:fill="auto"/>
            <w:hideMark/>
          </w:tcPr>
          <w:p w14:paraId="3C255E02" w14:textId="77777777" w:rsidR="001832A0" w:rsidRPr="00CB57E4" w:rsidRDefault="001832A0" w:rsidP="00A85ED8">
            <w:pPr>
              <w:pStyle w:val="NormalWeb"/>
              <w:jc w:val="center"/>
              <w:rPr>
                <w:sz w:val="18"/>
                <w:szCs w:val="18"/>
              </w:rPr>
            </w:pPr>
            <w:r w:rsidRPr="00CB57E4">
              <w:rPr>
                <w:sz w:val="18"/>
                <w:szCs w:val="18"/>
              </w:rPr>
              <w:t>n/a</w:t>
            </w:r>
          </w:p>
        </w:tc>
        <w:tc>
          <w:tcPr>
            <w:tcW w:w="3600" w:type="dxa"/>
            <w:shd w:val="clear" w:color="auto" w:fill="auto"/>
            <w:hideMark/>
          </w:tcPr>
          <w:p w14:paraId="009439B0" w14:textId="77777777" w:rsidR="001832A0" w:rsidRPr="00CB57E4" w:rsidRDefault="001832A0" w:rsidP="00A85ED8">
            <w:pPr>
              <w:pStyle w:val="NormalWeb"/>
              <w:jc w:val="center"/>
              <w:rPr>
                <w:sz w:val="18"/>
                <w:szCs w:val="18"/>
              </w:rPr>
            </w:pPr>
            <w:r w:rsidRPr="00CB57E4">
              <w:rPr>
                <w:sz w:val="18"/>
                <w:szCs w:val="18"/>
              </w:rPr>
              <w:t>–</w:t>
            </w:r>
          </w:p>
        </w:tc>
        <w:tc>
          <w:tcPr>
            <w:tcW w:w="3420" w:type="dxa"/>
            <w:shd w:val="clear" w:color="auto" w:fill="auto"/>
            <w:hideMark/>
          </w:tcPr>
          <w:p w14:paraId="5175C8F0" w14:textId="77777777" w:rsidR="001832A0" w:rsidRPr="00CB57E4" w:rsidRDefault="001832A0" w:rsidP="00A85ED8">
            <w:pPr>
              <w:pStyle w:val="NormalWeb"/>
              <w:jc w:val="center"/>
              <w:rPr>
                <w:sz w:val="18"/>
                <w:szCs w:val="18"/>
              </w:rPr>
            </w:pPr>
            <w:r w:rsidRPr="00CB57E4">
              <w:rPr>
                <w:sz w:val="18"/>
                <w:szCs w:val="18"/>
              </w:rPr>
              <w:t>–</w:t>
            </w:r>
          </w:p>
        </w:tc>
      </w:tr>
      <w:tr w:rsidR="00205EF3" w:rsidRPr="00205EF3" w14:paraId="62FE0B3F" w14:textId="77777777" w:rsidTr="00205EF3">
        <w:trPr>
          <w:cnfStyle w:val="000000010000" w:firstRow="0" w:lastRow="0" w:firstColumn="0" w:lastColumn="0" w:oddVBand="0" w:evenVBand="0" w:oddHBand="0" w:evenHBand="1" w:firstRowFirstColumn="0" w:firstRowLastColumn="0" w:lastRowFirstColumn="0" w:lastRowLastColumn="0"/>
        </w:trPr>
        <w:tc>
          <w:tcPr>
            <w:tcW w:w="0" w:type="auto"/>
            <w:shd w:val="clear" w:color="auto" w:fill="808080" w:themeFill="background1" w:themeFillShade="80"/>
            <w:hideMark/>
          </w:tcPr>
          <w:p w14:paraId="5D481ACC" w14:textId="77777777" w:rsidR="001832A0" w:rsidRPr="00205EF3" w:rsidRDefault="001832A0">
            <w:pPr>
              <w:pStyle w:val="NormalWeb"/>
              <w:rPr>
                <w:b/>
                <w:color w:val="FFFFFF" w:themeColor="background1"/>
                <w:sz w:val="18"/>
                <w:szCs w:val="18"/>
              </w:rPr>
            </w:pPr>
            <w:r w:rsidRPr="00205EF3">
              <w:rPr>
                <w:b/>
                <w:color w:val="FFFFFF" w:themeColor="background1"/>
                <w:sz w:val="18"/>
                <w:szCs w:val="18"/>
              </w:rPr>
              <w:t>≥65 years</w:t>
            </w:r>
          </w:p>
        </w:tc>
        <w:tc>
          <w:tcPr>
            <w:tcW w:w="0" w:type="auto"/>
            <w:shd w:val="clear" w:color="auto" w:fill="808080" w:themeFill="background1" w:themeFillShade="80"/>
            <w:hideMark/>
          </w:tcPr>
          <w:p w14:paraId="3238F34E" w14:textId="77777777" w:rsidR="001832A0" w:rsidRPr="00205EF3" w:rsidRDefault="001832A0" w:rsidP="00A85ED8">
            <w:pPr>
              <w:jc w:val="center"/>
              <w:rPr>
                <w:b/>
                <w:color w:val="FFFFFF" w:themeColor="background1"/>
                <w:sz w:val="18"/>
                <w:szCs w:val="18"/>
              </w:rPr>
            </w:pPr>
          </w:p>
        </w:tc>
        <w:tc>
          <w:tcPr>
            <w:tcW w:w="4174" w:type="dxa"/>
            <w:shd w:val="clear" w:color="auto" w:fill="808080" w:themeFill="background1" w:themeFillShade="80"/>
            <w:hideMark/>
          </w:tcPr>
          <w:p w14:paraId="4DDAC017" w14:textId="77777777" w:rsidR="001832A0" w:rsidRPr="00205EF3" w:rsidRDefault="001832A0" w:rsidP="00A85ED8">
            <w:pPr>
              <w:jc w:val="center"/>
              <w:rPr>
                <w:rFonts w:eastAsia="Times New Roman"/>
                <w:b/>
                <w:color w:val="FFFFFF" w:themeColor="background1"/>
                <w:sz w:val="18"/>
                <w:szCs w:val="18"/>
              </w:rPr>
            </w:pPr>
          </w:p>
        </w:tc>
        <w:tc>
          <w:tcPr>
            <w:tcW w:w="3600" w:type="dxa"/>
            <w:shd w:val="clear" w:color="auto" w:fill="808080" w:themeFill="background1" w:themeFillShade="80"/>
            <w:hideMark/>
          </w:tcPr>
          <w:p w14:paraId="5C081A81" w14:textId="77777777" w:rsidR="001832A0" w:rsidRPr="00205EF3" w:rsidRDefault="001832A0" w:rsidP="00A85ED8">
            <w:pPr>
              <w:jc w:val="center"/>
              <w:rPr>
                <w:rFonts w:eastAsia="Times New Roman"/>
                <w:b/>
                <w:color w:val="FFFFFF" w:themeColor="background1"/>
                <w:sz w:val="18"/>
                <w:szCs w:val="18"/>
              </w:rPr>
            </w:pPr>
          </w:p>
        </w:tc>
        <w:tc>
          <w:tcPr>
            <w:tcW w:w="3420" w:type="dxa"/>
            <w:shd w:val="clear" w:color="auto" w:fill="808080" w:themeFill="background1" w:themeFillShade="80"/>
            <w:hideMark/>
          </w:tcPr>
          <w:p w14:paraId="3DEDB323" w14:textId="77777777" w:rsidR="001832A0" w:rsidRPr="00205EF3" w:rsidRDefault="001832A0" w:rsidP="00A85ED8">
            <w:pPr>
              <w:jc w:val="center"/>
              <w:rPr>
                <w:rFonts w:eastAsia="Times New Roman"/>
                <w:b/>
                <w:color w:val="FFFFFF" w:themeColor="background1"/>
                <w:sz w:val="18"/>
                <w:szCs w:val="18"/>
              </w:rPr>
            </w:pPr>
          </w:p>
        </w:tc>
      </w:tr>
      <w:tr w:rsidR="00644A40" w:rsidRPr="00CB57E4" w14:paraId="12161342" w14:textId="77777777" w:rsidTr="00FC2B23">
        <w:tc>
          <w:tcPr>
            <w:tcW w:w="0" w:type="auto"/>
            <w:shd w:val="clear" w:color="auto" w:fill="auto"/>
            <w:hideMark/>
          </w:tcPr>
          <w:p w14:paraId="47025F4E" w14:textId="77777777" w:rsidR="001832A0" w:rsidRPr="00CB57E4" w:rsidRDefault="001832A0">
            <w:pPr>
              <w:pStyle w:val="NormalWeb"/>
              <w:rPr>
                <w:sz w:val="18"/>
                <w:szCs w:val="18"/>
              </w:rPr>
            </w:pPr>
            <w:r w:rsidRPr="00CB57E4">
              <w:rPr>
                <w:sz w:val="18"/>
                <w:szCs w:val="18"/>
              </w:rPr>
              <w:t>Seasonal influenza</w:t>
            </w:r>
          </w:p>
        </w:tc>
        <w:tc>
          <w:tcPr>
            <w:tcW w:w="0" w:type="auto"/>
            <w:shd w:val="clear" w:color="auto" w:fill="auto"/>
            <w:hideMark/>
          </w:tcPr>
          <w:p w14:paraId="410F10FF" w14:textId="77777777" w:rsidR="001832A0" w:rsidRPr="00CB57E4" w:rsidRDefault="001832A0" w:rsidP="00A85ED8">
            <w:pPr>
              <w:pStyle w:val="NormalWeb"/>
              <w:jc w:val="center"/>
              <w:rPr>
                <w:sz w:val="18"/>
                <w:szCs w:val="18"/>
              </w:rPr>
            </w:pPr>
            <w:r w:rsidRPr="00CB57E4">
              <w:rPr>
                <w:sz w:val="18"/>
                <w:szCs w:val="18"/>
              </w:rPr>
              <w:t>338</w:t>
            </w:r>
          </w:p>
        </w:tc>
        <w:tc>
          <w:tcPr>
            <w:tcW w:w="4174" w:type="dxa"/>
            <w:shd w:val="clear" w:color="auto" w:fill="auto"/>
            <w:hideMark/>
          </w:tcPr>
          <w:p w14:paraId="7A0BE26C" w14:textId="77777777" w:rsidR="001832A0" w:rsidRPr="00CB57E4" w:rsidRDefault="001832A0" w:rsidP="00A85ED8">
            <w:pPr>
              <w:pStyle w:val="NormalWeb"/>
              <w:jc w:val="center"/>
              <w:rPr>
                <w:sz w:val="18"/>
                <w:szCs w:val="18"/>
              </w:rPr>
            </w:pPr>
            <w:r w:rsidRPr="00CB57E4">
              <w:rPr>
                <w:sz w:val="18"/>
                <w:szCs w:val="18"/>
              </w:rPr>
              <w:t>2</w:t>
            </w:r>
            <w:r w:rsidR="00951557">
              <w:rPr>
                <w:sz w:val="18"/>
                <w:szCs w:val="18"/>
              </w:rPr>
              <w:t>,</w:t>
            </w:r>
            <w:r w:rsidRPr="00CB57E4">
              <w:rPr>
                <w:sz w:val="18"/>
                <w:szCs w:val="18"/>
              </w:rPr>
              <w:t>058</w:t>
            </w:r>
            <w:r w:rsidR="00951557">
              <w:rPr>
                <w:sz w:val="18"/>
                <w:szCs w:val="18"/>
              </w:rPr>
              <w:t>,</w:t>
            </w:r>
            <w:r w:rsidRPr="00CB57E4">
              <w:rPr>
                <w:sz w:val="18"/>
                <w:szCs w:val="18"/>
              </w:rPr>
              <w:t>186</w:t>
            </w:r>
          </w:p>
        </w:tc>
        <w:tc>
          <w:tcPr>
            <w:tcW w:w="3600" w:type="dxa"/>
            <w:shd w:val="clear" w:color="auto" w:fill="auto"/>
            <w:hideMark/>
          </w:tcPr>
          <w:p w14:paraId="34FA36A1" w14:textId="77777777" w:rsidR="001832A0" w:rsidRPr="00CB57E4" w:rsidRDefault="001832A0" w:rsidP="00A85ED8">
            <w:pPr>
              <w:pStyle w:val="NormalWeb"/>
              <w:jc w:val="center"/>
              <w:rPr>
                <w:sz w:val="18"/>
                <w:szCs w:val="18"/>
              </w:rPr>
            </w:pPr>
            <w:r w:rsidRPr="00CB57E4">
              <w:rPr>
                <w:sz w:val="18"/>
                <w:szCs w:val="18"/>
              </w:rPr>
              <w:t>16.4 (14.7 – 18.3)</w:t>
            </w:r>
          </w:p>
        </w:tc>
        <w:tc>
          <w:tcPr>
            <w:tcW w:w="3420" w:type="dxa"/>
            <w:shd w:val="clear" w:color="auto" w:fill="auto"/>
            <w:hideMark/>
          </w:tcPr>
          <w:p w14:paraId="7E0E9FD1" w14:textId="77777777" w:rsidR="001832A0" w:rsidRPr="00CB57E4" w:rsidRDefault="001832A0" w:rsidP="00A85ED8">
            <w:pPr>
              <w:pStyle w:val="NormalWeb"/>
              <w:jc w:val="center"/>
              <w:rPr>
                <w:sz w:val="18"/>
                <w:szCs w:val="18"/>
              </w:rPr>
            </w:pPr>
            <w:r w:rsidRPr="00CB57E4">
              <w:rPr>
                <w:sz w:val="18"/>
                <w:szCs w:val="18"/>
              </w:rPr>
              <w:t>–</w:t>
            </w:r>
          </w:p>
        </w:tc>
      </w:tr>
      <w:tr w:rsidR="006D7A71" w:rsidRPr="00CB57E4" w14:paraId="27F294AA"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73ED880A" w14:textId="77777777" w:rsidR="001832A0" w:rsidRPr="00CB57E4" w:rsidRDefault="001832A0">
            <w:pPr>
              <w:pStyle w:val="NormalWeb"/>
              <w:rPr>
                <w:sz w:val="18"/>
                <w:szCs w:val="18"/>
              </w:rPr>
            </w:pPr>
            <w:r w:rsidRPr="00CB57E4">
              <w:rPr>
                <w:sz w:val="18"/>
                <w:szCs w:val="18"/>
              </w:rPr>
              <w:t>23vPPV</w:t>
            </w:r>
          </w:p>
        </w:tc>
        <w:tc>
          <w:tcPr>
            <w:tcW w:w="0" w:type="auto"/>
            <w:shd w:val="clear" w:color="auto" w:fill="auto"/>
            <w:hideMark/>
          </w:tcPr>
          <w:p w14:paraId="7A88E941" w14:textId="77777777" w:rsidR="001832A0" w:rsidRPr="00CB57E4" w:rsidRDefault="001832A0" w:rsidP="00A85ED8">
            <w:pPr>
              <w:pStyle w:val="NormalWeb"/>
              <w:jc w:val="center"/>
              <w:rPr>
                <w:sz w:val="18"/>
                <w:szCs w:val="18"/>
              </w:rPr>
            </w:pPr>
            <w:r w:rsidRPr="00CB57E4">
              <w:rPr>
                <w:sz w:val="18"/>
                <w:szCs w:val="18"/>
              </w:rPr>
              <w:t>198</w:t>
            </w:r>
          </w:p>
        </w:tc>
        <w:tc>
          <w:tcPr>
            <w:tcW w:w="4174" w:type="dxa"/>
            <w:shd w:val="clear" w:color="auto" w:fill="auto"/>
            <w:hideMark/>
          </w:tcPr>
          <w:p w14:paraId="71696C1B" w14:textId="77777777" w:rsidR="001832A0" w:rsidRPr="00CB57E4" w:rsidRDefault="001832A0" w:rsidP="00A85ED8">
            <w:pPr>
              <w:pStyle w:val="NormalWeb"/>
              <w:jc w:val="center"/>
              <w:rPr>
                <w:sz w:val="18"/>
                <w:szCs w:val="18"/>
              </w:rPr>
            </w:pPr>
            <w:r w:rsidRPr="00CB57E4">
              <w:rPr>
                <w:sz w:val="18"/>
                <w:szCs w:val="18"/>
              </w:rPr>
              <w:t>266</w:t>
            </w:r>
            <w:r w:rsidR="00951557">
              <w:rPr>
                <w:sz w:val="18"/>
                <w:szCs w:val="18"/>
              </w:rPr>
              <w:t>,</w:t>
            </w:r>
            <w:r w:rsidRPr="00CB57E4">
              <w:rPr>
                <w:sz w:val="18"/>
                <w:szCs w:val="18"/>
              </w:rPr>
              <w:t>339</w:t>
            </w:r>
          </w:p>
        </w:tc>
        <w:tc>
          <w:tcPr>
            <w:tcW w:w="3600" w:type="dxa"/>
            <w:shd w:val="clear" w:color="auto" w:fill="auto"/>
            <w:hideMark/>
          </w:tcPr>
          <w:p w14:paraId="74652DA2" w14:textId="77777777" w:rsidR="001832A0" w:rsidRPr="00CB57E4" w:rsidRDefault="001832A0" w:rsidP="00A85ED8">
            <w:pPr>
              <w:pStyle w:val="NormalWeb"/>
              <w:jc w:val="center"/>
              <w:rPr>
                <w:sz w:val="18"/>
                <w:szCs w:val="18"/>
              </w:rPr>
            </w:pPr>
            <w:r w:rsidRPr="00CB57E4">
              <w:rPr>
                <w:sz w:val="18"/>
                <w:szCs w:val="18"/>
              </w:rPr>
              <w:t>74.3 (64.3 – 85.4)</w:t>
            </w:r>
          </w:p>
        </w:tc>
        <w:tc>
          <w:tcPr>
            <w:tcW w:w="3420" w:type="dxa"/>
            <w:shd w:val="clear" w:color="auto" w:fill="auto"/>
            <w:hideMark/>
          </w:tcPr>
          <w:p w14:paraId="68949A5B" w14:textId="77777777" w:rsidR="001832A0" w:rsidRPr="00CB57E4" w:rsidRDefault="001832A0" w:rsidP="00A85ED8">
            <w:pPr>
              <w:pStyle w:val="NormalWeb"/>
              <w:jc w:val="center"/>
              <w:rPr>
                <w:sz w:val="18"/>
                <w:szCs w:val="18"/>
              </w:rPr>
            </w:pPr>
            <w:r w:rsidRPr="00CB57E4">
              <w:rPr>
                <w:sz w:val="18"/>
                <w:szCs w:val="18"/>
              </w:rPr>
              <w:t>–</w:t>
            </w:r>
          </w:p>
        </w:tc>
      </w:tr>
      <w:tr w:rsidR="00644A40" w:rsidRPr="00CB57E4" w14:paraId="42F30A8E" w14:textId="77777777" w:rsidTr="00FC2B23">
        <w:tc>
          <w:tcPr>
            <w:tcW w:w="0" w:type="auto"/>
            <w:shd w:val="clear" w:color="auto" w:fill="auto"/>
            <w:hideMark/>
          </w:tcPr>
          <w:p w14:paraId="203DFE0C" w14:textId="77777777" w:rsidR="001832A0" w:rsidRPr="00CB57E4" w:rsidRDefault="001832A0">
            <w:pPr>
              <w:pStyle w:val="NormalWeb"/>
              <w:rPr>
                <w:sz w:val="18"/>
                <w:szCs w:val="18"/>
              </w:rPr>
            </w:pPr>
            <w:r w:rsidRPr="00CB57E4">
              <w:rPr>
                <w:sz w:val="18"/>
                <w:szCs w:val="18"/>
              </w:rPr>
              <w:t>Zoster</w:t>
            </w:r>
          </w:p>
        </w:tc>
        <w:tc>
          <w:tcPr>
            <w:tcW w:w="0" w:type="auto"/>
            <w:shd w:val="clear" w:color="auto" w:fill="auto"/>
            <w:hideMark/>
          </w:tcPr>
          <w:p w14:paraId="0547E65C" w14:textId="77777777" w:rsidR="001832A0" w:rsidRPr="00CB57E4" w:rsidRDefault="001832A0" w:rsidP="00A85ED8">
            <w:pPr>
              <w:pStyle w:val="NormalWeb"/>
              <w:jc w:val="center"/>
              <w:rPr>
                <w:sz w:val="18"/>
                <w:szCs w:val="18"/>
              </w:rPr>
            </w:pPr>
            <w:r w:rsidRPr="00CB57E4">
              <w:rPr>
                <w:sz w:val="18"/>
                <w:szCs w:val="18"/>
              </w:rPr>
              <w:t>112</w:t>
            </w:r>
          </w:p>
        </w:tc>
        <w:tc>
          <w:tcPr>
            <w:tcW w:w="4174" w:type="dxa"/>
            <w:shd w:val="clear" w:color="auto" w:fill="auto"/>
            <w:hideMark/>
          </w:tcPr>
          <w:p w14:paraId="325CFC4A" w14:textId="77777777" w:rsidR="001832A0" w:rsidRPr="00CB57E4" w:rsidRDefault="001832A0" w:rsidP="00A85ED8">
            <w:pPr>
              <w:pStyle w:val="NormalWeb"/>
              <w:jc w:val="center"/>
              <w:rPr>
                <w:sz w:val="18"/>
                <w:szCs w:val="18"/>
              </w:rPr>
            </w:pPr>
            <w:r w:rsidRPr="00CB57E4">
              <w:rPr>
                <w:sz w:val="18"/>
                <w:szCs w:val="18"/>
              </w:rPr>
              <w:t>227</w:t>
            </w:r>
            <w:r w:rsidR="00951557">
              <w:rPr>
                <w:sz w:val="18"/>
                <w:szCs w:val="18"/>
              </w:rPr>
              <w:t>,</w:t>
            </w:r>
            <w:r w:rsidRPr="00CB57E4">
              <w:rPr>
                <w:sz w:val="18"/>
                <w:szCs w:val="18"/>
              </w:rPr>
              <w:t>092</w:t>
            </w:r>
          </w:p>
        </w:tc>
        <w:tc>
          <w:tcPr>
            <w:tcW w:w="3600" w:type="dxa"/>
            <w:shd w:val="clear" w:color="auto" w:fill="auto"/>
            <w:hideMark/>
          </w:tcPr>
          <w:p w14:paraId="34476472" w14:textId="77777777" w:rsidR="001832A0" w:rsidRPr="00CB57E4" w:rsidRDefault="001832A0" w:rsidP="00A85ED8">
            <w:pPr>
              <w:pStyle w:val="NormalWeb"/>
              <w:jc w:val="center"/>
              <w:rPr>
                <w:sz w:val="18"/>
                <w:szCs w:val="18"/>
              </w:rPr>
            </w:pPr>
            <w:r w:rsidRPr="00CB57E4">
              <w:rPr>
                <w:sz w:val="18"/>
                <w:szCs w:val="18"/>
              </w:rPr>
              <w:t>49.3 (40.6 – 59.3)</w:t>
            </w:r>
          </w:p>
        </w:tc>
        <w:tc>
          <w:tcPr>
            <w:tcW w:w="3420" w:type="dxa"/>
            <w:shd w:val="clear" w:color="auto" w:fill="auto"/>
            <w:hideMark/>
          </w:tcPr>
          <w:p w14:paraId="31E540C8" w14:textId="77777777" w:rsidR="001832A0" w:rsidRPr="00CB57E4" w:rsidRDefault="001832A0" w:rsidP="00A85ED8">
            <w:pPr>
              <w:pStyle w:val="NormalWeb"/>
              <w:jc w:val="center"/>
              <w:rPr>
                <w:sz w:val="18"/>
                <w:szCs w:val="18"/>
              </w:rPr>
            </w:pPr>
            <w:r w:rsidRPr="00CB57E4">
              <w:rPr>
                <w:sz w:val="18"/>
                <w:szCs w:val="18"/>
              </w:rPr>
              <w:t>–</w:t>
            </w:r>
          </w:p>
        </w:tc>
      </w:tr>
      <w:tr w:rsidR="006D7A71" w:rsidRPr="00CB57E4" w14:paraId="64562970" w14:textId="77777777" w:rsidTr="00FC2B23">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00E8B185" w14:textId="77777777" w:rsidR="001832A0" w:rsidRPr="00CB57E4" w:rsidRDefault="001832A0">
            <w:pPr>
              <w:pStyle w:val="NormalWeb"/>
              <w:rPr>
                <w:sz w:val="18"/>
                <w:szCs w:val="18"/>
              </w:rPr>
            </w:pPr>
            <w:r w:rsidRPr="00CB57E4">
              <w:rPr>
                <w:sz w:val="18"/>
                <w:szCs w:val="18"/>
              </w:rPr>
              <w:t>dTpa</w:t>
            </w:r>
          </w:p>
        </w:tc>
        <w:tc>
          <w:tcPr>
            <w:tcW w:w="0" w:type="auto"/>
            <w:shd w:val="clear" w:color="auto" w:fill="auto"/>
            <w:hideMark/>
          </w:tcPr>
          <w:p w14:paraId="79EEFD2D" w14:textId="77777777" w:rsidR="001832A0" w:rsidRPr="00CB57E4" w:rsidRDefault="001832A0" w:rsidP="00A85ED8">
            <w:pPr>
              <w:pStyle w:val="NormalWeb"/>
              <w:jc w:val="center"/>
              <w:rPr>
                <w:sz w:val="18"/>
                <w:szCs w:val="18"/>
              </w:rPr>
            </w:pPr>
            <w:r w:rsidRPr="00CB57E4">
              <w:rPr>
                <w:sz w:val="18"/>
                <w:szCs w:val="18"/>
              </w:rPr>
              <w:t>18</w:t>
            </w:r>
          </w:p>
        </w:tc>
        <w:tc>
          <w:tcPr>
            <w:tcW w:w="4174" w:type="dxa"/>
            <w:shd w:val="clear" w:color="auto" w:fill="auto"/>
            <w:hideMark/>
          </w:tcPr>
          <w:p w14:paraId="60739A96" w14:textId="77777777" w:rsidR="001832A0" w:rsidRPr="00CB57E4" w:rsidRDefault="001832A0" w:rsidP="00A85ED8">
            <w:pPr>
              <w:pStyle w:val="NormalWeb"/>
              <w:jc w:val="center"/>
              <w:rPr>
                <w:sz w:val="18"/>
                <w:szCs w:val="18"/>
              </w:rPr>
            </w:pPr>
            <w:r w:rsidRPr="00CB57E4">
              <w:rPr>
                <w:sz w:val="18"/>
                <w:szCs w:val="18"/>
              </w:rPr>
              <w:t>79</w:t>
            </w:r>
            <w:r w:rsidR="00951557">
              <w:rPr>
                <w:sz w:val="18"/>
                <w:szCs w:val="18"/>
              </w:rPr>
              <w:t>,</w:t>
            </w:r>
            <w:r w:rsidRPr="00CB57E4">
              <w:rPr>
                <w:sz w:val="18"/>
                <w:szCs w:val="18"/>
              </w:rPr>
              <w:t>994</w:t>
            </w:r>
          </w:p>
        </w:tc>
        <w:tc>
          <w:tcPr>
            <w:tcW w:w="3600" w:type="dxa"/>
            <w:shd w:val="clear" w:color="auto" w:fill="auto"/>
            <w:hideMark/>
          </w:tcPr>
          <w:p w14:paraId="4DFE5FCE" w14:textId="77777777" w:rsidR="001832A0" w:rsidRPr="00CB57E4" w:rsidRDefault="001832A0" w:rsidP="00A85ED8">
            <w:pPr>
              <w:pStyle w:val="NormalWeb"/>
              <w:jc w:val="center"/>
              <w:rPr>
                <w:sz w:val="18"/>
                <w:szCs w:val="18"/>
              </w:rPr>
            </w:pPr>
            <w:r w:rsidRPr="00CB57E4">
              <w:rPr>
                <w:sz w:val="18"/>
                <w:szCs w:val="18"/>
              </w:rPr>
              <w:t>22.5 (13.3 – 35.6)</w:t>
            </w:r>
          </w:p>
        </w:tc>
        <w:tc>
          <w:tcPr>
            <w:tcW w:w="3420" w:type="dxa"/>
            <w:shd w:val="clear" w:color="auto" w:fill="auto"/>
            <w:hideMark/>
          </w:tcPr>
          <w:p w14:paraId="32AE5095" w14:textId="77777777" w:rsidR="001832A0" w:rsidRPr="00CB57E4" w:rsidRDefault="001832A0" w:rsidP="00A85ED8">
            <w:pPr>
              <w:pStyle w:val="NormalWeb"/>
              <w:jc w:val="center"/>
              <w:rPr>
                <w:sz w:val="18"/>
                <w:szCs w:val="18"/>
              </w:rPr>
            </w:pPr>
            <w:r w:rsidRPr="00CB57E4">
              <w:rPr>
                <w:sz w:val="18"/>
                <w:szCs w:val="18"/>
              </w:rPr>
              <w:t>–</w:t>
            </w:r>
          </w:p>
        </w:tc>
      </w:tr>
    </w:tbl>
    <w:p w14:paraId="58808833" w14:textId="77777777" w:rsidR="001832A0" w:rsidRDefault="001832A0" w:rsidP="002E329C">
      <w:pPr>
        <w:pStyle w:val="CDIfootnotes"/>
      </w:pPr>
      <w:r>
        <w:t xml:space="preserve">a </w:t>
      </w:r>
      <w:r>
        <w:tab/>
        <w:t>Records where at least one of the vaccines shown in the table was suspected of causal involvement in the reported adverse event.</w:t>
      </w:r>
    </w:p>
    <w:p w14:paraId="55F5F68D" w14:textId="77777777" w:rsidR="001832A0" w:rsidRDefault="001832A0" w:rsidP="002E329C">
      <w:pPr>
        <w:pStyle w:val="CDIfootnotes"/>
      </w:pPr>
      <w:r>
        <w:t>b</w:t>
      </w:r>
      <w:r>
        <w:tab/>
        <w:t>Number of AEFI records in which the vaccine was coded as ‘suspected’ of causal involvement in the reported adverse event and the vaccination was administered between 1 January and 31 December 2018. More than one vaccine may be coded as ‘suspected’ if several were administered at the same time.</w:t>
      </w:r>
    </w:p>
    <w:p w14:paraId="580059E2" w14:textId="77777777" w:rsidR="001832A0" w:rsidRDefault="001832A0" w:rsidP="002E329C">
      <w:pPr>
        <w:pStyle w:val="CDIfootnotes"/>
      </w:pPr>
      <w:r>
        <w:t xml:space="preserve">c </w:t>
      </w:r>
      <w:r>
        <w:tab/>
        <w:t>Number of vaccine doses recorded on the AIR and administered between 1 January and 31 December 2018.</w:t>
      </w:r>
    </w:p>
    <w:p w14:paraId="20852B10" w14:textId="77777777" w:rsidR="001832A0" w:rsidRDefault="001832A0" w:rsidP="002E329C">
      <w:pPr>
        <w:pStyle w:val="CDIfootnotes"/>
      </w:pPr>
      <w:r>
        <w:t>d</w:t>
      </w:r>
      <w:r>
        <w:tab/>
        <w:t>The estimated reporting rate per 100,000 vaccine doses recorded.</w:t>
      </w:r>
    </w:p>
    <w:p w14:paraId="2FD1D73C" w14:textId="77777777" w:rsidR="001832A0" w:rsidRDefault="001832A0" w:rsidP="002E329C">
      <w:pPr>
        <w:pStyle w:val="CDIfootnotes"/>
      </w:pPr>
      <w:r>
        <w:t>n/a</w:t>
      </w:r>
      <w:r>
        <w:tab/>
        <w:t>Not applicable</w:t>
      </w:r>
    </w:p>
    <w:p w14:paraId="203AEB25" w14:textId="77777777" w:rsidR="00B824E1" w:rsidRDefault="00B824E1">
      <w:pPr>
        <w:pStyle w:val="NormalWeb"/>
        <w:sectPr w:rsidR="00B824E1" w:rsidSect="00350E95">
          <w:pgSz w:w="16838" w:h="11906" w:orient="landscape"/>
          <w:pgMar w:top="720" w:right="720" w:bottom="720" w:left="720" w:header="709" w:footer="284" w:gutter="0"/>
          <w:cols w:space="708"/>
          <w:titlePg/>
          <w:docGrid w:linePitch="360"/>
        </w:sectPr>
      </w:pPr>
    </w:p>
    <w:p w14:paraId="0F5BB5D3" w14:textId="77777777" w:rsidR="001832A0" w:rsidRDefault="001832A0" w:rsidP="00CD2DAE">
      <w:pPr>
        <w:pStyle w:val="CDIFigures"/>
      </w:pPr>
      <w:r>
        <w:lastRenderedPageBreak/>
        <w:t>Table 3: Adverse events following immunisation (AEFI) records, AEMS database, January to December 2018, by</w:t>
      </w:r>
      <w:r w:rsidR="003B04E5">
        <w:t> </w:t>
      </w:r>
      <w:r>
        <w:t>jurisdiction</w:t>
      </w:r>
    </w:p>
    <w:tbl>
      <w:tblPr>
        <w:tblStyle w:val="CDI-StandardTable"/>
        <w:tblW w:w="0" w:type="auto"/>
        <w:tblBorders>
          <w:insideH w:val="single" w:sz="2" w:space="0" w:color="auto"/>
          <w:insideV w:val="single" w:sz="2" w:space="0" w:color="auto"/>
        </w:tblBorders>
        <w:tblCellMar>
          <w:top w:w="57" w:type="dxa"/>
          <w:left w:w="57" w:type="dxa"/>
          <w:bottom w:w="57" w:type="dxa"/>
          <w:right w:w="57" w:type="dxa"/>
        </w:tblCellMar>
        <w:tblLook w:val="04A0" w:firstRow="1" w:lastRow="0" w:firstColumn="1" w:lastColumn="0" w:noHBand="0" w:noVBand="1"/>
        <w:tblDescription w:val="Table 3 shows adverse events following immunisation (AEFI), 2018, &#10;by state or territory."/>
      </w:tblPr>
      <w:tblGrid>
        <w:gridCol w:w="2087"/>
        <w:gridCol w:w="1032"/>
        <w:gridCol w:w="992"/>
        <w:gridCol w:w="1134"/>
        <w:gridCol w:w="1559"/>
        <w:gridCol w:w="1843"/>
        <w:gridCol w:w="1793"/>
      </w:tblGrid>
      <w:tr w:rsidR="001832A0" w:rsidRPr="0052443E" w14:paraId="03F62744" w14:textId="77777777" w:rsidTr="00D148EB">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4C5B08CA" w14:textId="77777777" w:rsidR="001832A0" w:rsidRPr="0052443E" w:rsidRDefault="001832A0">
            <w:pPr>
              <w:pStyle w:val="NormalWeb"/>
              <w:rPr>
                <w:color w:val="FFFFFF" w:themeColor="background1"/>
                <w:sz w:val="18"/>
                <w:szCs w:val="18"/>
              </w:rPr>
            </w:pPr>
            <w:r w:rsidRPr="0052443E">
              <w:rPr>
                <w:color w:val="FFFFFF" w:themeColor="background1"/>
                <w:sz w:val="18"/>
                <w:szCs w:val="18"/>
              </w:rPr>
              <w:t>State or territory</w:t>
            </w:r>
          </w:p>
        </w:tc>
        <w:tc>
          <w:tcPr>
            <w:tcW w:w="3158" w:type="dxa"/>
            <w:gridSpan w:val="3"/>
            <w:hideMark/>
          </w:tcPr>
          <w:p w14:paraId="5B6CFC81" w14:textId="77777777" w:rsidR="001832A0" w:rsidRPr="0052443E" w:rsidRDefault="001832A0" w:rsidP="00074BF8">
            <w:pPr>
              <w:pStyle w:val="NormalWeb"/>
              <w:jc w:val="center"/>
              <w:rPr>
                <w:color w:val="FFFFFF" w:themeColor="background1"/>
                <w:sz w:val="18"/>
                <w:szCs w:val="18"/>
              </w:rPr>
            </w:pPr>
            <w:r w:rsidRPr="0052443E">
              <w:rPr>
                <w:color w:val="FFFFFF" w:themeColor="background1"/>
                <w:sz w:val="18"/>
                <w:szCs w:val="18"/>
              </w:rPr>
              <w:t>AEFI records</w:t>
            </w:r>
          </w:p>
        </w:tc>
        <w:tc>
          <w:tcPr>
            <w:tcW w:w="5195" w:type="dxa"/>
            <w:gridSpan w:val="3"/>
            <w:hideMark/>
          </w:tcPr>
          <w:p w14:paraId="7F1FD9DE" w14:textId="77777777" w:rsidR="001832A0" w:rsidRPr="0052443E" w:rsidRDefault="001832A0" w:rsidP="00074BF8">
            <w:pPr>
              <w:pStyle w:val="NormalWeb"/>
              <w:jc w:val="center"/>
              <w:rPr>
                <w:color w:val="FFFFFF" w:themeColor="background1"/>
                <w:sz w:val="18"/>
                <w:szCs w:val="18"/>
              </w:rPr>
            </w:pPr>
            <w:r w:rsidRPr="0052443E">
              <w:rPr>
                <w:color w:val="FFFFFF" w:themeColor="background1"/>
                <w:sz w:val="18"/>
                <w:szCs w:val="18"/>
              </w:rPr>
              <w:t>Annual reporting rate per 100,000 population</w:t>
            </w:r>
            <w:r w:rsidRPr="0052443E">
              <w:rPr>
                <w:color w:val="FFFFFF" w:themeColor="background1"/>
                <w:sz w:val="18"/>
                <w:szCs w:val="18"/>
                <w:vertAlign w:val="superscript"/>
              </w:rPr>
              <w:t>a</w:t>
            </w:r>
          </w:p>
        </w:tc>
      </w:tr>
      <w:tr w:rsidR="00002DCE" w:rsidRPr="0052443E" w14:paraId="137EFE30" w14:textId="77777777" w:rsidTr="000B0A38">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154D1ADF" w14:textId="77777777" w:rsidR="001832A0" w:rsidRPr="0052443E" w:rsidRDefault="001832A0">
            <w:pPr>
              <w:rPr>
                <w:color w:val="FFFFFF" w:themeColor="background1"/>
                <w:sz w:val="18"/>
                <w:szCs w:val="18"/>
              </w:rPr>
            </w:pPr>
          </w:p>
        </w:tc>
        <w:tc>
          <w:tcPr>
            <w:tcW w:w="1032" w:type="dxa"/>
            <w:tcBorders>
              <w:bottom w:val="single" w:sz="2" w:space="0" w:color="auto"/>
            </w:tcBorders>
            <w:hideMark/>
          </w:tcPr>
          <w:p w14:paraId="4A0C9535" w14:textId="77777777" w:rsidR="001832A0" w:rsidRPr="0052443E" w:rsidRDefault="001832A0" w:rsidP="00074BF8">
            <w:pPr>
              <w:pStyle w:val="NormalWeb"/>
              <w:jc w:val="center"/>
              <w:rPr>
                <w:color w:val="FFFFFF" w:themeColor="background1"/>
                <w:sz w:val="18"/>
                <w:szCs w:val="18"/>
              </w:rPr>
            </w:pPr>
            <w:r w:rsidRPr="0052443E">
              <w:rPr>
                <w:color w:val="FFFFFF" w:themeColor="background1"/>
                <w:sz w:val="18"/>
                <w:szCs w:val="18"/>
              </w:rPr>
              <w:t>n</w:t>
            </w:r>
          </w:p>
        </w:tc>
        <w:tc>
          <w:tcPr>
            <w:tcW w:w="992" w:type="dxa"/>
            <w:tcBorders>
              <w:bottom w:val="single" w:sz="2" w:space="0" w:color="auto"/>
            </w:tcBorders>
            <w:hideMark/>
          </w:tcPr>
          <w:p w14:paraId="5FC4F4EF" w14:textId="77777777" w:rsidR="001832A0" w:rsidRPr="0052443E" w:rsidRDefault="001832A0" w:rsidP="00074BF8">
            <w:pPr>
              <w:pStyle w:val="NormalWeb"/>
              <w:jc w:val="center"/>
              <w:rPr>
                <w:color w:val="FFFFFF" w:themeColor="background1"/>
                <w:sz w:val="18"/>
                <w:szCs w:val="18"/>
              </w:rPr>
            </w:pPr>
            <w:r w:rsidRPr="0052443E">
              <w:rPr>
                <w:color w:val="FFFFFF" w:themeColor="background1"/>
                <w:sz w:val="18"/>
                <w:szCs w:val="18"/>
              </w:rPr>
              <w:t>(%)</w:t>
            </w:r>
          </w:p>
        </w:tc>
        <w:tc>
          <w:tcPr>
            <w:tcW w:w="1134" w:type="dxa"/>
            <w:hideMark/>
          </w:tcPr>
          <w:p w14:paraId="21F55722" w14:textId="77777777" w:rsidR="001832A0" w:rsidRPr="0052443E" w:rsidRDefault="001832A0" w:rsidP="00074BF8">
            <w:pPr>
              <w:pStyle w:val="NormalWeb"/>
              <w:jc w:val="center"/>
              <w:rPr>
                <w:color w:val="FFFFFF" w:themeColor="background1"/>
                <w:sz w:val="18"/>
                <w:szCs w:val="18"/>
              </w:rPr>
            </w:pPr>
            <w:r w:rsidRPr="0052443E">
              <w:rPr>
                <w:color w:val="FFFFFF" w:themeColor="background1"/>
                <w:sz w:val="18"/>
                <w:szCs w:val="18"/>
              </w:rPr>
              <w:t>‘Serious’</w:t>
            </w:r>
            <w:r w:rsidRPr="0052443E">
              <w:rPr>
                <w:color w:val="FFFFFF" w:themeColor="background1"/>
                <w:sz w:val="18"/>
                <w:szCs w:val="18"/>
                <w:vertAlign w:val="superscript"/>
              </w:rPr>
              <w:t>b</w:t>
            </w:r>
          </w:p>
        </w:tc>
        <w:tc>
          <w:tcPr>
            <w:tcW w:w="1559" w:type="dxa"/>
            <w:hideMark/>
          </w:tcPr>
          <w:p w14:paraId="5C1C72D0" w14:textId="77777777" w:rsidR="001832A0" w:rsidRPr="0052443E" w:rsidRDefault="001832A0" w:rsidP="00074BF8">
            <w:pPr>
              <w:pStyle w:val="NormalWeb"/>
              <w:jc w:val="center"/>
              <w:rPr>
                <w:color w:val="FFFFFF" w:themeColor="background1"/>
                <w:sz w:val="18"/>
                <w:szCs w:val="18"/>
              </w:rPr>
            </w:pPr>
            <w:r w:rsidRPr="0052443E">
              <w:rPr>
                <w:color w:val="FFFFFF" w:themeColor="background1"/>
                <w:sz w:val="18"/>
                <w:szCs w:val="18"/>
              </w:rPr>
              <w:t>Aged</w:t>
            </w:r>
            <w:r w:rsidRPr="0052443E">
              <w:rPr>
                <w:color w:val="FFFFFF" w:themeColor="background1"/>
                <w:sz w:val="18"/>
                <w:szCs w:val="18"/>
              </w:rPr>
              <w:br/>
              <w:t>&lt;7 years</w:t>
            </w:r>
          </w:p>
        </w:tc>
        <w:tc>
          <w:tcPr>
            <w:tcW w:w="1843" w:type="dxa"/>
            <w:hideMark/>
          </w:tcPr>
          <w:p w14:paraId="4A6D8FFF" w14:textId="77777777" w:rsidR="001832A0" w:rsidRPr="0052443E" w:rsidRDefault="001832A0" w:rsidP="00074BF8">
            <w:pPr>
              <w:pStyle w:val="NormalWeb"/>
              <w:jc w:val="center"/>
              <w:rPr>
                <w:color w:val="FFFFFF" w:themeColor="background1"/>
                <w:sz w:val="18"/>
                <w:szCs w:val="18"/>
              </w:rPr>
            </w:pPr>
            <w:r w:rsidRPr="0052443E">
              <w:rPr>
                <w:color w:val="FFFFFF" w:themeColor="background1"/>
                <w:sz w:val="18"/>
                <w:szCs w:val="18"/>
              </w:rPr>
              <w:t>Overall Rate</w:t>
            </w:r>
          </w:p>
        </w:tc>
        <w:tc>
          <w:tcPr>
            <w:tcW w:w="1793" w:type="dxa"/>
            <w:hideMark/>
          </w:tcPr>
          <w:p w14:paraId="6839FBD5" w14:textId="77777777" w:rsidR="001832A0" w:rsidRPr="0052443E" w:rsidRDefault="001832A0" w:rsidP="00074BF8">
            <w:pPr>
              <w:pStyle w:val="NormalWeb"/>
              <w:jc w:val="center"/>
              <w:rPr>
                <w:color w:val="FFFFFF" w:themeColor="background1"/>
                <w:sz w:val="18"/>
                <w:szCs w:val="18"/>
              </w:rPr>
            </w:pPr>
            <w:r w:rsidRPr="0052443E">
              <w:rPr>
                <w:color w:val="FFFFFF" w:themeColor="background1"/>
                <w:sz w:val="18"/>
                <w:szCs w:val="18"/>
              </w:rPr>
              <w:t>(95% Confidence Interval)</w:t>
            </w:r>
          </w:p>
        </w:tc>
      </w:tr>
      <w:tr w:rsidR="000B0A38" w:rsidRPr="0052443E" w14:paraId="2D50B5FF" w14:textId="77777777" w:rsidTr="000B0A38">
        <w:tc>
          <w:tcPr>
            <w:tcW w:w="0" w:type="auto"/>
            <w:shd w:val="clear" w:color="auto" w:fill="F2F2F2" w:themeFill="background1" w:themeFillShade="F2"/>
            <w:hideMark/>
          </w:tcPr>
          <w:p w14:paraId="09EA28D2" w14:textId="77777777" w:rsidR="001832A0" w:rsidRPr="0052443E" w:rsidRDefault="001832A0">
            <w:pPr>
              <w:pStyle w:val="NormalWeb"/>
              <w:rPr>
                <w:sz w:val="18"/>
                <w:szCs w:val="18"/>
              </w:rPr>
            </w:pPr>
            <w:r w:rsidRPr="0052443E">
              <w:rPr>
                <w:sz w:val="18"/>
                <w:szCs w:val="18"/>
              </w:rPr>
              <w:t>Australian Capital Territory</w:t>
            </w:r>
          </w:p>
        </w:tc>
        <w:tc>
          <w:tcPr>
            <w:tcW w:w="1032" w:type="dxa"/>
            <w:tcBorders>
              <w:top w:val="single" w:sz="2" w:space="0" w:color="auto"/>
              <w:bottom w:val="single" w:sz="2" w:space="0" w:color="auto"/>
              <w:right w:val="nil"/>
            </w:tcBorders>
            <w:shd w:val="clear" w:color="auto" w:fill="FFFFFF" w:themeFill="background1"/>
            <w:hideMark/>
          </w:tcPr>
          <w:p w14:paraId="772CA84C" w14:textId="77777777" w:rsidR="001832A0" w:rsidRPr="0052443E" w:rsidRDefault="001832A0" w:rsidP="00074BF8">
            <w:pPr>
              <w:pStyle w:val="NormalWeb"/>
              <w:jc w:val="center"/>
              <w:rPr>
                <w:sz w:val="18"/>
                <w:szCs w:val="18"/>
              </w:rPr>
            </w:pPr>
            <w:r w:rsidRPr="0052443E">
              <w:rPr>
                <w:sz w:val="18"/>
                <w:szCs w:val="18"/>
              </w:rPr>
              <w:t>116</w:t>
            </w:r>
          </w:p>
        </w:tc>
        <w:tc>
          <w:tcPr>
            <w:tcW w:w="992" w:type="dxa"/>
            <w:tcBorders>
              <w:top w:val="single" w:sz="2" w:space="0" w:color="auto"/>
              <w:left w:val="nil"/>
              <w:bottom w:val="single" w:sz="2" w:space="0" w:color="auto"/>
            </w:tcBorders>
            <w:shd w:val="clear" w:color="auto" w:fill="FFFFFF" w:themeFill="background1"/>
            <w:hideMark/>
          </w:tcPr>
          <w:p w14:paraId="07416BAA" w14:textId="77777777" w:rsidR="001832A0" w:rsidRPr="0052443E" w:rsidRDefault="001832A0" w:rsidP="00074BF8">
            <w:pPr>
              <w:pStyle w:val="NormalWeb"/>
              <w:jc w:val="center"/>
              <w:rPr>
                <w:sz w:val="18"/>
                <w:szCs w:val="18"/>
              </w:rPr>
            </w:pPr>
            <w:r w:rsidRPr="0052443E">
              <w:rPr>
                <w:sz w:val="18"/>
                <w:szCs w:val="18"/>
              </w:rPr>
              <w:t>(2.7)</w:t>
            </w:r>
          </w:p>
        </w:tc>
        <w:tc>
          <w:tcPr>
            <w:tcW w:w="1134" w:type="dxa"/>
            <w:shd w:val="clear" w:color="auto" w:fill="F2F2F2" w:themeFill="background1" w:themeFillShade="F2"/>
            <w:hideMark/>
          </w:tcPr>
          <w:p w14:paraId="73CC1C91" w14:textId="77777777" w:rsidR="001832A0" w:rsidRPr="0052443E" w:rsidRDefault="001832A0" w:rsidP="00074BF8">
            <w:pPr>
              <w:pStyle w:val="NormalWeb"/>
              <w:jc w:val="center"/>
              <w:rPr>
                <w:sz w:val="18"/>
                <w:szCs w:val="18"/>
              </w:rPr>
            </w:pPr>
            <w:r w:rsidRPr="0052443E">
              <w:rPr>
                <w:sz w:val="18"/>
                <w:szCs w:val="18"/>
              </w:rPr>
              <w:t>5.2</w:t>
            </w:r>
          </w:p>
        </w:tc>
        <w:tc>
          <w:tcPr>
            <w:tcW w:w="1559" w:type="dxa"/>
            <w:shd w:val="clear" w:color="auto" w:fill="FFFFFF" w:themeFill="background1"/>
            <w:hideMark/>
          </w:tcPr>
          <w:p w14:paraId="7870CF46" w14:textId="77777777" w:rsidR="001832A0" w:rsidRPr="0052443E" w:rsidRDefault="001832A0" w:rsidP="00074BF8">
            <w:pPr>
              <w:pStyle w:val="NormalWeb"/>
              <w:jc w:val="center"/>
              <w:rPr>
                <w:sz w:val="18"/>
                <w:szCs w:val="18"/>
              </w:rPr>
            </w:pPr>
            <w:r w:rsidRPr="0052443E">
              <w:rPr>
                <w:sz w:val="18"/>
                <w:szCs w:val="18"/>
              </w:rPr>
              <w:t>80.1</w:t>
            </w:r>
          </w:p>
        </w:tc>
        <w:tc>
          <w:tcPr>
            <w:tcW w:w="1843" w:type="dxa"/>
            <w:shd w:val="clear" w:color="auto" w:fill="F2F2F2" w:themeFill="background1" w:themeFillShade="F2"/>
            <w:hideMark/>
          </w:tcPr>
          <w:p w14:paraId="1ACCA026" w14:textId="77777777" w:rsidR="001832A0" w:rsidRPr="0052443E" w:rsidRDefault="001832A0" w:rsidP="00074BF8">
            <w:pPr>
              <w:pStyle w:val="NormalWeb"/>
              <w:jc w:val="center"/>
              <w:rPr>
                <w:sz w:val="18"/>
                <w:szCs w:val="18"/>
              </w:rPr>
            </w:pPr>
            <w:r w:rsidRPr="0052443E">
              <w:rPr>
                <w:sz w:val="18"/>
                <w:szCs w:val="18"/>
              </w:rPr>
              <w:t>27.6</w:t>
            </w:r>
          </w:p>
        </w:tc>
        <w:tc>
          <w:tcPr>
            <w:tcW w:w="1793" w:type="dxa"/>
            <w:shd w:val="clear" w:color="auto" w:fill="F2F2F2" w:themeFill="background1" w:themeFillShade="F2"/>
            <w:hideMark/>
          </w:tcPr>
          <w:p w14:paraId="3728A50D" w14:textId="77777777" w:rsidR="001832A0" w:rsidRPr="0052443E" w:rsidRDefault="001832A0" w:rsidP="00074BF8">
            <w:pPr>
              <w:pStyle w:val="NormalWeb"/>
              <w:jc w:val="center"/>
              <w:rPr>
                <w:sz w:val="18"/>
                <w:szCs w:val="18"/>
              </w:rPr>
            </w:pPr>
            <w:r w:rsidRPr="0052443E">
              <w:rPr>
                <w:sz w:val="18"/>
                <w:szCs w:val="18"/>
              </w:rPr>
              <w:t>(22.8–33.1)</w:t>
            </w:r>
          </w:p>
        </w:tc>
      </w:tr>
      <w:tr w:rsidR="000B0A38" w:rsidRPr="0052443E" w14:paraId="3D0EBC93" w14:textId="77777777" w:rsidTr="000B0A38">
        <w:trPr>
          <w:cnfStyle w:val="000000010000" w:firstRow="0" w:lastRow="0" w:firstColumn="0" w:lastColumn="0" w:oddVBand="0" w:evenVBand="0" w:oddHBand="0" w:evenHBand="1" w:firstRowFirstColumn="0" w:firstRowLastColumn="0" w:lastRowFirstColumn="0" w:lastRowLastColumn="0"/>
        </w:trPr>
        <w:tc>
          <w:tcPr>
            <w:tcW w:w="0" w:type="auto"/>
            <w:hideMark/>
          </w:tcPr>
          <w:p w14:paraId="0C62BC0D" w14:textId="77777777" w:rsidR="001832A0" w:rsidRPr="0052443E" w:rsidRDefault="001832A0">
            <w:pPr>
              <w:pStyle w:val="NormalWeb"/>
              <w:rPr>
                <w:sz w:val="18"/>
                <w:szCs w:val="18"/>
              </w:rPr>
            </w:pPr>
            <w:r w:rsidRPr="0052443E">
              <w:rPr>
                <w:sz w:val="18"/>
                <w:szCs w:val="18"/>
              </w:rPr>
              <w:t>New South Wales</w:t>
            </w:r>
          </w:p>
        </w:tc>
        <w:tc>
          <w:tcPr>
            <w:tcW w:w="1032" w:type="dxa"/>
            <w:tcBorders>
              <w:top w:val="single" w:sz="2" w:space="0" w:color="auto"/>
              <w:bottom w:val="single" w:sz="2" w:space="0" w:color="auto"/>
              <w:right w:val="nil"/>
            </w:tcBorders>
            <w:shd w:val="clear" w:color="auto" w:fill="FFFFFF" w:themeFill="background1"/>
            <w:hideMark/>
          </w:tcPr>
          <w:p w14:paraId="42D4EBFB" w14:textId="77777777" w:rsidR="001832A0" w:rsidRPr="0052443E" w:rsidRDefault="001832A0" w:rsidP="00074BF8">
            <w:pPr>
              <w:pStyle w:val="NormalWeb"/>
              <w:jc w:val="center"/>
              <w:rPr>
                <w:sz w:val="18"/>
                <w:szCs w:val="18"/>
              </w:rPr>
            </w:pPr>
            <w:r w:rsidRPr="0052443E">
              <w:rPr>
                <w:sz w:val="18"/>
                <w:szCs w:val="18"/>
              </w:rPr>
              <w:t>831</w:t>
            </w:r>
          </w:p>
        </w:tc>
        <w:tc>
          <w:tcPr>
            <w:tcW w:w="992" w:type="dxa"/>
            <w:tcBorders>
              <w:top w:val="single" w:sz="2" w:space="0" w:color="auto"/>
              <w:left w:val="nil"/>
              <w:bottom w:val="single" w:sz="2" w:space="0" w:color="auto"/>
            </w:tcBorders>
            <w:shd w:val="clear" w:color="auto" w:fill="FFFFFF" w:themeFill="background1"/>
            <w:hideMark/>
          </w:tcPr>
          <w:p w14:paraId="7D6DCAEE" w14:textId="77777777" w:rsidR="001832A0" w:rsidRPr="0052443E" w:rsidRDefault="001832A0" w:rsidP="00074BF8">
            <w:pPr>
              <w:pStyle w:val="NormalWeb"/>
              <w:jc w:val="center"/>
              <w:rPr>
                <w:sz w:val="18"/>
                <w:szCs w:val="18"/>
              </w:rPr>
            </w:pPr>
            <w:r w:rsidRPr="0052443E">
              <w:rPr>
                <w:sz w:val="18"/>
                <w:szCs w:val="18"/>
              </w:rPr>
              <w:t>(19.7)</w:t>
            </w:r>
          </w:p>
        </w:tc>
        <w:tc>
          <w:tcPr>
            <w:tcW w:w="1134" w:type="dxa"/>
            <w:hideMark/>
          </w:tcPr>
          <w:p w14:paraId="780F08FD" w14:textId="77777777" w:rsidR="001832A0" w:rsidRPr="0052443E" w:rsidRDefault="001832A0" w:rsidP="00074BF8">
            <w:pPr>
              <w:pStyle w:val="NormalWeb"/>
              <w:jc w:val="center"/>
              <w:rPr>
                <w:sz w:val="18"/>
                <w:szCs w:val="18"/>
              </w:rPr>
            </w:pPr>
            <w:r w:rsidRPr="0052443E">
              <w:rPr>
                <w:sz w:val="18"/>
                <w:szCs w:val="18"/>
              </w:rPr>
              <w:t>2.4</w:t>
            </w:r>
          </w:p>
        </w:tc>
        <w:tc>
          <w:tcPr>
            <w:tcW w:w="1559" w:type="dxa"/>
            <w:shd w:val="clear" w:color="auto" w:fill="FFFFFF" w:themeFill="background1"/>
            <w:hideMark/>
          </w:tcPr>
          <w:p w14:paraId="73D8CDEA" w14:textId="77777777" w:rsidR="001832A0" w:rsidRPr="0052443E" w:rsidRDefault="001832A0" w:rsidP="00074BF8">
            <w:pPr>
              <w:pStyle w:val="NormalWeb"/>
              <w:jc w:val="center"/>
              <w:rPr>
                <w:sz w:val="18"/>
                <w:szCs w:val="18"/>
              </w:rPr>
            </w:pPr>
            <w:r w:rsidRPr="0052443E">
              <w:rPr>
                <w:sz w:val="18"/>
                <w:szCs w:val="18"/>
              </w:rPr>
              <w:t>46.1</w:t>
            </w:r>
          </w:p>
        </w:tc>
        <w:tc>
          <w:tcPr>
            <w:tcW w:w="1843" w:type="dxa"/>
            <w:hideMark/>
          </w:tcPr>
          <w:p w14:paraId="5F607B86" w14:textId="77777777" w:rsidR="001832A0" w:rsidRPr="0052443E" w:rsidRDefault="001832A0" w:rsidP="00074BF8">
            <w:pPr>
              <w:pStyle w:val="NormalWeb"/>
              <w:jc w:val="center"/>
              <w:rPr>
                <w:sz w:val="18"/>
                <w:szCs w:val="18"/>
              </w:rPr>
            </w:pPr>
            <w:r w:rsidRPr="0052443E">
              <w:rPr>
                <w:sz w:val="18"/>
                <w:szCs w:val="18"/>
              </w:rPr>
              <w:t>10.4</w:t>
            </w:r>
          </w:p>
        </w:tc>
        <w:tc>
          <w:tcPr>
            <w:tcW w:w="1793" w:type="dxa"/>
            <w:hideMark/>
          </w:tcPr>
          <w:p w14:paraId="136FA4B7" w14:textId="77777777" w:rsidR="001832A0" w:rsidRPr="0052443E" w:rsidRDefault="001832A0" w:rsidP="00074BF8">
            <w:pPr>
              <w:pStyle w:val="NormalWeb"/>
              <w:jc w:val="center"/>
              <w:rPr>
                <w:sz w:val="18"/>
                <w:szCs w:val="18"/>
              </w:rPr>
            </w:pPr>
            <w:r w:rsidRPr="0052443E">
              <w:rPr>
                <w:sz w:val="18"/>
                <w:szCs w:val="18"/>
              </w:rPr>
              <w:t>(9.7–11.1)</w:t>
            </w:r>
          </w:p>
        </w:tc>
      </w:tr>
      <w:tr w:rsidR="000B0A38" w:rsidRPr="0052443E" w14:paraId="6908E441" w14:textId="77777777" w:rsidTr="000B0A38">
        <w:tc>
          <w:tcPr>
            <w:tcW w:w="0" w:type="auto"/>
            <w:shd w:val="clear" w:color="auto" w:fill="F2F2F2" w:themeFill="background1" w:themeFillShade="F2"/>
            <w:hideMark/>
          </w:tcPr>
          <w:p w14:paraId="796520CD" w14:textId="77777777" w:rsidR="001832A0" w:rsidRPr="0052443E" w:rsidRDefault="001832A0">
            <w:pPr>
              <w:pStyle w:val="NormalWeb"/>
              <w:rPr>
                <w:sz w:val="18"/>
                <w:szCs w:val="18"/>
              </w:rPr>
            </w:pPr>
            <w:r w:rsidRPr="0052443E">
              <w:rPr>
                <w:sz w:val="18"/>
                <w:szCs w:val="18"/>
              </w:rPr>
              <w:t>Northern Territory</w:t>
            </w:r>
          </w:p>
        </w:tc>
        <w:tc>
          <w:tcPr>
            <w:tcW w:w="1032" w:type="dxa"/>
            <w:tcBorders>
              <w:top w:val="single" w:sz="2" w:space="0" w:color="auto"/>
              <w:bottom w:val="single" w:sz="2" w:space="0" w:color="auto"/>
              <w:right w:val="nil"/>
            </w:tcBorders>
            <w:shd w:val="clear" w:color="auto" w:fill="FFFFFF" w:themeFill="background1"/>
            <w:hideMark/>
          </w:tcPr>
          <w:p w14:paraId="37A84AAA" w14:textId="77777777" w:rsidR="001832A0" w:rsidRPr="0052443E" w:rsidRDefault="001832A0" w:rsidP="00074BF8">
            <w:pPr>
              <w:pStyle w:val="NormalWeb"/>
              <w:jc w:val="center"/>
              <w:rPr>
                <w:sz w:val="18"/>
                <w:szCs w:val="18"/>
              </w:rPr>
            </w:pPr>
            <w:r w:rsidRPr="0052443E">
              <w:rPr>
                <w:sz w:val="18"/>
                <w:szCs w:val="18"/>
              </w:rPr>
              <w:t>74</w:t>
            </w:r>
          </w:p>
        </w:tc>
        <w:tc>
          <w:tcPr>
            <w:tcW w:w="992" w:type="dxa"/>
            <w:tcBorders>
              <w:top w:val="single" w:sz="2" w:space="0" w:color="auto"/>
              <w:left w:val="nil"/>
              <w:bottom w:val="single" w:sz="2" w:space="0" w:color="auto"/>
            </w:tcBorders>
            <w:shd w:val="clear" w:color="auto" w:fill="FFFFFF" w:themeFill="background1"/>
            <w:hideMark/>
          </w:tcPr>
          <w:p w14:paraId="4E452EB4" w14:textId="77777777" w:rsidR="001832A0" w:rsidRPr="0052443E" w:rsidRDefault="001832A0" w:rsidP="00074BF8">
            <w:pPr>
              <w:pStyle w:val="NormalWeb"/>
              <w:jc w:val="center"/>
              <w:rPr>
                <w:sz w:val="18"/>
                <w:szCs w:val="18"/>
              </w:rPr>
            </w:pPr>
            <w:r w:rsidRPr="0052443E">
              <w:rPr>
                <w:sz w:val="18"/>
                <w:szCs w:val="18"/>
              </w:rPr>
              <w:t>(1.8)</w:t>
            </w:r>
          </w:p>
        </w:tc>
        <w:tc>
          <w:tcPr>
            <w:tcW w:w="1134" w:type="dxa"/>
            <w:shd w:val="clear" w:color="auto" w:fill="F2F2F2" w:themeFill="background1" w:themeFillShade="F2"/>
            <w:hideMark/>
          </w:tcPr>
          <w:p w14:paraId="4F1D8C27" w14:textId="77777777" w:rsidR="001832A0" w:rsidRPr="0052443E" w:rsidRDefault="001832A0" w:rsidP="00074BF8">
            <w:pPr>
              <w:pStyle w:val="NormalWeb"/>
              <w:jc w:val="center"/>
              <w:rPr>
                <w:sz w:val="18"/>
                <w:szCs w:val="18"/>
              </w:rPr>
            </w:pPr>
            <w:r w:rsidRPr="0052443E">
              <w:rPr>
                <w:sz w:val="18"/>
                <w:szCs w:val="18"/>
              </w:rPr>
              <w:t>3.2</w:t>
            </w:r>
          </w:p>
        </w:tc>
        <w:tc>
          <w:tcPr>
            <w:tcW w:w="1559" w:type="dxa"/>
            <w:shd w:val="clear" w:color="auto" w:fill="FFFFFF" w:themeFill="background1"/>
            <w:hideMark/>
          </w:tcPr>
          <w:p w14:paraId="3B968910" w14:textId="77777777" w:rsidR="001832A0" w:rsidRPr="0052443E" w:rsidRDefault="001832A0" w:rsidP="00074BF8">
            <w:pPr>
              <w:pStyle w:val="NormalWeb"/>
              <w:jc w:val="center"/>
              <w:rPr>
                <w:sz w:val="18"/>
                <w:szCs w:val="18"/>
              </w:rPr>
            </w:pPr>
            <w:r w:rsidRPr="0052443E">
              <w:rPr>
                <w:sz w:val="18"/>
                <w:szCs w:val="18"/>
              </w:rPr>
              <w:t>145.3</w:t>
            </w:r>
          </w:p>
        </w:tc>
        <w:tc>
          <w:tcPr>
            <w:tcW w:w="1843" w:type="dxa"/>
            <w:shd w:val="clear" w:color="auto" w:fill="F2F2F2" w:themeFill="background1" w:themeFillShade="F2"/>
            <w:hideMark/>
          </w:tcPr>
          <w:p w14:paraId="1914FCF0" w14:textId="77777777" w:rsidR="001832A0" w:rsidRPr="0052443E" w:rsidRDefault="001832A0" w:rsidP="00074BF8">
            <w:pPr>
              <w:pStyle w:val="NormalWeb"/>
              <w:jc w:val="center"/>
              <w:rPr>
                <w:sz w:val="18"/>
                <w:szCs w:val="18"/>
              </w:rPr>
            </w:pPr>
            <w:r w:rsidRPr="0052443E">
              <w:rPr>
                <w:sz w:val="18"/>
                <w:szCs w:val="18"/>
              </w:rPr>
              <w:t>29.9</w:t>
            </w:r>
          </w:p>
        </w:tc>
        <w:tc>
          <w:tcPr>
            <w:tcW w:w="1793" w:type="dxa"/>
            <w:shd w:val="clear" w:color="auto" w:fill="F2F2F2" w:themeFill="background1" w:themeFillShade="F2"/>
            <w:hideMark/>
          </w:tcPr>
          <w:p w14:paraId="553839A9" w14:textId="77777777" w:rsidR="001832A0" w:rsidRPr="0052443E" w:rsidRDefault="001832A0" w:rsidP="00074BF8">
            <w:pPr>
              <w:pStyle w:val="NormalWeb"/>
              <w:jc w:val="center"/>
              <w:rPr>
                <w:sz w:val="18"/>
                <w:szCs w:val="18"/>
              </w:rPr>
            </w:pPr>
            <w:r w:rsidRPr="0052443E">
              <w:rPr>
                <w:sz w:val="18"/>
                <w:szCs w:val="18"/>
              </w:rPr>
              <w:t>(23.5–37.6)</w:t>
            </w:r>
          </w:p>
        </w:tc>
      </w:tr>
      <w:tr w:rsidR="000B0A38" w:rsidRPr="0052443E" w14:paraId="02191047" w14:textId="77777777" w:rsidTr="000B0A38">
        <w:trPr>
          <w:cnfStyle w:val="000000010000" w:firstRow="0" w:lastRow="0" w:firstColumn="0" w:lastColumn="0" w:oddVBand="0" w:evenVBand="0" w:oddHBand="0" w:evenHBand="1" w:firstRowFirstColumn="0" w:firstRowLastColumn="0" w:lastRowFirstColumn="0" w:lastRowLastColumn="0"/>
        </w:trPr>
        <w:tc>
          <w:tcPr>
            <w:tcW w:w="0" w:type="auto"/>
            <w:hideMark/>
          </w:tcPr>
          <w:p w14:paraId="152985FB" w14:textId="77777777" w:rsidR="001832A0" w:rsidRPr="0052443E" w:rsidRDefault="001832A0">
            <w:pPr>
              <w:pStyle w:val="NormalWeb"/>
              <w:rPr>
                <w:sz w:val="18"/>
                <w:szCs w:val="18"/>
              </w:rPr>
            </w:pPr>
            <w:r w:rsidRPr="0052443E">
              <w:rPr>
                <w:sz w:val="18"/>
                <w:szCs w:val="18"/>
              </w:rPr>
              <w:t>Queensland</w:t>
            </w:r>
          </w:p>
        </w:tc>
        <w:tc>
          <w:tcPr>
            <w:tcW w:w="1032" w:type="dxa"/>
            <w:tcBorders>
              <w:top w:val="single" w:sz="2" w:space="0" w:color="auto"/>
              <w:bottom w:val="single" w:sz="2" w:space="0" w:color="auto"/>
              <w:right w:val="nil"/>
            </w:tcBorders>
            <w:shd w:val="clear" w:color="auto" w:fill="FFFFFF" w:themeFill="background1"/>
            <w:hideMark/>
          </w:tcPr>
          <w:p w14:paraId="7505A507" w14:textId="77777777" w:rsidR="001832A0" w:rsidRPr="0052443E" w:rsidRDefault="001832A0" w:rsidP="00074BF8">
            <w:pPr>
              <w:pStyle w:val="NormalWeb"/>
              <w:jc w:val="center"/>
              <w:rPr>
                <w:sz w:val="18"/>
                <w:szCs w:val="18"/>
              </w:rPr>
            </w:pPr>
            <w:r w:rsidRPr="0052443E">
              <w:rPr>
                <w:sz w:val="18"/>
                <w:szCs w:val="18"/>
              </w:rPr>
              <w:t>763</w:t>
            </w:r>
          </w:p>
        </w:tc>
        <w:tc>
          <w:tcPr>
            <w:tcW w:w="992" w:type="dxa"/>
            <w:tcBorders>
              <w:top w:val="single" w:sz="2" w:space="0" w:color="auto"/>
              <w:left w:val="nil"/>
              <w:bottom w:val="single" w:sz="2" w:space="0" w:color="auto"/>
            </w:tcBorders>
            <w:shd w:val="clear" w:color="auto" w:fill="FFFFFF" w:themeFill="background1"/>
            <w:hideMark/>
          </w:tcPr>
          <w:p w14:paraId="7498FC3E" w14:textId="77777777" w:rsidR="001832A0" w:rsidRPr="0052443E" w:rsidRDefault="001832A0" w:rsidP="00074BF8">
            <w:pPr>
              <w:pStyle w:val="NormalWeb"/>
              <w:jc w:val="center"/>
              <w:rPr>
                <w:sz w:val="18"/>
                <w:szCs w:val="18"/>
              </w:rPr>
            </w:pPr>
            <w:r w:rsidRPr="0052443E">
              <w:rPr>
                <w:sz w:val="18"/>
                <w:szCs w:val="18"/>
              </w:rPr>
              <w:t>(18.1)</w:t>
            </w:r>
          </w:p>
        </w:tc>
        <w:tc>
          <w:tcPr>
            <w:tcW w:w="1134" w:type="dxa"/>
            <w:hideMark/>
          </w:tcPr>
          <w:p w14:paraId="2C11DCB9" w14:textId="77777777" w:rsidR="001832A0" w:rsidRPr="0052443E" w:rsidRDefault="001832A0" w:rsidP="00074BF8">
            <w:pPr>
              <w:pStyle w:val="NormalWeb"/>
              <w:jc w:val="center"/>
              <w:rPr>
                <w:sz w:val="18"/>
                <w:szCs w:val="18"/>
              </w:rPr>
            </w:pPr>
            <w:r w:rsidRPr="0052443E">
              <w:rPr>
                <w:sz w:val="18"/>
                <w:szCs w:val="18"/>
              </w:rPr>
              <w:t>1.9</w:t>
            </w:r>
          </w:p>
        </w:tc>
        <w:tc>
          <w:tcPr>
            <w:tcW w:w="1559" w:type="dxa"/>
            <w:shd w:val="clear" w:color="auto" w:fill="FFFFFF" w:themeFill="background1"/>
            <w:hideMark/>
          </w:tcPr>
          <w:p w14:paraId="444D64F9" w14:textId="77777777" w:rsidR="001832A0" w:rsidRPr="0052443E" w:rsidRDefault="001832A0" w:rsidP="00074BF8">
            <w:pPr>
              <w:pStyle w:val="NormalWeb"/>
              <w:jc w:val="center"/>
              <w:rPr>
                <w:sz w:val="18"/>
                <w:szCs w:val="18"/>
              </w:rPr>
            </w:pPr>
            <w:r w:rsidRPr="0052443E">
              <w:rPr>
                <w:sz w:val="18"/>
                <w:szCs w:val="18"/>
              </w:rPr>
              <w:t>71.2</w:t>
            </w:r>
          </w:p>
        </w:tc>
        <w:tc>
          <w:tcPr>
            <w:tcW w:w="1843" w:type="dxa"/>
            <w:hideMark/>
          </w:tcPr>
          <w:p w14:paraId="68276E09" w14:textId="77777777" w:rsidR="001832A0" w:rsidRPr="0052443E" w:rsidRDefault="001832A0" w:rsidP="00074BF8">
            <w:pPr>
              <w:pStyle w:val="NormalWeb"/>
              <w:jc w:val="center"/>
              <w:rPr>
                <w:sz w:val="18"/>
                <w:szCs w:val="18"/>
              </w:rPr>
            </w:pPr>
            <w:r w:rsidRPr="0052443E">
              <w:rPr>
                <w:sz w:val="18"/>
                <w:szCs w:val="18"/>
              </w:rPr>
              <w:t>15.2</w:t>
            </w:r>
          </w:p>
        </w:tc>
        <w:tc>
          <w:tcPr>
            <w:tcW w:w="1793" w:type="dxa"/>
            <w:hideMark/>
          </w:tcPr>
          <w:p w14:paraId="4BB53758" w14:textId="77777777" w:rsidR="001832A0" w:rsidRPr="0052443E" w:rsidRDefault="001832A0" w:rsidP="00074BF8">
            <w:pPr>
              <w:pStyle w:val="NormalWeb"/>
              <w:jc w:val="center"/>
              <w:rPr>
                <w:sz w:val="18"/>
                <w:szCs w:val="18"/>
              </w:rPr>
            </w:pPr>
            <w:r w:rsidRPr="0052443E">
              <w:rPr>
                <w:sz w:val="18"/>
                <w:szCs w:val="18"/>
              </w:rPr>
              <w:t>(14.2–16.3)</w:t>
            </w:r>
          </w:p>
        </w:tc>
      </w:tr>
      <w:tr w:rsidR="000B0A38" w:rsidRPr="0052443E" w14:paraId="7AF405F3" w14:textId="77777777" w:rsidTr="000B0A38">
        <w:tc>
          <w:tcPr>
            <w:tcW w:w="0" w:type="auto"/>
            <w:shd w:val="clear" w:color="auto" w:fill="F2F2F2" w:themeFill="background1" w:themeFillShade="F2"/>
            <w:hideMark/>
          </w:tcPr>
          <w:p w14:paraId="16921716" w14:textId="77777777" w:rsidR="001832A0" w:rsidRPr="0052443E" w:rsidRDefault="001832A0">
            <w:pPr>
              <w:pStyle w:val="NormalWeb"/>
              <w:rPr>
                <w:sz w:val="18"/>
                <w:szCs w:val="18"/>
              </w:rPr>
            </w:pPr>
            <w:r w:rsidRPr="0052443E">
              <w:rPr>
                <w:sz w:val="18"/>
                <w:szCs w:val="18"/>
              </w:rPr>
              <w:t>South Australia</w:t>
            </w:r>
          </w:p>
        </w:tc>
        <w:tc>
          <w:tcPr>
            <w:tcW w:w="1032" w:type="dxa"/>
            <w:tcBorders>
              <w:top w:val="single" w:sz="2" w:space="0" w:color="auto"/>
              <w:bottom w:val="single" w:sz="2" w:space="0" w:color="auto"/>
              <w:right w:val="nil"/>
            </w:tcBorders>
            <w:shd w:val="clear" w:color="auto" w:fill="FFFFFF" w:themeFill="background1"/>
            <w:hideMark/>
          </w:tcPr>
          <w:p w14:paraId="7D8C6FAC" w14:textId="77777777" w:rsidR="001832A0" w:rsidRPr="0052443E" w:rsidRDefault="001832A0" w:rsidP="00074BF8">
            <w:pPr>
              <w:pStyle w:val="NormalWeb"/>
              <w:jc w:val="center"/>
              <w:rPr>
                <w:sz w:val="18"/>
                <w:szCs w:val="18"/>
              </w:rPr>
            </w:pPr>
            <w:r w:rsidRPr="0052443E">
              <w:rPr>
                <w:sz w:val="18"/>
                <w:szCs w:val="18"/>
              </w:rPr>
              <w:t>320</w:t>
            </w:r>
          </w:p>
        </w:tc>
        <w:tc>
          <w:tcPr>
            <w:tcW w:w="992" w:type="dxa"/>
            <w:tcBorders>
              <w:top w:val="single" w:sz="2" w:space="0" w:color="auto"/>
              <w:left w:val="nil"/>
              <w:bottom w:val="single" w:sz="2" w:space="0" w:color="auto"/>
            </w:tcBorders>
            <w:shd w:val="clear" w:color="auto" w:fill="FFFFFF" w:themeFill="background1"/>
            <w:hideMark/>
          </w:tcPr>
          <w:p w14:paraId="0FA511AC" w14:textId="77777777" w:rsidR="001832A0" w:rsidRPr="0052443E" w:rsidRDefault="001832A0" w:rsidP="00074BF8">
            <w:pPr>
              <w:pStyle w:val="NormalWeb"/>
              <w:jc w:val="center"/>
              <w:rPr>
                <w:sz w:val="18"/>
                <w:szCs w:val="18"/>
              </w:rPr>
            </w:pPr>
            <w:r w:rsidRPr="0052443E">
              <w:rPr>
                <w:sz w:val="18"/>
                <w:szCs w:val="18"/>
              </w:rPr>
              <w:t>(7.6)</w:t>
            </w:r>
          </w:p>
        </w:tc>
        <w:tc>
          <w:tcPr>
            <w:tcW w:w="1134" w:type="dxa"/>
            <w:shd w:val="clear" w:color="auto" w:fill="F2F2F2" w:themeFill="background1" w:themeFillShade="F2"/>
            <w:hideMark/>
          </w:tcPr>
          <w:p w14:paraId="4AA3B472" w14:textId="77777777" w:rsidR="001832A0" w:rsidRPr="0052443E" w:rsidRDefault="001832A0" w:rsidP="00074BF8">
            <w:pPr>
              <w:pStyle w:val="NormalWeb"/>
              <w:jc w:val="center"/>
              <w:rPr>
                <w:sz w:val="18"/>
                <w:szCs w:val="18"/>
              </w:rPr>
            </w:pPr>
            <w:r w:rsidRPr="0052443E">
              <w:rPr>
                <w:sz w:val="18"/>
                <w:szCs w:val="18"/>
              </w:rPr>
              <w:t>2.2</w:t>
            </w:r>
          </w:p>
        </w:tc>
        <w:tc>
          <w:tcPr>
            <w:tcW w:w="1559" w:type="dxa"/>
            <w:shd w:val="clear" w:color="auto" w:fill="FFFFFF" w:themeFill="background1"/>
            <w:hideMark/>
          </w:tcPr>
          <w:p w14:paraId="054E65C4" w14:textId="77777777" w:rsidR="001832A0" w:rsidRPr="0052443E" w:rsidRDefault="001832A0" w:rsidP="00074BF8">
            <w:pPr>
              <w:pStyle w:val="NormalWeb"/>
              <w:jc w:val="center"/>
              <w:rPr>
                <w:sz w:val="18"/>
                <w:szCs w:val="18"/>
              </w:rPr>
            </w:pPr>
            <w:r w:rsidRPr="0052443E">
              <w:rPr>
                <w:sz w:val="18"/>
                <w:szCs w:val="18"/>
              </w:rPr>
              <w:t>98.8</w:t>
            </w:r>
          </w:p>
        </w:tc>
        <w:tc>
          <w:tcPr>
            <w:tcW w:w="1843" w:type="dxa"/>
            <w:shd w:val="clear" w:color="auto" w:fill="F2F2F2" w:themeFill="background1" w:themeFillShade="F2"/>
            <w:hideMark/>
          </w:tcPr>
          <w:p w14:paraId="2BA2B658" w14:textId="77777777" w:rsidR="001832A0" w:rsidRPr="0052443E" w:rsidRDefault="001832A0" w:rsidP="00074BF8">
            <w:pPr>
              <w:pStyle w:val="NormalWeb"/>
              <w:jc w:val="center"/>
              <w:rPr>
                <w:sz w:val="18"/>
                <w:szCs w:val="18"/>
              </w:rPr>
            </w:pPr>
            <w:r w:rsidRPr="0052443E">
              <w:rPr>
                <w:sz w:val="18"/>
                <w:szCs w:val="18"/>
              </w:rPr>
              <w:t>18.4</w:t>
            </w:r>
          </w:p>
        </w:tc>
        <w:tc>
          <w:tcPr>
            <w:tcW w:w="1793" w:type="dxa"/>
            <w:shd w:val="clear" w:color="auto" w:fill="F2F2F2" w:themeFill="background1" w:themeFillShade="F2"/>
            <w:hideMark/>
          </w:tcPr>
          <w:p w14:paraId="1C3A12E8" w14:textId="77777777" w:rsidR="001832A0" w:rsidRPr="0052443E" w:rsidRDefault="001832A0" w:rsidP="00074BF8">
            <w:pPr>
              <w:pStyle w:val="NormalWeb"/>
              <w:jc w:val="center"/>
              <w:rPr>
                <w:sz w:val="18"/>
                <w:szCs w:val="18"/>
              </w:rPr>
            </w:pPr>
            <w:r w:rsidRPr="0052443E">
              <w:rPr>
                <w:sz w:val="18"/>
                <w:szCs w:val="18"/>
              </w:rPr>
              <w:t>(16.5–20.6)</w:t>
            </w:r>
          </w:p>
        </w:tc>
      </w:tr>
      <w:tr w:rsidR="000B0A38" w:rsidRPr="0052443E" w14:paraId="504F9766" w14:textId="77777777" w:rsidTr="000B0A38">
        <w:trPr>
          <w:cnfStyle w:val="000000010000" w:firstRow="0" w:lastRow="0" w:firstColumn="0" w:lastColumn="0" w:oddVBand="0" w:evenVBand="0" w:oddHBand="0" w:evenHBand="1" w:firstRowFirstColumn="0" w:firstRowLastColumn="0" w:lastRowFirstColumn="0" w:lastRowLastColumn="0"/>
        </w:trPr>
        <w:tc>
          <w:tcPr>
            <w:tcW w:w="0" w:type="auto"/>
            <w:hideMark/>
          </w:tcPr>
          <w:p w14:paraId="7E9539E7" w14:textId="77777777" w:rsidR="001832A0" w:rsidRPr="0052443E" w:rsidRDefault="001832A0">
            <w:pPr>
              <w:pStyle w:val="NormalWeb"/>
              <w:rPr>
                <w:sz w:val="18"/>
                <w:szCs w:val="18"/>
              </w:rPr>
            </w:pPr>
            <w:r w:rsidRPr="0052443E">
              <w:rPr>
                <w:sz w:val="18"/>
                <w:szCs w:val="18"/>
              </w:rPr>
              <w:t>Tasmania</w:t>
            </w:r>
          </w:p>
        </w:tc>
        <w:tc>
          <w:tcPr>
            <w:tcW w:w="1032" w:type="dxa"/>
            <w:tcBorders>
              <w:top w:val="single" w:sz="2" w:space="0" w:color="auto"/>
              <w:bottom w:val="single" w:sz="2" w:space="0" w:color="auto"/>
              <w:right w:val="nil"/>
            </w:tcBorders>
            <w:shd w:val="clear" w:color="auto" w:fill="FFFFFF" w:themeFill="background1"/>
            <w:hideMark/>
          </w:tcPr>
          <w:p w14:paraId="3DDB5239" w14:textId="77777777" w:rsidR="001832A0" w:rsidRPr="0052443E" w:rsidRDefault="001832A0" w:rsidP="00074BF8">
            <w:pPr>
              <w:pStyle w:val="NormalWeb"/>
              <w:jc w:val="center"/>
              <w:rPr>
                <w:sz w:val="18"/>
                <w:szCs w:val="18"/>
              </w:rPr>
            </w:pPr>
            <w:r w:rsidRPr="0052443E">
              <w:rPr>
                <w:sz w:val="18"/>
                <w:szCs w:val="18"/>
              </w:rPr>
              <w:t>178</w:t>
            </w:r>
          </w:p>
        </w:tc>
        <w:tc>
          <w:tcPr>
            <w:tcW w:w="992" w:type="dxa"/>
            <w:tcBorders>
              <w:top w:val="single" w:sz="2" w:space="0" w:color="auto"/>
              <w:left w:val="nil"/>
              <w:bottom w:val="single" w:sz="2" w:space="0" w:color="auto"/>
            </w:tcBorders>
            <w:shd w:val="clear" w:color="auto" w:fill="FFFFFF" w:themeFill="background1"/>
            <w:hideMark/>
          </w:tcPr>
          <w:p w14:paraId="21EE1F90" w14:textId="77777777" w:rsidR="001832A0" w:rsidRPr="0052443E" w:rsidRDefault="001832A0" w:rsidP="00074BF8">
            <w:pPr>
              <w:pStyle w:val="NormalWeb"/>
              <w:jc w:val="center"/>
              <w:rPr>
                <w:sz w:val="18"/>
                <w:szCs w:val="18"/>
              </w:rPr>
            </w:pPr>
            <w:r w:rsidRPr="0052443E">
              <w:rPr>
                <w:sz w:val="18"/>
                <w:szCs w:val="18"/>
              </w:rPr>
              <w:t>(4.2)</w:t>
            </w:r>
          </w:p>
        </w:tc>
        <w:tc>
          <w:tcPr>
            <w:tcW w:w="1134" w:type="dxa"/>
            <w:hideMark/>
          </w:tcPr>
          <w:p w14:paraId="473D9C65" w14:textId="77777777" w:rsidR="001832A0" w:rsidRPr="0052443E" w:rsidRDefault="001832A0" w:rsidP="00074BF8">
            <w:pPr>
              <w:pStyle w:val="NormalWeb"/>
              <w:jc w:val="center"/>
              <w:rPr>
                <w:sz w:val="18"/>
                <w:szCs w:val="18"/>
              </w:rPr>
            </w:pPr>
            <w:r w:rsidRPr="0052443E">
              <w:rPr>
                <w:sz w:val="18"/>
                <w:szCs w:val="18"/>
              </w:rPr>
              <w:t>8.1</w:t>
            </w:r>
          </w:p>
        </w:tc>
        <w:tc>
          <w:tcPr>
            <w:tcW w:w="1559" w:type="dxa"/>
            <w:shd w:val="clear" w:color="auto" w:fill="FFFFFF" w:themeFill="background1"/>
            <w:hideMark/>
          </w:tcPr>
          <w:p w14:paraId="21A5BAAA" w14:textId="77777777" w:rsidR="001832A0" w:rsidRPr="0052443E" w:rsidRDefault="001832A0" w:rsidP="00074BF8">
            <w:pPr>
              <w:pStyle w:val="NormalWeb"/>
              <w:jc w:val="center"/>
              <w:rPr>
                <w:sz w:val="18"/>
                <w:szCs w:val="18"/>
              </w:rPr>
            </w:pPr>
            <w:r w:rsidRPr="0052443E">
              <w:rPr>
                <w:sz w:val="18"/>
                <w:szCs w:val="18"/>
              </w:rPr>
              <w:t>128.5</w:t>
            </w:r>
          </w:p>
        </w:tc>
        <w:tc>
          <w:tcPr>
            <w:tcW w:w="1843" w:type="dxa"/>
            <w:hideMark/>
          </w:tcPr>
          <w:p w14:paraId="6DF6DBC7" w14:textId="77777777" w:rsidR="001832A0" w:rsidRPr="0052443E" w:rsidRDefault="001832A0" w:rsidP="00074BF8">
            <w:pPr>
              <w:pStyle w:val="NormalWeb"/>
              <w:jc w:val="center"/>
              <w:rPr>
                <w:sz w:val="18"/>
                <w:szCs w:val="18"/>
              </w:rPr>
            </w:pPr>
            <w:r w:rsidRPr="0052443E">
              <w:rPr>
                <w:sz w:val="18"/>
                <w:szCs w:val="18"/>
              </w:rPr>
              <w:t>33.7</w:t>
            </w:r>
          </w:p>
        </w:tc>
        <w:tc>
          <w:tcPr>
            <w:tcW w:w="1793" w:type="dxa"/>
            <w:hideMark/>
          </w:tcPr>
          <w:p w14:paraId="325A6132" w14:textId="77777777" w:rsidR="001832A0" w:rsidRPr="0052443E" w:rsidRDefault="001832A0" w:rsidP="00074BF8">
            <w:pPr>
              <w:pStyle w:val="NormalWeb"/>
              <w:jc w:val="center"/>
              <w:rPr>
                <w:sz w:val="18"/>
                <w:szCs w:val="18"/>
              </w:rPr>
            </w:pPr>
            <w:r w:rsidRPr="0052443E">
              <w:rPr>
                <w:sz w:val="18"/>
                <w:szCs w:val="18"/>
              </w:rPr>
              <w:t>(28.9–39.0)</w:t>
            </w:r>
          </w:p>
        </w:tc>
      </w:tr>
      <w:tr w:rsidR="000B0A38" w:rsidRPr="0052443E" w14:paraId="0DC60B96" w14:textId="77777777" w:rsidTr="000B0A38">
        <w:tc>
          <w:tcPr>
            <w:tcW w:w="0" w:type="auto"/>
            <w:shd w:val="clear" w:color="auto" w:fill="F2F2F2" w:themeFill="background1" w:themeFillShade="F2"/>
            <w:hideMark/>
          </w:tcPr>
          <w:p w14:paraId="187014E6" w14:textId="77777777" w:rsidR="001832A0" w:rsidRPr="0052443E" w:rsidRDefault="001832A0">
            <w:pPr>
              <w:pStyle w:val="NormalWeb"/>
              <w:rPr>
                <w:sz w:val="18"/>
                <w:szCs w:val="18"/>
              </w:rPr>
            </w:pPr>
            <w:r w:rsidRPr="0052443E">
              <w:rPr>
                <w:sz w:val="18"/>
                <w:szCs w:val="18"/>
              </w:rPr>
              <w:t>Victoria</w:t>
            </w:r>
          </w:p>
        </w:tc>
        <w:tc>
          <w:tcPr>
            <w:tcW w:w="1032" w:type="dxa"/>
            <w:tcBorders>
              <w:top w:val="single" w:sz="2" w:space="0" w:color="auto"/>
              <w:bottom w:val="single" w:sz="2" w:space="0" w:color="auto"/>
              <w:right w:val="nil"/>
            </w:tcBorders>
            <w:shd w:val="clear" w:color="auto" w:fill="FFFFFF" w:themeFill="background1"/>
            <w:hideMark/>
          </w:tcPr>
          <w:p w14:paraId="1EDE842A" w14:textId="77777777" w:rsidR="001832A0" w:rsidRPr="0052443E" w:rsidRDefault="001832A0" w:rsidP="00074BF8">
            <w:pPr>
              <w:pStyle w:val="NormalWeb"/>
              <w:jc w:val="center"/>
              <w:rPr>
                <w:sz w:val="18"/>
                <w:szCs w:val="18"/>
              </w:rPr>
            </w:pPr>
            <w:r w:rsidRPr="0052443E">
              <w:rPr>
                <w:sz w:val="18"/>
                <w:szCs w:val="18"/>
              </w:rPr>
              <w:t>1,569</w:t>
            </w:r>
          </w:p>
        </w:tc>
        <w:tc>
          <w:tcPr>
            <w:tcW w:w="992" w:type="dxa"/>
            <w:tcBorders>
              <w:top w:val="single" w:sz="2" w:space="0" w:color="auto"/>
              <w:left w:val="nil"/>
              <w:bottom w:val="single" w:sz="2" w:space="0" w:color="auto"/>
            </w:tcBorders>
            <w:shd w:val="clear" w:color="auto" w:fill="FFFFFF" w:themeFill="background1"/>
            <w:hideMark/>
          </w:tcPr>
          <w:p w14:paraId="5980F31B" w14:textId="77777777" w:rsidR="001832A0" w:rsidRPr="0052443E" w:rsidRDefault="001832A0" w:rsidP="00074BF8">
            <w:pPr>
              <w:pStyle w:val="NormalWeb"/>
              <w:jc w:val="center"/>
              <w:rPr>
                <w:sz w:val="18"/>
                <w:szCs w:val="18"/>
              </w:rPr>
            </w:pPr>
            <w:r w:rsidRPr="0052443E">
              <w:rPr>
                <w:sz w:val="18"/>
                <w:szCs w:val="18"/>
              </w:rPr>
              <w:t>(37.2)</w:t>
            </w:r>
          </w:p>
        </w:tc>
        <w:tc>
          <w:tcPr>
            <w:tcW w:w="1134" w:type="dxa"/>
            <w:shd w:val="clear" w:color="auto" w:fill="F2F2F2" w:themeFill="background1" w:themeFillShade="F2"/>
            <w:hideMark/>
          </w:tcPr>
          <w:p w14:paraId="42FB4752" w14:textId="77777777" w:rsidR="001832A0" w:rsidRPr="0052443E" w:rsidRDefault="001832A0" w:rsidP="00074BF8">
            <w:pPr>
              <w:pStyle w:val="NormalWeb"/>
              <w:jc w:val="center"/>
              <w:rPr>
                <w:sz w:val="18"/>
                <w:szCs w:val="18"/>
              </w:rPr>
            </w:pPr>
            <w:r w:rsidRPr="0052443E">
              <w:rPr>
                <w:sz w:val="18"/>
                <w:szCs w:val="18"/>
              </w:rPr>
              <w:t>3.2</w:t>
            </w:r>
          </w:p>
        </w:tc>
        <w:tc>
          <w:tcPr>
            <w:tcW w:w="1559" w:type="dxa"/>
            <w:shd w:val="clear" w:color="auto" w:fill="FFFFFF" w:themeFill="background1"/>
            <w:hideMark/>
          </w:tcPr>
          <w:p w14:paraId="3CEBFFF0" w14:textId="77777777" w:rsidR="001832A0" w:rsidRPr="0052443E" w:rsidRDefault="001832A0" w:rsidP="00074BF8">
            <w:pPr>
              <w:pStyle w:val="NormalWeb"/>
              <w:jc w:val="center"/>
              <w:rPr>
                <w:sz w:val="18"/>
                <w:szCs w:val="18"/>
              </w:rPr>
            </w:pPr>
            <w:r w:rsidRPr="0052443E">
              <w:rPr>
                <w:sz w:val="18"/>
                <w:szCs w:val="18"/>
              </w:rPr>
              <w:t>149.6</w:t>
            </w:r>
          </w:p>
        </w:tc>
        <w:tc>
          <w:tcPr>
            <w:tcW w:w="1843" w:type="dxa"/>
            <w:shd w:val="clear" w:color="auto" w:fill="F2F2F2" w:themeFill="background1" w:themeFillShade="F2"/>
            <w:hideMark/>
          </w:tcPr>
          <w:p w14:paraId="44C66A49" w14:textId="77777777" w:rsidR="001832A0" w:rsidRPr="0052443E" w:rsidRDefault="001832A0" w:rsidP="00074BF8">
            <w:pPr>
              <w:pStyle w:val="NormalWeb"/>
              <w:jc w:val="center"/>
              <w:rPr>
                <w:sz w:val="18"/>
                <w:szCs w:val="18"/>
              </w:rPr>
            </w:pPr>
            <w:r w:rsidRPr="0052443E">
              <w:rPr>
                <w:sz w:val="18"/>
                <w:szCs w:val="18"/>
              </w:rPr>
              <w:t>24.3</w:t>
            </w:r>
          </w:p>
        </w:tc>
        <w:tc>
          <w:tcPr>
            <w:tcW w:w="1793" w:type="dxa"/>
            <w:shd w:val="clear" w:color="auto" w:fill="F2F2F2" w:themeFill="background1" w:themeFillShade="F2"/>
            <w:hideMark/>
          </w:tcPr>
          <w:p w14:paraId="0AE85308" w14:textId="77777777" w:rsidR="001832A0" w:rsidRPr="0052443E" w:rsidRDefault="001832A0" w:rsidP="00074BF8">
            <w:pPr>
              <w:pStyle w:val="NormalWeb"/>
              <w:jc w:val="center"/>
              <w:rPr>
                <w:sz w:val="18"/>
                <w:szCs w:val="18"/>
              </w:rPr>
            </w:pPr>
            <w:r w:rsidRPr="0052443E">
              <w:rPr>
                <w:sz w:val="18"/>
                <w:szCs w:val="18"/>
              </w:rPr>
              <w:t>(23.1–25.5)</w:t>
            </w:r>
          </w:p>
        </w:tc>
      </w:tr>
      <w:tr w:rsidR="000B0A38" w:rsidRPr="0052443E" w14:paraId="45504557" w14:textId="77777777" w:rsidTr="000B0A38">
        <w:trPr>
          <w:cnfStyle w:val="000000010000" w:firstRow="0" w:lastRow="0" w:firstColumn="0" w:lastColumn="0" w:oddVBand="0" w:evenVBand="0" w:oddHBand="0" w:evenHBand="1" w:firstRowFirstColumn="0" w:firstRowLastColumn="0" w:lastRowFirstColumn="0" w:lastRowLastColumn="0"/>
        </w:trPr>
        <w:tc>
          <w:tcPr>
            <w:tcW w:w="0" w:type="auto"/>
            <w:hideMark/>
          </w:tcPr>
          <w:p w14:paraId="01B73D62" w14:textId="77777777" w:rsidR="001832A0" w:rsidRPr="0052443E" w:rsidRDefault="001832A0">
            <w:pPr>
              <w:pStyle w:val="NormalWeb"/>
              <w:rPr>
                <w:sz w:val="18"/>
                <w:szCs w:val="18"/>
              </w:rPr>
            </w:pPr>
            <w:r w:rsidRPr="0052443E">
              <w:rPr>
                <w:sz w:val="18"/>
                <w:szCs w:val="18"/>
              </w:rPr>
              <w:t>Western Australia</w:t>
            </w:r>
          </w:p>
        </w:tc>
        <w:tc>
          <w:tcPr>
            <w:tcW w:w="1032" w:type="dxa"/>
            <w:tcBorders>
              <w:top w:val="single" w:sz="2" w:space="0" w:color="auto"/>
              <w:bottom w:val="single" w:sz="2" w:space="0" w:color="auto"/>
              <w:right w:val="nil"/>
            </w:tcBorders>
            <w:shd w:val="clear" w:color="auto" w:fill="FFFFFF" w:themeFill="background1"/>
            <w:hideMark/>
          </w:tcPr>
          <w:p w14:paraId="6DBA7B71" w14:textId="77777777" w:rsidR="001832A0" w:rsidRPr="0052443E" w:rsidRDefault="001832A0" w:rsidP="00074BF8">
            <w:pPr>
              <w:pStyle w:val="NormalWeb"/>
              <w:jc w:val="center"/>
              <w:rPr>
                <w:sz w:val="18"/>
                <w:szCs w:val="18"/>
              </w:rPr>
            </w:pPr>
            <w:r w:rsidRPr="0052443E">
              <w:rPr>
                <w:sz w:val="18"/>
                <w:szCs w:val="18"/>
              </w:rPr>
              <w:t>342</w:t>
            </w:r>
          </w:p>
        </w:tc>
        <w:tc>
          <w:tcPr>
            <w:tcW w:w="992" w:type="dxa"/>
            <w:tcBorders>
              <w:top w:val="single" w:sz="2" w:space="0" w:color="auto"/>
              <w:left w:val="nil"/>
              <w:bottom w:val="single" w:sz="2" w:space="0" w:color="auto"/>
            </w:tcBorders>
            <w:shd w:val="clear" w:color="auto" w:fill="FFFFFF" w:themeFill="background1"/>
            <w:hideMark/>
          </w:tcPr>
          <w:p w14:paraId="261E89A7" w14:textId="77777777" w:rsidR="001832A0" w:rsidRPr="0052443E" w:rsidRDefault="001832A0" w:rsidP="00074BF8">
            <w:pPr>
              <w:pStyle w:val="NormalWeb"/>
              <w:jc w:val="center"/>
              <w:rPr>
                <w:sz w:val="18"/>
                <w:szCs w:val="18"/>
              </w:rPr>
            </w:pPr>
            <w:r w:rsidRPr="0052443E">
              <w:rPr>
                <w:sz w:val="18"/>
                <w:szCs w:val="18"/>
              </w:rPr>
              <w:t>(8.1)</w:t>
            </w:r>
          </w:p>
        </w:tc>
        <w:tc>
          <w:tcPr>
            <w:tcW w:w="1134" w:type="dxa"/>
            <w:hideMark/>
          </w:tcPr>
          <w:p w14:paraId="7C938FED" w14:textId="77777777" w:rsidR="001832A0" w:rsidRPr="0052443E" w:rsidRDefault="001832A0" w:rsidP="00074BF8">
            <w:pPr>
              <w:pStyle w:val="NormalWeb"/>
              <w:jc w:val="center"/>
              <w:rPr>
                <w:sz w:val="18"/>
                <w:szCs w:val="18"/>
              </w:rPr>
            </w:pPr>
            <w:r w:rsidRPr="0052443E">
              <w:rPr>
                <w:sz w:val="18"/>
                <w:szCs w:val="18"/>
              </w:rPr>
              <w:t>2.3</w:t>
            </w:r>
          </w:p>
        </w:tc>
        <w:tc>
          <w:tcPr>
            <w:tcW w:w="1559" w:type="dxa"/>
            <w:shd w:val="clear" w:color="auto" w:fill="FFFFFF" w:themeFill="background1"/>
            <w:hideMark/>
          </w:tcPr>
          <w:p w14:paraId="44056325" w14:textId="77777777" w:rsidR="001832A0" w:rsidRPr="0052443E" w:rsidRDefault="001832A0" w:rsidP="00074BF8">
            <w:pPr>
              <w:pStyle w:val="NormalWeb"/>
              <w:jc w:val="center"/>
              <w:rPr>
                <w:sz w:val="18"/>
                <w:szCs w:val="18"/>
              </w:rPr>
            </w:pPr>
            <w:r w:rsidRPr="0052443E">
              <w:rPr>
                <w:sz w:val="18"/>
                <w:szCs w:val="18"/>
              </w:rPr>
              <w:t>62.8</w:t>
            </w:r>
          </w:p>
        </w:tc>
        <w:tc>
          <w:tcPr>
            <w:tcW w:w="1843" w:type="dxa"/>
            <w:hideMark/>
          </w:tcPr>
          <w:p w14:paraId="1DB95996" w14:textId="77777777" w:rsidR="001832A0" w:rsidRPr="0052443E" w:rsidRDefault="001832A0" w:rsidP="00074BF8">
            <w:pPr>
              <w:pStyle w:val="NormalWeb"/>
              <w:jc w:val="center"/>
              <w:rPr>
                <w:sz w:val="18"/>
                <w:szCs w:val="18"/>
              </w:rPr>
            </w:pPr>
            <w:r w:rsidRPr="0052443E">
              <w:rPr>
                <w:sz w:val="18"/>
                <w:szCs w:val="18"/>
              </w:rPr>
              <w:t>13.2</w:t>
            </w:r>
          </w:p>
        </w:tc>
        <w:tc>
          <w:tcPr>
            <w:tcW w:w="1793" w:type="dxa"/>
            <w:hideMark/>
          </w:tcPr>
          <w:p w14:paraId="6AAE8C7B" w14:textId="77777777" w:rsidR="001832A0" w:rsidRPr="0052443E" w:rsidRDefault="001832A0" w:rsidP="00074BF8">
            <w:pPr>
              <w:pStyle w:val="NormalWeb"/>
              <w:jc w:val="center"/>
              <w:rPr>
                <w:sz w:val="18"/>
                <w:szCs w:val="18"/>
              </w:rPr>
            </w:pPr>
            <w:r w:rsidRPr="0052443E">
              <w:rPr>
                <w:sz w:val="18"/>
                <w:szCs w:val="18"/>
              </w:rPr>
              <w:t>(11.8–14.7)</w:t>
            </w:r>
          </w:p>
        </w:tc>
      </w:tr>
      <w:tr w:rsidR="000B0A38" w:rsidRPr="0052443E" w14:paraId="4D0BA6E2" w14:textId="77777777" w:rsidTr="000B0A38">
        <w:tc>
          <w:tcPr>
            <w:tcW w:w="0" w:type="auto"/>
            <w:shd w:val="clear" w:color="auto" w:fill="F2F2F2" w:themeFill="background1" w:themeFillShade="F2"/>
            <w:hideMark/>
          </w:tcPr>
          <w:p w14:paraId="338101B5" w14:textId="77777777" w:rsidR="001832A0" w:rsidRPr="0052443E" w:rsidRDefault="001832A0">
            <w:pPr>
              <w:pStyle w:val="NormalWeb"/>
              <w:rPr>
                <w:sz w:val="18"/>
                <w:szCs w:val="18"/>
              </w:rPr>
            </w:pPr>
            <w:r w:rsidRPr="0052443E">
              <w:rPr>
                <w:sz w:val="18"/>
                <w:szCs w:val="18"/>
              </w:rPr>
              <w:t>Other</w:t>
            </w:r>
            <w:r w:rsidRPr="0052443E">
              <w:rPr>
                <w:sz w:val="18"/>
                <w:szCs w:val="18"/>
                <w:vertAlign w:val="superscript"/>
              </w:rPr>
              <w:t>c</w:t>
            </w:r>
          </w:p>
        </w:tc>
        <w:tc>
          <w:tcPr>
            <w:tcW w:w="1032" w:type="dxa"/>
            <w:tcBorders>
              <w:top w:val="single" w:sz="2" w:space="0" w:color="auto"/>
              <w:bottom w:val="single" w:sz="2" w:space="0" w:color="auto"/>
              <w:right w:val="nil"/>
            </w:tcBorders>
            <w:shd w:val="clear" w:color="auto" w:fill="FFFFFF" w:themeFill="background1"/>
            <w:hideMark/>
          </w:tcPr>
          <w:p w14:paraId="772B5431" w14:textId="77777777" w:rsidR="001832A0" w:rsidRPr="0052443E" w:rsidRDefault="001832A0" w:rsidP="00074BF8">
            <w:pPr>
              <w:pStyle w:val="NormalWeb"/>
              <w:jc w:val="center"/>
              <w:rPr>
                <w:sz w:val="18"/>
                <w:szCs w:val="18"/>
              </w:rPr>
            </w:pPr>
            <w:r w:rsidRPr="0052443E">
              <w:rPr>
                <w:sz w:val="18"/>
                <w:szCs w:val="18"/>
              </w:rPr>
              <w:t>28</w:t>
            </w:r>
          </w:p>
        </w:tc>
        <w:tc>
          <w:tcPr>
            <w:tcW w:w="992" w:type="dxa"/>
            <w:tcBorders>
              <w:top w:val="single" w:sz="2" w:space="0" w:color="auto"/>
              <w:left w:val="nil"/>
              <w:bottom w:val="single" w:sz="2" w:space="0" w:color="auto"/>
            </w:tcBorders>
            <w:shd w:val="clear" w:color="auto" w:fill="FFFFFF" w:themeFill="background1"/>
            <w:hideMark/>
          </w:tcPr>
          <w:p w14:paraId="5449DB07" w14:textId="77777777" w:rsidR="001832A0" w:rsidRPr="0052443E" w:rsidRDefault="001832A0" w:rsidP="00074BF8">
            <w:pPr>
              <w:pStyle w:val="NormalWeb"/>
              <w:jc w:val="center"/>
              <w:rPr>
                <w:sz w:val="18"/>
                <w:szCs w:val="18"/>
              </w:rPr>
            </w:pPr>
            <w:r w:rsidRPr="0052443E">
              <w:rPr>
                <w:sz w:val="18"/>
                <w:szCs w:val="18"/>
              </w:rPr>
              <w:t>(0.7)</w:t>
            </w:r>
          </w:p>
        </w:tc>
        <w:tc>
          <w:tcPr>
            <w:tcW w:w="1134" w:type="dxa"/>
            <w:shd w:val="clear" w:color="auto" w:fill="F2F2F2" w:themeFill="background1" w:themeFillShade="F2"/>
            <w:hideMark/>
          </w:tcPr>
          <w:p w14:paraId="306485DE" w14:textId="77777777" w:rsidR="001832A0" w:rsidRPr="0052443E" w:rsidRDefault="001832A0" w:rsidP="00074BF8">
            <w:pPr>
              <w:pStyle w:val="NormalWeb"/>
              <w:jc w:val="center"/>
              <w:rPr>
                <w:sz w:val="18"/>
                <w:szCs w:val="18"/>
              </w:rPr>
            </w:pPr>
            <w:r w:rsidRPr="0052443E">
              <w:rPr>
                <w:sz w:val="18"/>
                <w:szCs w:val="18"/>
              </w:rPr>
              <w:t>na</w:t>
            </w:r>
          </w:p>
        </w:tc>
        <w:tc>
          <w:tcPr>
            <w:tcW w:w="1559" w:type="dxa"/>
            <w:shd w:val="clear" w:color="auto" w:fill="FFFFFF" w:themeFill="background1"/>
            <w:hideMark/>
          </w:tcPr>
          <w:p w14:paraId="1B7065D3" w14:textId="77777777" w:rsidR="001832A0" w:rsidRPr="0052443E" w:rsidRDefault="001832A0" w:rsidP="00074BF8">
            <w:pPr>
              <w:pStyle w:val="NormalWeb"/>
              <w:jc w:val="center"/>
              <w:rPr>
                <w:sz w:val="18"/>
                <w:szCs w:val="18"/>
              </w:rPr>
            </w:pPr>
            <w:r w:rsidRPr="0052443E">
              <w:rPr>
                <w:sz w:val="18"/>
                <w:szCs w:val="18"/>
              </w:rPr>
              <w:t>na</w:t>
            </w:r>
          </w:p>
        </w:tc>
        <w:tc>
          <w:tcPr>
            <w:tcW w:w="1843" w:type="dxa"/>
            <w:shd w:val="clear" w:color="auto" w:fill="F2F2F2" w:themeFill="background1" w:themeFillShade="F2"/>
            <w:hideMark/>
          </w:tcPr>
          <w:p w14:paraId="41FF10C4" w14:textId="77777777" w:rsidR="001832A0" w:rsidRPr="0052443E" w:rsidRDefault="001832A0" w:rsidP="00074BF8">
            <w:pPr>
              <w:pStyle w:val="NormalWeb"/>
              <w:jc w:val="center"/>
              <w:rPr>
                <w:sz w:val="18"/>
                <w:szCs w:val="18"/>
              </w:rPr>
            </w:pPr>
            <w:r w:rsidRPr="0052443E">
              <w:rPr>
                <w:sz w:val="18"/>
                <w:szCs w:val="18"/>
              </w:rPr>
              <w:t>na</w:t>
            </w:r>
          </w:p>
        </w:tc>
        <w:tc>
          <w:tcPr>
            <w:tcW w:w="1793" w:type="dxa"/>
            <w:shd w:val="clear" w:color="auto" w:fill="F2F2F2" w:themeFill="background1" w:themeFillShade="F2"/>
            <w:hideMark/>
          </w:tcPr>
          <w:p w14:paraId="7133031F" w14:textId="77777777" w:rsidR="001832A0" w:rsidRPr="0052443E" w:rsidRDefault="001832A0" w:rsidP="00074BF8">
            <w:pPr>
              <w:pStyle w:val="NormalWeb"/>
              <w:jc w:val="center"/>
              <w:rPr>
                <w:sz w:val="18"/>
                <w:szCs w:val="18"/>
              </w:rPr>
            </w:pPr>
            <w:r w:rsidRPr="0052443E">
              <w:rPr>
                <w:sz w:val="18"/>
                <w:szCs w:val="18"/>
              </w:rPr>
              <w:t>–</w:t>
            </w:r>
          </w:p>
        </w:tc>
      </w:tr>
      <w:tr w:rsidR="00D148EB" w:rsidRPr="0052443E" w14:paraId="1A5CDA6A" w14:textId="77777777" w:rsidTr="000B0A38">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530E1839" w14:textId="77777777" w:rsidR="001832A0" w:rsidRPr="0052443E" w:rsidRDefault="001832A0">
            <w:pPr>
              <w:pStyle w:val="NormalWeb"/>
              <w:rPr>
                <w:b/>
                <w:sz w:val="18"/>
                <w:szCs w:val="18"/>
              </w:rPr>
            </w:pPr>
            <w:r w:rsidRPr="0052443E">
              <w:rPr>
                <w:b/>
                <w:sz w:val="18"/>
                <w:szCs w:val="18"/>
              </w:rPr>
              <w:t>Total</w:t>
            </w:r>
          </w:p>
        </w:tc>
        <w:tc>
          <w:tcPr>
            <w:tcW w:w="1032" w:type="dxa"/>
            <w:tcBorders>
              <w:top w:val="single" w:sz="2" w:space="0" w:color="auto"/>
            </w:tcBorders>
            <w:shd w:val="clear" w:color="auto" w:fill="FDE9D9" w:themeFill="accent6" w:themeFillTint="33"/>
            <w:hideMark/>
          </w:tcPr>
          <w:p w14:paraId="5EC420AA" w14:textId="77777777" w:rsidR="001832A0" w:rsidRPr="0052443E" w:rsidRDefault="001832A0" w:rsidP="00074BF8">
            <w:pPr>
              <w:pStyle w:val="NormalWeb"/>
              <w:jc w:val="center"/>
              <w:rPr>
                <w:b/>
                <w:sz w:val="18"/>
                <w:szCs w:val="18"/>
              </w:rPr>
            </w:pPr>
            <w:r w:rsidRPr="0052443E">
              <w:rPr>
                <w:b/>
                <w:sz w:val="18"/>
                <w:szCs w:val="18"/>
              </w:rPr>
              <w:t>4,221</w:t>
            </w:r>
          </w:p>
        </w:tc>
        <w:tc>
          <w:tcPr>
            <w:tcW w:w="992" w:type="dxa"/>
            <w:tcBorders>
              <w:top w:val="single" w:sz="2" w:space="0" w:color="auto"/>
            </w:tcBorders>
            <w:shd w:val="clear" w:color="auto" w:fill="FDE9D9" w:themeFill="accent6" w:themeFillTint="33"/>
            <w:hideMark/>
          </w:tcPr>
          <w:p w14:paraId="2526116C" w14:textId="77777777" w:rsidR="001832A0" w:rsidRPr="0052443E" w:rsidRDefault="001832A0" w:rsidP="00074BF8">
            <w:pPr>
              <w:pStyle w:val="NormalWeb"/>
              <w:jc w:val="center"/>
              <w:rPr>
                <w:b/>
                <w:sz w:val="18"/>
                <w:szCs w:val="18"/>
              </w:rPr>
            </w:pPr>
            <w:r w:rsidRPr="0052443E">
              <w:rPr>
                <w:b/>
                <w:sz w:val="18"/>
                <w:szCs w:val="18"/>
              </w:rPr>
              <w:t>(100.0)</w:t>
            </w:r>
          </w:p>
        </w:tc>
        <w:tc>
          <w:tcPr>
            <w:tcW w:w="1134" w:type="dxa"/>
            <w:shd w:val="clear" w:color="auto" w:fill="FDE9D9" w:themeFill="accent6" w:themeFillTint="33"/>
            <w:hideMark/>
          </w:tcPr>
          <w:p w14:paraId="407712C8" w14:textId="77777777" w:rsidR="001832A0" w:rsidRPr="0052443E" w:rsidRDefault="001832A0" w:rsidP="00074BF8">
            <w:pPr>
              <w:pStyle w:val="NormalWeb"/>
              <w:jc w:val="center"/>
              <w:rPr>
                <w:b/>
                <w:sz w:val="18"/>
                <w:szCs w:val="18"/>
              </w:rPr>
            </w:pPr>
            <w:r w:rsidRPr="0052443E">
              <w:rPr>
                <w:b/>
                <w:sz w:val="18"/>
                <w:szCs w:val="18"/>
              </w:rPr>
              <w:t>2.7</w:t>
            </w:r>
          </w:p>
        </w:tc>
        <w:tc>
          <w:tcPr>
            <w:tcW w:w="1559" w:type="dxa"/>
            <w:shd w:val="clear" w:color="auto" w:fill="FDE9D9" w:themeFill="accent6" w:themeFillTint="33"/>
            <w:hideMark/>
          </w:tcPr>
          <w:p w14:paraId="3318657D" w14:textId="77777777" w:rsidR="001832A0" w:rsidRPr="0052443E" w:rsidRDefault="001832A0" w:rsidP="00074BF8">
            <w:pPr>
              <w:pStyle w:val="NormalWeb"/>
              <w:jc w:val="center"/>
              <w:rPr>
                <w:b/>
                <w:sz w:val="18"/>
                <w:szCs w:val="18"/>
              </w:rPr>
            </w:pPr>
            <w:r w:rsidRPr="0052443E">
              <w:rPr>
                <w:b/>
                <w:sz w:val="18"/>
                <w:szCs w:val="18"/>
              </w:rPr>
              <w:t>86.4</w:t>
            </w:r>
          </w:p>
        </w:tc>
        <w:tc>
          <w:tcPr>
            <w:tcW w:w="1843" w:type="dxa"/>
            <w:shd w:val="clear" w:color="auto" w:fill="FDE9D9" w:themeFill="accent6" w:themeFillTint="33"/>
            <w:hideMark/>
          </w:tcPr>
          <w:p w14:paraId="49FA364A" w14:textId="77777777" w:rsidR="001832A0" w:rsidRPr="0052443E" w:rsidRDefault="001832A0" w:rsidP="00074BF8">
            <w:pPr>
              <w:pStyle w:val="NormalWeb"/>
              <w:jc w:val="center"/>
              <w:rPr>
                <w:b/>
                <w:sz w:val="18"/>
                <w:szCs w:val="18"/>
              </w:rPr>
            </w:pPr>
            <w:r w:rsidRPr="0052443E">
              <w:rPr>
                <w:b/>
                <w:sz w:val="18"/>
                <w:szCs w:val="18"/>
              </w:rPr>
              <w:t>16.9</w:t>
            </w:r>
          </w:p>
        </w:tc>
        <w:tc>
          <w:tcPr>
            <w:tcW w:w="1793" w:type="dxa"/>
            <w:shd w:val="clear" w:color="auto" w:fill="FDE9D9" w:themeFill="accent6" w:themeFillTint="33"/>
            <w:hideMark/>
          </w:tcPr>
          <w:p w14:paraId="1F019278" w14:textId="77777777" w:rsidR="001832A0" w:rsidRPr="0052443E" w:rsidRDefault="001832A0" w:rsidP="00074BF8">
            <w:pPr>
              <w:pStyle w:val="NormalWeb"/>
              <w:jc w:val="center"/>
              <w:rPr>
                <w:b/>
                <w:sz w:val="18"/>
                <w:szCs w:val="18"/>
              </w:rPr>
            </w:pPr>
            <w:r w:rsidRPr="0052443E">
              <w:rPr>
                <w:b/>
                <w:sz w:val="18"/>
                <w:szCs w:val="18"/>
              </w:rPr>
              <w:t>(16.4–17.4)</w:t>
            </w:r>
          </w:p>
        </w:tc>
      </w:tr>
    </w:tbl>
    <w:p w14:paraId="7733DFA8" w14:textId="77777777" w:rsidR="001832A0" w:rsidRPr="005A0C2D" w:rsidRDefault="001832A0" w:rsidP="005A0C2D">
      <w:pPr>
        <w:pStyle w:val="CDIfootnotes"/>
      </w:pPr>
      <w:r w:rsidRPr="005A0C2D">
        <w:t>a</w:t>
      </w:r>
      <w:r w:rsidRPr="005A0C2D">
        <w:tab/>
        <w:t>Average annual rates per 100,000 population calculated using mid-2018 population estimates (Australian Bureau of Statistics).</w:t>
      </w:r>
    </w:p>
    <w:p w14:paraId="1C18375B" w14:textId="77777777" w:rsidR="001832A0" w:rsidRPr="005A0C2D" w:rsidRDefault="001832A0" w:rsidP="005A0C2D">
      <w:pPr>
        <w:pStyle w:val="CDIfootnotes"/>
      </w:pPr>
      <w:r w:rsidRPr="005A0C2D">
        <w:t>b</w:t>
      </w:r>
      <w:r w:rsidRPr="005A0C2D">
        <w:tab/>
        <w:t>AEFI records defined as ‘serious’ (i.e. recovery with sequelae, hospitalisation, life-threatening or death).</w:t>
      </w:r>
    </w:p>
    <w:p w14:paraId="68105355" w14:textId="77777777" w:rsidR="001832A0" w:rsidRPr="005A0C2D" w:rsidRDefault="001832A0" w:rsidP="005A0C2D">
      <w:pPr>
        <w:pStyle w:val="CDIfootnotes"/>
      </w:pPr>
      <w:r w:rsidRPr="005A0C2D">
        <w:t>c</w:t>
      </w:r>
      <w:r w:rsidRPr="005A0C2D">
        <w:tab/>
        <w:t>Records where the jurisdiction in which the adverse event occurred was not reported or was unclear.</w:t>
      </w:r>
    </w:p>
    <w:p w14:paraId="5559C356" w14:textId="77777777" w:rsidR="00E97403" w:rsidRDefault="00E97403" w:rsidP="00E97403">
      <w:pPr>
        <w:pStyle w:val="CDIFigures"/>
        <w:sectPr w:rsidR="00E97403" w:rsidSect="00A30C37">
          <w:pgSz w:w="11906" w:h="16838"/>
          <w:pgMar w:top="720" w:right="720" w:bottom="1134" w:left="720" w:header="709" w:footer="284" w:gutter="0"/>
          <w:cols w:space="708"/>
          <w:titlePg/>
          <w:docGrid w:linePitch="360"/>
        </w:sectPr>
      </w:pPr>
    </w:p>
    <w:p w14:paraId="6FA7A3D0" w14:textId="77777777" w:rsidR="001832A0" w:rsidRDefault="001832A0" w:rsidP="00E97403">
      <w:pPr>
        <w:pStyle w:val="CDIFigures"/>
      </w:pPr>
      <w:r>
        <w:lastRenderedPageBreak/>
        <w:t>Table 4: Vaccine types listed as ‘suspected’ in records of adverse events following immunisation (AEFI), AEMS database, 2018</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shows vaccine types listed as ‘suspected’ in records of adverse events following immunisation (AEFI), 2018, by age group."/>
      </w:tblPr>
      <w:tblGrid>
        <w:gridCol w:w="1912"/>
        <w:gridCol w:w="1302"/>
        <w:gridCol w:w="1303"/>
        <w:gridCol w:w="1303"/>
        <w:gridCol w:w="1303"/>
        <w:gridCol w:w="1303"/>
        <w:gridCol w:w="1302"/>
        <w:gridCol w:w="1303"/>
        <w:gridCol w:w="1303"/>
        <w:gridCol w:w="1303"/>
        <w:gridCol w:w="1303"/>
      </w:tblGrid>
      <w:tr w:rsidR="00E97403" w:rsidRPr="00E97403" w14:paraId="33BDA7FB" w14:textId="77777777" w:rsidTr="003A5AB5">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0D446025" w14:textId="77777777" w:rsidR="001832A0" w:rsidRPr="00E97403" w:rsidRDefault="001832A0">
            <w:pPr>
              <w:pStyle w:val="NormalWeb"/>
              <w:rPr>
                <w:color w:val="FFFFFF" w:themeColor="background1"/>
                <w:sz w:val="18"/>
                <w:szCs w:val="18"/>
              </w:rPr>
            </w:pPr>
            <w:r w:rsidRPr="00E97403">
              <w:rPr>
                <w:color w:val="FFFFFF" w:themeColor="background1"/>
                <w:sz w:val="18"/>
                <w:szCs w:val="18"/>
              </w:rPr>
              <w:t>Suspected vaccine type</w:t>
            </w:r>
            <w:r w:rsidRPr="00E97403">
              <w:rPr>
                <w:color w:val="FFFFFF" w:themeColor="background1"/>
                <w:sz w:val="18"/>
                <w:szCs w:val="18"/>
                <w:vertAlign w:val="superscript"/>
              </w:rPr>
              <w:t>a</w:t>
            </w:r>
          </w:p>
        </w:tc>
        <w:tc>
          <w:tcPr>
            <w:tcW w:w="2605" w:type="dxa"/>
            <w:gridSpan w:val="2"/>
            <w:tcBorders>
              <w:left w:val="single" w:sz="2" w:space="0" w:color="FFFFFF" w:themeColor="background1"/>
              <w:bottom w:val="single" w:sz="2" w:space="0" w:color="FFFFFF" w:themeColor="background1"/>
              <w:right w:val="single" w:sz="2" w:space="0" w:color="FFFFFF" w:themeColor="background1"/>
            </w:tcBorders>
            <w:hideMark/>
          </w:tcPr>
          <w:p w14:paraId="13292F68"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AEFI records</w:t>
            </w:r>
          </w:p>
        </w:tc>
        <w:tc>
          <w:tcPr>
            <w:tcW w:w="2606" w:type="dxa"/>
            <w:gridSpan w:val="2"/>
            <w:tcBorders>
              <w:left w:val="single" w:sz="2" w:space="0" w:color="FFFFFF" w:themeColor="background1"/>
              <w:bottom w:val="single" w:sz="2" w:space="0" w:color="FFFFFF" w:themeColor="background1"/>
              <w:right w:val="single" w:sz="2" w:space="0" w:color="FFFFFF" w:themeColor="background1"/>
            </w:tcBorders>
            <w:hideMark/>
          </w:tcPr>
          <w:p w14:paraId="2E0C5298"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One suspected vaccine only</w:t>
            </w:r>
            <w:r w:rsidRPr="00E97403">
              <w:rPr>
                <w:color w:val="FFFFFF" w:themeColor="background1"/>
                <w:sz w:val="18"/>
                <w:szCs w:val="18"/>
                <w:vertAlign w:val="superscript"/>
              </w:rPr>
              <w:t>b</w:t>
            </w:r>
          </w:p>
        </w:tc>
        <w:tc>
          <w:tcPr>
            <w:tcW w:w="2605" w:type="dxa"/>
            <w:gridSpan w:val="2"/>
            <w:tcBorders>
              <w:left w:val="single" w:sz="2" w:space="0" w:color="FFFFFF" w:themeColor="background1"/>
              <w:bottom w:val="single" w:sz="2" w:space="0" w:color="FFFFFF" w:themeColor="background1"/>
              <w:right w:val="single" w:sz="2" w:space="0" w:color="FFFFFF" w:themeColor="background1"/>
            </w:tcBorders>
            <w:hideMark/>
          </w:tcPr>
          <w:p w14:paraId="29C95255"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‘Serious’</w:t>
            </w:r>
            <w:r w:rsidRPr="00E97403">
              <w:rPr>
                <w:color w:val="FFFFFF" w:themeColor="background1"/>
                <w:sz w:val="18"/>
                <w:szCs w:val="18"/>
                <w:vertAlign w:val="superscript"/>
              </w:rPr>
              <w:t>c</w:t>
            </w:r>
          </w:p>
        </w:tc>
        <w:tc>
          <w:tcPr>
            <w:tcW w:w="2606" w:type="dxa"/>
            <w:gridSpan w:val="2"/>
            <w:tcBorders>
              <w:left w:val="single" w:sz="2" w:space="0" w:color="FFFFFF" w:themeColor="background1"/>
              <w:bottom w:val="single" w:sz="2" w:space="0" w:color="FFFFFF" w:themeColor="background1"/>
              <w:right w:val="single" w:sz="2" w:space="0" w:color="FFFFFF" w:themeColor="background1"/>
            </w:tcBorders>
            <w:hideMark/>
          </w:tcPr>
          <w:p w14:paraId="2B685ACD"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Age group</w:t>
            </w:r>
            <w:r w:rsidRPr="00E97403">
              <w:rPr>
                <w:color w:val="FFFFFF" w:themeColor="background1"/>
                <w:sz w:val="18"/>
                <w:szCs w:val="18"/>
                <w:vertAlign w:val="superscript"/>
              </w:rPr>
              <w:t>d</w:t>
            </w:r>
            <w:r w:rsidR="00E97403" w:rsidRPr="00E97403">
              <w:rPr>
                <w:color w:val="FFFFFF" w:themeColor="background1"/>
                <w:sz w:val="18"/>
                <w:szCs w:val="18"/>
              </w:rPr>
              <w:br/>
            </w:r>
            <w:r w:rsidRPr="00E97403">
              <w:rPr>
                <w:color w:val="FFFFFF" w:themeColor="background1"/>
                <w:sz w:val="18"/>
                <w:szCs w:val="18"/>
              </w:rPr>
              <w:t>&lt;7 years</w:t>
            </w:r>
          </w:p>
        </w:tc>
        <w:tc>
          <w:tcPr>
            <w:tcW w:w="2606" w:type="dxa"/>
            <w:gridSpan w:val="2"/>
            <w:tcBorders>
              <w:left w:val="single" w:sz="2" w:space="0" w:color="FFFFFF" w:themeColor="background1"/>
              <w:bottom w:val="single" w:sz="2" w:space="0" w:color="FFFFFF" w:themeColor="background1"/>
            </w:tcBorders>
            <w:hideMark/>
          </w:tcPr>
          <w:p w14:paraId="5D702EBB"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Age group</w:t>
            </w:r>
            <w:r w:rsidRPr="00E97403">
              <w:rPr>
                <w:color w:val="FFFFFF" w:themeColor="background1"/>
                <w:sz w:val="18"/>
                <w:szCs w:val="18"/>
                <w:vertAlign w:val="superscript"/>
              </w:rPr>
              <w:t>d</w:t>
            </w:r>
            <w:r w:rsidR="00E97403" w:rsidRPr="00E97403">
              <w:rPr>
                <w:color w:val="FFFFFF" w:themeColor="background1"/>
                <w:sz w:val="18"/>
                <w:szCs w:val="18"/>
              </w:rPr>
              <w:br/>
            </w:r>
            <w:r w:rsidRPr="00E97403">
              <w:rPr>
                <w:color w:val="FFFFFF" w:themeColor="background1"/>
                <w:sz w:val="18"/>
                <w:szCs w:val="18"/>
              </w:rPr>
              <w:t>≥7 years</w:t>
            </w:r>
          </w:p>
        </w:tc>
      </w:tr>
      <w:tr w:rsidR="00E97403" w:rsidRPr="00E97403" w14:paraId="7170DE91" w14:textId="77777777" w:rsidTr="003A5AB5">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0DE21F2E" w14:textId="77777777" w:rsidR="001832A0" w:rsidRPr="00E97403" w:rsidRDefault="001832A0">
            <w:pPr>
              <w:rPr>
                <w:color w:val="FFFFFF" w:themeColor="background1"/>
                <w:sz w:val="18"/>
                <w:szCs w:val="18"/>
              </w:rPr>
            </w:pPr>
          </w:p>
        </w:tc>
        <w:tc>
          <w:tcPr>
            <w:tcW w:w="1302" w:type="dxa"/>
            <w:tcBorders>
              <w:top w:val="single" w:sz="2" w:space="0" w:color="FFFFFF" w:themeColor="background1"/>
              <w:left w:val="single" w:sz="2" w:space="0" w:color="FFFFFF" w:themeColor="background1"/>
              <w:right w:val="single" w:sz="2" w:space="0" w:color="FFFFFF" w:themeColor="background1"/>
            </w:tcBorders>
            <w:hideMark/>
          </w:tcPr>
          <w:p w14:paraId="36D2D6C4"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n</w:t>
            </w:r>
          </w:p>
        </w:tc>
        <w:tc>
          <w:tcPr>
            <w:tcW w:w="1303" w:type="dxa"/>
            <w:tcBorders>
              <w:top w:val="single" w:sz="2" w:space="0" w:color="FFFFFF" w:themeColor="background1"/>
              <w:left w:val="single" w:sz="2" w:space="0" w:color="FFFFFF" w:themeColor="background1"/>
              <w:right w:val="single" w:sz="2" w:space="0" w:color="FFFFFF" w:themeColor="background1"/>
            </w:tcBorders>
            <w:hideMark/>
          </w:tcPr>
          <w:p w14:paraId="5185F9BD"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w:t>
            </w:r>
          </w:p>
        </w:tc>
        <w:tc>
          <w:tcPr>
            <w:tcW w:w="1303" w:type="dxa"/>
            <w:tcBorders>
              <w:top w:val="single" w:sz="2" w:space="0" w:color="FFFFFF" w:themeColor="background1"/>
              <w:left w:val="single" w:sz="2" w:space="0" w:color="FFFFFF" w:themeColor="background1"/>
              <w:right w:val="single" w:sz="2" w:space="0" w:color="FFFFFF" w:themeColor="background1"/>
            </w:tcBorders>
            <w:hideMark/>
          </w:tcPr>
          <w:p w14:paraId="1BCAAE04"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n</w:t>
            </w:r>
          </w:p>
        </w:tc>
        <w:tc>
          <w:tcPr>
            <w:tcW w:w="1303" w:type="dxa"/>
            <w:tcBorders>
              <w:top w:val="single" w:sz="2" w:space="0" w:color="FFFFFF" w:themeColor="background1"/>
              <w:left w:val="single" w:sz="2" w:space="0" w:color="FFFFFF" w:themeColor="background1"/>
              <w:right w:val="single" w:sz="2" w:space="0" w:color="FFFFFF" w:themeColor="background1"/>
            </w:tcBorders>
            <w:hideMark/>
          </w:tcPr>
          <w:p w14:paraId="49828793"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w:t>
            </w:r>
            <w:r w:rsidRPr="00777DCD">
              <w:rPr>
                <w:color w:val="FFFFFF" w:themeColor="background1"/>
                <w:sz w:val="18"/>
                <w:szCs w:val="18"/>
                <w:vertAlign w:val="superscript"/>
              </w:rPr>
              <w:t>e</w:t>
            </w:r>
          </w:p>
        </w:tc>
        <w:tc>
          <w:tcPr>
            <w:tcW w:w="1303" w:type="dxa"/>
            <w:tcBorders>
              <w:top w:val="single" w:sz="2" w:space="0" w:color="FFFFFF" w:themeColor="background1"/>
              <w:left w:val="single" w:sz="2" w:space="0" w:color="FFFFFF" w:themeColor="background1"/>
              <w:right w:val="single" w:sz="2" w:space="0" w:color="FFFFFF" w:themeColor="background1"/>
            </w:tcBorders>
            <w:hideMark/>
          </w:tcPr>
          <w:p w14:paraId="2F97EE1E"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n</w:t>
            </w:r>
          </w:p>
        </w:tc>
        <w:tc>
          <w:tcPr>
            <w:tcW w:w="1302" w:type="dxa"/>
            <w:tcBorders>
              <w:top w:val="single" w:sz="2" w:space="0" w:color="FFFFFF" w:themeColor="background1"/>
              <w:left w:val="single" w:sz="2" w:space="0" w:color="FFFFFF" w:themeColor="background1"/>
              <w:right w:val="single" w:sz="2" w:space="0" w:color="FFFFFF" w:themeColor="background1"/>
            </w:tcBorders>
            <w:hideMark/>
          </w:tcPr>
          <w:p w14:paraId="7296B4F6"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w:t>
            </w:r>
            <w:r w:rsidRPr="00777DCD">
              <w:rPr>
                <w:color w:val="FFFFFF" w:themeColor="background1"/>
                <w:sz w:val="18"/>
                <w:szCs w:val="18"/>
                <w:vertAlign w:val="superscript"/>
              </w:rPr>
              <w:t>e</w:t>
            </w:r>
          </w:p>
        </w:tc>
        <w:tc>
          <w:tcPr>
            <w:tcW w:w="1303" w:type="dxa"/>
            <w:tcBorders>
              <w:top w:val="single" w:sz="2" w:space="0" w:color="FFFFFF" w:themeColor="background1"/>
              <w:left w:val="single" w:sz="2" w:space="0" w:color="FFFFFF" w:themeColor="background1"/>
              <w:right w:val="single" w:sz="2" w:space="0" w:color="FFFFFF" w:themeColor="background1"/>
            </w:tcBorders>
            <w:hideMark/>
          </w:tcPr>
          <w:p w14:paraId="1AA926D3"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n</w:t>
            </w:r>
          </w:p>
        </w:tc>
        <w:tc>
          <w:tcPr>
            <w:tcW w:w="1303" w:type="dxa"/>
            <w:tcBorders>
              <w:top w:val="single" w:sz="2" w:space="0" w:color="FFFFFF" w:themeColor="background1"/>
              <w:left w:val="single" w:sz="2" w:space="0" w:color="FFFFFF" w:themeColor="background1"/>
              <w:right w:val="single" w:sz="2" w:space="0" w:color="FFFFFF" w:themeColor="background1"/>
            </w:tcBorders>
            <w:hideMark/>
          </w:tcPr>
          <w:p w14:paraId="66431E07"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w:t>
            </w:r>
            <w:r w:rsidRPr="00777DCD">
              <w:rPr>
                <w:color w:val="FFFFFF" w:themeColor="background1"/>
                <w:sz w:val="18"/>
                <w:szCs w:val="18"/>
                <w:vertAlign w:val="superscript"/>
              </w:rPr>
              <w:t>e</w:t>
            </w:r>
          </w:p>
        </w:tc>
        <w:tc>
          <w:tcPr>
            <w:tcW w:w="1303" w:type="dxa"/>
            <w:tcBorders>
              <w:top w:val="single" w:sz="2" w:space="0" w:color="FFFFFF" w:themeColor="background1"/>
              <w:left w:val="single" w:sz="2" w:space="0" w:color="FFFFFF" w:themeColor="background1"/>
              <w:right w:val="single" w:sz="2" w:space="0" w:color="FFFFFF" w:themeColor="background1"/>
            </w:tcBorders>
            <w:hideMark/>
          </w:tcPr>
          <w:p w14:paraId="37E3E748"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n</w:t>
            </w:r>
          </w:p>
        </w:tc>
        <w:tc>
          <w:tcPr>
            <w:tcW w:w="1303" w:type="dxa"/>
            <w:tcBorders>
              <w:top w:val="single" w:sz="2" w:space="0" w:color="FFFFFF" w:themeColor="background1"/>
              <w:left w:val="single" w:sz="2" w:space="0" w:color="FFFFFF" w:themeColor="background1"/>
            </w:tcBorders>
            <w:hideMark/>
          </w:tcPr>
          <w:p w14:paraId="3D2C8ED9" w14:textId="77777777" w:rsidR="001832A0" w:rsidRPr="00E97403" w:rsidRDefault="001832A0" w:rsidP="0086079E">
            <w:pPr>
              <w:pStyle w:val="NormalWeb"/>
              <w:jc w:val="center"/>
              <w:rPr>
                <w:color w:val="FFFFFF" w:themeColor="background1"/>
                <w:sz w:val="18"/>
                <w:szCs w:val="18"/>
              </w:rPr>
            </w:pPr>
            <w:r w:rsidRPr="00E97403">
              <w:rPr>
                <w:color w:val="FFFFFF" w:themeColor="background1"/>
                <w:sz w:val="18"/>
                <w:szCs w:val="18"/>
              </w:rPr>
              <w:t>(%)</w:t>
            </w:r>
            <w:r w:rsidRPr="00777DCD">
              <w:rPr>
                <w:color w:val="FFFFFF" w:themeColor="background1"/>
                <w:sz w:val="18"/>
                <w:szCs w:val="18"/>
                <w:vertAlign w:val="superscript"/>
              </w:rPr>
              <w:t>e</w:t>
            </w:r>
          </w:p>
        </w:tc>
      </w:tr>
      <w:tr w:rsidR="00E97403" w:rsidRPr="00E97403" w14:paraId="0B87164E" w14:textId="77777777" w:rsidTr="0086079E">
        <w:tc>
          <w:tcPr>
            <w:tcW w:w="0" w:type="auto"/>
            <w:hideMark/>
          </w:tcPr>
          <w:p w14:paraId="1217424F" w14:textId="77777777" w:rsidR="001832A0" w:rsidRPr="00E97403" w:rsidRDefault="001832A0">
            <w:pPr>
              <w:pStyle w:val="NormalWeb"/>
              <w:rPr>
                <w:sz w:val="18"/>
                <w:szCs w:val="18"/>
              </w:rPr>
            </w:pPr>
            <w:r w:rsidRPr="00E97403">
              <w:rPr>
                <w:sz w:val="18"/>
                <w:szCs w:val="18"/>
              </w:rPr>
              <w:t>Influenza</w:t>
            </w:r>
          </w:p>
        </w:tc>
        <w:tc>
          <w:tcPr>
            <w:tcW w:w="1302" w:type="dxa"/>
            <w:hideMark/>
          </w:tcPr>
          <w:p w14:paraId="21579E41" w14:textId="77777777" w:rsidR="001832A0" w:rsidRPr="00E97403" w:rsidRDefault="001832A0" w:rsidP="0086079E">
            <w:pPr>
              <w:pStyle w:val="NormalWeb"/>
              <w:jc w:val="center"/>
              <w:rPr>
                <w:sz w:val="18"/>
                <w:szCs w:val="18"/>
              </w:rPr>
            </w:pPr>
            <w:r w:rsidRPr="00E97403">
              <w:rPr>
                <w:sz w:val="18"/>
                <w:szCs w:val="18"/>
              </w:rPr>
              <w:t>1,261</w:t>
            </w:r>
          </w:p>
        </w:tc>
        <w:tc>
          <w:tcPr>
            <w:tcW w:w="1303" w:type="dxa"/>
            <w:hideMark/>
          </w:tcPr>
          <w:p w14:paraId="395ED704" w14:textId="77777777" w:rsidR="001832A0" w:rsidRPr="00E97403" w:rsidRDefault="001832A0" w:rsidP="0086079E">
            <w:pPr>
              <w:pStyle w:val="NormalWeb"/>
              <w:jc w:val="center"/>
              <w:rPr>
                <w:sz w:val="18"/>
                <w:szCs w:val="18"/>
              </w:rPr>
            </w:pPr>
            <w:r w:rsidRPr="00E97403">
              <w:rPr>
                <w:sz w:val="18"/>
                <w:szCs w:val="18"/>
              </w:rPr>
              <w:t>(29.9)</w:t>
            </w:r>
          </w:p>
        </w:tc>
        <w:tc>
          <w:tcPr>
            <w:tcW w:w="1303" w:type="dxa"/>
            <w:hideMark/>
          </w:tcPr>
          <w:p w14:paraId="066B7F29" w14:textId="77777777" w:rsidR="001832A0" w:rsidRPr="00E97403" w:rsidRDefault="001832A0" w:rsidP="0086079E">
            <w:pPr>
              <w:pStyle w:val="NormalWeb"/>
              <w:jc w:val="center"/>
              <w:rPr>
                <w:sz w:val="18"/>
                <w:szCs w:val="18"/>
              </w:rPr>
            </w:pPr>
            <w:r w:rsidRPr="00E97403">
              <w:rPr>
                <w:sz w:val="18"/>
                <w:szCs w:val="18"/>
              </w:rPr>
              <w:t>1,065</w:t>
            </w:r>
          </w:p>
        </w:tc>
        <w:tc>
          <w:tcPr>
            <w:tcW w:w="1303" w:type="dxa"/>
            <w:hideMark/>
          </w:tcPr>
          <w:p w14:paraId="64F9FF0A" w14:textId="77777777" w:rsidR="001832A0" w:rsidRPr="00E97403" w:rsidRDefault="001832A0" w:rsidP="0086079E">
            <w:pPr>
              <w:pStyle w:val="NormalWeb"/>
              <w:jc w:val="center"/>
              <w:rPr>
                <w:sz w:val="18"/>
                <w:szCs w:val="18"/>
              </w:rPr>
            </w:pPr>
            <w:r w:rsidRPr="00E97403">
              <w:rPr>
                <w:sz w:val="18"/>
                <w:szCs w:val="18"/>
              </w:rPr>
              <w:t>(91.7)</w:t>
            </w:r>
          </w:p>
        </w:tc>
        <w:tc>
          <w:tcPr>
            <w:tcW w:w="1303" w:type="dxa"/>
            <w:hideMark/>
          </w:tcPr>
          <w:p w14:paraId="65BA16D8" w14:textId="77777777" w:rsidR="001832A0" w:rsidRPr="00E97403" w:rsidRDefault="001832A0" w:rsidP="0086079E">
            <w:pPr>
              <w:pStyle w:val="NormalWeb"/>
              <w:jc w:val="center"/>
              <w:rPr>
                <w:sz w:val="18"/>
                <w:szCs w:val="18"/>
              </w:rPr>
            </w:pPr>
            <w:r w:rsidRPr="00E97403">
              <w:rPr>
                <w:sz w:val="18"/>
                <w:szCs w:val="18"/>
              </w:rPr>
              <w:t>234</w:t>
            </w:r>
          </w:p>
        </w:tc>
        <w:tc>
          <w:tcPr>
            <w:tcW w:w="1302" w:type="dxa"/>
            <w:hideMark/>
          </w:tcPr>
          <w:p w14:paraId="2F0B521C" w14:textId="77777777" w:rsidR="001832A0" w:rsidRPr="00E97403" w:rsidRDefault="001832A0" w:rsidP="0086079E">
            <w:pPr>
              <w:pStyle w:val="NormalWeb"/>
              <w:jc w:val="center"/>
              <w:rPr>
                <w:sz w:val="18"/>
                <w:szCs w:val="18"/>
              </w:rPr>
            </w:pPr>
            <w:r w:rsidRPr="00E97403">
              <w:rPr>
                <w:sz w:val="18"/>
                <w:szCs w:val="18"/>
              </w:rPr>
              <w:t>(20.2)</w:t>
            </w:r>
          </w:p>
        </w:tc>
        <w:tc>
          <w:tcPr>
            <w:tcW w:w="1303" w:type="dxa"/>
            <w:hideMark/>
          </w:tcPr>
          <w:p w14:paraId="6059B664" w14:textId="77777777" w:rsidR="001832A0" w:rsidRPr="00E97403" w:rsidRDefault="001832A0" w:rsidP="0086079E">
            <w:pPr>
              <w:pStyle w:val="NormalWeb"/>
              <w:jc w:val="center"/>
              <w:rPr>
                <w:sz w:val="18"/>
                <w:szCs w:val="18"/>
              </w:rPr>
            </w:pPr>
            <w:r w:rsidRPr="00E97403">
              <w:rPr>
                <w:sz w:val="18"/>
                <w:szCs w:val="18"/>
              </w:rPr>
              <w:t>240</w:t>
            </w:r>
          </w:p>
        </w:tc>
        <w:tc>
          <w:tcPr>
            <w:tcW w:w="1303" w:type="dxa"/>
            <w:hideMark/>
          </w:tcPr>
          <w:p w14:paraId="6CB6F956" w14:textId="77777777" w:rsidR="001832A0" w:rsidRPr="00E97403" w:rsidRDefault="001832A0" w:rsidP="0086079E">
            <w:pPr>
              <w:pStyle w:val="NormalWeb"/>
              <w:jc w:val="center"/>
              <w:rPr>
                <w:sz w:val="18"/>
                <w:szCs w:val="18"/>
              </w:rPr>
            </w:pPr>
            <w:r w:rsidRPr="00E97403">
              <w:rPr>
                <w:sz w:val="18"/>
                <w:szCs w:val="18"/>
              </w:rPr>
              <w:t>(20.7)</w:t>
            </w:r>
          </w:p>
        </w:tc>
        <w:tc>
          <w:tcPr>
            <w:tcW w:w="1303" w:type="dxa"/>
            <w:hideMark/>
          </w:tcPr>
          <w:p w14:paraId="42883E5F" w14:textId="77777777" w:rsidR="001832A0" w:rsidRPr="00E97403" w:rsidRDefault="001832A0" w:rsidP="0086079E">
            <w:pPr>
              <w:pStyle w:val="NormalWeb"/>
              <w:jc w:val="center"/>
              <w:rPr>
                <w:sz w:val="18"/>
                <w:szCs w:val="18"/>
              </w:rPr>
            </w:pPr>
            <w:r w:rsidRPr="00E97403">
              <w:rPr>
                <w:sz w:val="18"/>
                <w:szCs w:val="18"/>
              </w:rPr>
              <w:t>965</w:t>
            </w:r>
          </w:p>
        </w:tc>
        <w:tc>
          <w:tcPr>
            <w:tcW w:w="1303" w:type="dxa"/>
            <w:hideMark/>
          </w:tcPr>
          <w:p w14:paraId="7FCD8C2A" w14:textId="77777777" w:rsidR="001832A0" w:rsidRPr="00E97403" w:rsidRDefault="001832A0" w:rsidP="0086079E">
            <w:pPr>
              <w:pStyle w:val="NormalWeb"/>
              <w:jc w:val="center"/>
              <w:rPr>
                <w:sz w:val="18"/>
                <w:szCs w:val="18"/>
              </w:rPr>
            </w:pPr>
            <w:r w:rsidRPr="00E97403">
              <w:rPr>
                <w:sz w:val="18"/>
                <w:szCs w:val="18"/>
              </w:rPr>
              <w:t>(83.1)</w:t>
            </w:r>
          </w:p>
        </w:tc>
      </w:tr>
      <w:tr w:rsidR="00E97403" w:rsidRPr="00E97403" w14:paraId="3EE62A24"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586F694E" w14:textId="77777777" w:rsidR="001832A0" w:rsidRPr="00E97403" w:rsidRDefault="001832A0">
            <w:pPr>
              <w:pStyle w:val="NormalWeb"/>
              <w:rPr>
                <w:sz w:val="18"/>
                <w:szCs w:val="18"/>
              </w:rPr>
            </w:pPr>
            <w:r w:rsidRPr="00E97403">
              <w:rPr>
                <w:sz w:val="18"/>
                <w:szCs w:val="18"/>
              </w:rPr>
              <w:t>13vPCV</w:t>
            </w:r>
          </w:p>
        </w:tc>
        <w:tc>
          <w:tcPr>
            <w:tcW w:w="1302" w:type="dxa"/>
            <w:hideMark/>
          </w:tcPr>
          <w:p w14:paraId="4527AD4D" w14:textId="77777777" w:rsidR="001832A0" w:rsidRPr="00E97403" w:rsidRDefault="001832A0" w:rsidP="0086079E">
            <w:pPr>
              <w:pStyle w:val="NormalWeb"/>
              <w:jc w:val="center"/>
              <w:rPr>
                <w:sz w:val="18"/>
                <w:szCs w:val="18"/>
              </w:rPr>
            </w:pPr>
            <w:r w:rsidRPr="00E97403">
              <w:rPr>
                <w:sz w:val="18"/>
                <w:szCs w:val="18"/>
              </w:rPr>
              <w:t>450</w:t>
            </w:r>
          </w:p>
        </w:tc>
        <w:tc>
          <w:tcPr>
            <w:tcW w:w="1303" w:type="dxa"/>
            <w:hideMark/>
          </w:tcPr>
          <w:p w14:paraId="1E304641" w14:textId="77777777" w:rsidR="001832A0" w:rsidRPr="00E97403" w:rsidRDefault="001832A0" w:rsidP="0086079E">
            <w:pPr>
              <w:pStyle w:val="NormalWeb"/>
              <w:jc w:val="center"/>
              <w:rPr>
                <w:sz w:val="18"/>
                <w:szCs w:val="18"/>
              </w:rPr>
            </w:pPr>
            <w:r w:rsidRPr="00E97403">
              <w:rPr>
                <w:sz w:val="18"/>
                <w:szCs w:val="18"/>
              </w:rPr>
              <w:t>(10.7)</w:t>
            </w:r>
          </w:p>
        </w:tc>
        <w:tc>
          <w:tcPr>
            <w:tcW w:w="1303" w:type="dxa"/>
            <w:hideMark/>
          </w:tcPr>
          <w:p w14:paraId="3D03F8F1" w14:textId="77777777" w:rsidR="001832A0" w:rsidRPr="00E97403" w:rsidRDefault="001832A0" w:rsidP="0086079E">
            <w:pPr>
              <w:pStyle w:val="NormalWeb"/>
              <w:jc w:val="center"/>
              <w:rPr>
                <w:sz w:val="18"/>
                <w:szCs w:val="18"/>
              </w:rPr>
            </w:pPr>
            <w:r w:rsidRPr="00E97403">
              <w:rPr>
                <w:sz w:val="18"/>
                <w:szCs w:val="18"/>
              </w:rPr>
              <w:t>33</w:t>
            </w:r>
          </w:p>
        </w:tc>
        <w:tc>
          <w:tcPr>
            <w:tcW w:w="1303" w:type="dxa"/>
            <w:hideMark/>
          </w:tcPr>
          <w:p w14:paraId="5C71FA69" w14:textId="77777777" w:rsidR="001832A0" w:rsidRPr="00E97403" w:rsidRDefault="001832A0" w:rsidP="0086079E">
            <w:pPr>
              <w:pStyle w:val="NormalWeb"/>
              <w:jc w:val="center"/>
              <w:rPr>
                <w:sz w:val="18"/>
                <w:szCs w:val="18"/>
              </w:rPr>
            </w:pPr>
            <w:r w:rsidRPr="00E97403">
              <w:rPr>
                <w:sz w:val="18"/>
                <w:szCs w:val="18"/>
              </w:rPr>
              <w:t>(7.3)</w:t>
            </w:r>
          </w:p>
        </w:tc>
        <w:tc>
          <w:tcPr>
            <w:tcW w:w="1303" w:type="dxa"/>
            <w:hideMark/>
          </w:tcPr>
          <w:p w14:paraId="1BA06537" w14:textId="77777777" w:rsidR="001832A0" w:rsidRPr="00E97403" w:rsidRDefault="001832A0" w:rsidP="0086079E">
            <w:pPr>
              <w:pStyle w:val="NormalWeb"/>
              <w:jc w:val="center"/>
              <w:rPr>
                <w:sz w:val="18"/>
                <w:szCs w:val="18"/>
              </w:rPr>
            </w:pPr>
            <w:r w:rsidRPr="00E97403">
              <w:rPr>
                <w:sz w:val="18"/>
                <w:szCs w:val="18"/>
              </w:rPr>
              <w:t>97</w:t>
            </w:r>
          </w:p>
        </w:tc>
        <w:tc>
          <w:tcPr>
            <w:tcW w:w="1302" w:type="dxa"/>
            <w:hideMark/>
          </w:tcPr>
          <w:p w14:paraId="7357A500" w14:textId="77777777" w:rsidR="001832A0" w:rsidRPr="00E97403" w:rsidRDefault="001832A0" w:rsidP="0086079E">
            <w:pPr>
              <w:pStyle w:val="NormalWeb"/>
              <w:jc w:val="center"/>
              <w:rPr>
                <w:sz w:val="18"/>
                <w:szCs w:val="18"/>
              </w:rPr>
            </w:pPr>
            <w:r w:rsidRPr="00E97403">
              <w:rPr>
                <w:sz w:val="18"/>
                <w:szCs w:val="18"/>
              </w:rPr>
              <w:t>(21.6)</w:t>
            </w:r>
          </w:p>
        </w:tc>
        <w:tc>
          <w:tcPr>
            <w:tcW w:w="1303" w:type="dxa"/>
            <w:hideMark/>
          </w:tcPr>
          <w:p w14:paraId="0461EFC8" w14:textId="77777777" w:rsidR="001832A0" w:rsidRPr="00E97403" w:rsidRDefault="001832A0" w:rsidP="0086079E">
            <w:pPr>
              <w:pStyle w:val="NormalWeb"/>
              <w:jc w:val="center"/>
              <w:rPr>
                <w:sz w:val="18"/>
                <w:szCs w:val="18"/>
              </w:rPr>
            </w:pPr>
            <w:r w:rsidRPr="00E97403">
              <w:rPr>
                <w:sz w:val="18"/>
                <w:szCs w:val="18"/>
              </w:rPr>
              <w:t>439</w:t>
            </w:r>
          </w:p>
        </w:tc>
        <w:tc>
          <w:tcPr>
            <w:tcW w:w="1303" w:type="dxa"/>
            <w:hideMark/>
          </w:tcPr>
          <w:p w14:paraId="3C388C05" w14:textId="77777777" w:rsidR="001832A0" w:rsidRPr="00E97403" w:rsidRDefault="001832A0" w:rsidP="0086079E">
            <w:pPr>
              <w:pStyle w:val="NormalWeb"/>
              <w:jc w:val="center"/>
              <w:rPr>
                <w:sz w:val="18"/>
                <w:szCs w:val="18"/>
              </w:rPr>
            </w:pPr>
            <w:r w:rsidRPr="00E97403">
              <w:rPr>
                <w:sz w:val="18"/>
                <w:szCs w:val="18"/>
              </w:rPr>
              <w:t>(97.6)</w:t>
            </w:r>
          </w:p>
        </w:tc>
        <w:tc>
          <w:tcPr>
            <w:tcW w:w="1303" w:type="dxa"/>
            <w:hideMark/>
          </w:tcPr>
          <w:p w14:paraId="606076C7" w14:textId="77777777" w:rsidR="001832A0" w:rsidRPr="00E97403" w:rsidRDefault="001832A0" w:rsidP="0086079E">
            <w:pPr>
              <w:pStyle w:val="NormalWeb"/>
              <w:jc w:val="center"/>
              <w:rPr>
                <w:sz w:val="18"/>
                <w:szCs w:val="18"/>
              </w:rPr>
            </w:pPr>
            <w:r w:rsidRPr="00E97403">
              <w:rPr>
                <w:sz w:val="18"/>
                <w:szCs w:val="18"/>
              </w:rPr>
              <w:t>8</w:t>
            </w:r>
          </w:p>
        </w:tc>
        <w:tc>
          <w:tcPr>
            <w:tcW w:w="1303" w:type="dxa"/>
            <w:hideMark/>
          </w:tcPr>
          <w:p w14:paraId="6FB99DC3" w14:textId="77777777" w:rsidR="001832A0" w:rsidRPr="00E97403" w:rsidRDefault="001832A0" w:rsidP="0086079E">
            <w:pPr>
              <w:pStyle w:val="NormalWeb"/>
              <w:jc w:val="center"/>
              <w:rPr>
                <w:sz w:val="18"/>
                <w:szCs w:val="18"/>
              </w:rPr>
            </w:pPr>
            <w:r w:rsidRPr="00E97403">
              <w:rPr>
                <w:sz w:val="18"/>
                <w:szCs w:val="18"/>
              </w:rPr>
              <w:t>(1.8)</w:t>
            </w:r>
          </w:p>
        </w:tc>
      </w:tr>
      <w:tr w:rsidR="00E97403" w:rsidRPr="00E97403" w14:paraId="7A2FCD01" w14:textId="77777777" w:rsidTr="0086079E">
        <w:tc>
          <w:tcPr>
            <w:tcW w:w="0" w:type="auto"/>
            <w:hideMark/>
          </w:tcPr>
          <w:p w14:paraId="1EEB7AED" w14:textId="77777777" w:rsidR="001832A0" w:rsidRPr="00E97403" w:rsidRDefault="001832A0">
            <w:pPr>
              <w:pStyle w:val="NormalWeb"/>
              <w:rPr>
                <w:sz w:val="18"/>
                <w:szCs w:val="18"/>
              </w:rPr>
            </w:pPr>
            <w:r w:rsidRPr="00E97403">
              <w:rPr>
                <w:sz w:val="18"/>
                <w:szCs w:val="18"/>
              </w:rPr>
              <w:t>DTPa-IPV</w:t>
            </w:r>
          </w:p>
        </w:tc>
        <w:tc>
          <w:tcPr>
            <w:tcW w:w="1302" w:type="dxa"/>
            <w:hideMark/>
          </w:tcPr>
          <w:p w14:paraId="4AD79363" w14:textId="77777777" w:rsidR="001832A0" w:rsidRPr="00E97403" w:rsidRDefault="001832A0" w:rsidP="0086079E">
            <w:pPr>
              <w:pStyle w:val="NormalWeb"/>
              <w:jc w:val="center"/>
              <w:rPr>
                <w:sz w:val="18"/>
                <w:szCs w:val="18"/>
              </w:rPr>
            </w:pPr>
            <w:r w:rsidRPr="00E97403">
              <w:rPr>
                <w:sz w:val="18"/>
                <w:szCs w:val="18"/>
              </w:rPr>
              <w:t>446</w:t>
            </w:r>
          </w:p>
        </w:tc>
        <w:tc>
          <w:tcPr>
            <w:tcW w:w="1303" w:type="dxa"/>
            <w:hideMark/>
          </w:tcPr>
          <w:p w14:paraId="4B3E2D22" w14:textId="77777777" w:rsidR="001832A0" w:rsidRPr="00E97403" w:rsidRDefault="001832A0" w:rsidP="0086079E">
            <w:pPr>
              <w:pStyle w:val="NormalWeb"/>
              <w:jc w:val="center"/>
              <w:rPr>
                <w:sz w:val="18"/>
                <w:szCs w:val="18"/>
              </w:rPr>
            </w:pPr>
            <w:r w:rsidRPr="00E97403">
              <w:rPr>
                <w:sz w:val="18"/>
                <w:szCs w:val="18"/>
              </w:rPr>
              <w:t>(10.6)</w:t>
            </w:r>
          </w:p>
        </w:tc>
        <w:tc>
          <w:tcPr>
            <w:tcW w:w="1303" w:type="dxa"/>
            <w:hideMark/>
          </w:tcPr>
          <w:p w14:paraId="2B5647F8" w14:textId="77777777" w:rsidR="001832A0" w:rsidRPr="00E97403" w:rsidRDefault="001832A0" w:rsidP="0086079E">
            <w:pPr>
              <w:pStyle w:val="NormalWeb"/>
              <w:jc w:val="center"/>
              <w:rPr>
                <w:sz w:val="18"/>
                <w:szCs w:val="18"/>
              </w:rPr>
            </w:pPr>
            <w:r w:rsidRPr="00E97403">
              <w:rPr>
                <w:sz w:val="18"/>
                <w:szCs w:val="18"/>
              </w:rPr>
              <w:t>395</w:t>
            </w:r>
          </w:p>
        </w:tc>
        <w:tc>
          <w:tcPr>
            <w:tcW w:w="1303" w:type="dxa"/>
            <w:hideMark/>
          </w:tcPr>
          <w:p w14:paraId="2813CE09" w14:textId="77777777" w:rsidR="001832A0" w:rsidRPr="00E97403" w:rsidRDefault="001832A0" w:rsidP="0086079E">
            <w:pPr>
              <w:pStyle w:val="NormalWeb"/>
              <w:jc w:val="center"/>
              <w:rPr>
                <w:sz w:val="18"/>
                <w:szCs w:val="18"/>
              </w:rPr>
            </w:pPr>
            <w:r w:rsidRPr="00E97403">
              <w:rPr>
                <w:sz w:val="18"/>
                <w:szCs w:val="18"/>
              </w:rPr>
              <w:t>(88.6)</w:t>
            </w:r>
          </w:p>
        </w:tc>
        <w:tc>
          <w:tcPr>
            <w:tcW w:w="1303" w:type="dxa"/>
            <w:hideMark/>
          </w:tcPr>
          <w:p w14:paraId="1AD3FA0D" w14:textId="77777777" w:rsidR="001832A0" w:rsidRPr="00E97403" w:rsidRDefault="001832A0" w:rsidP="0086079E">
            <w:pPr>
              <w:pStyle w:val="NormalWeb"/>
              <w:jc w:val="center"/>
              <w:rPr>
                <w:sz w:val="18"/>
                <w:szCs w:val="18"/>
              </w:rPr>
            </w:pPr>
            <w:r w:rsidRPr="00E97403">
              <w:rPr>
                <w:sz w:val="18"/>
                <w:szCs w:val="18"/>
              </w:rPr>
              <w:t>45</w:t>
            </w:r>
          </w:p>
        </w:tc>
        <w:tc>
          <w:tcPr>
            <w:tcW w:w="1302" w:type="dxa"/>
            <w:hideMark/>
          </w:tcPr>
          <w:p w14:paraId="512C82D6" w14:textId="77777777" w:rsidR="001832A0" w:rsidRPr="00E97403" w:rsidRDefault="001832A0" w:rsidP="0086079E">
            <w:pPr>
              <w:pStyle w:val="NormalWeb"/>
              <w:jc w:val="center"/>
              <w:rPr>
                <w:sz w:val="18"/>
                <w:szCs w:val="18"/>
              </w:rPr>
            </w:pPr>
            <w:r w:rsidRPr="00E97403">
              <w:rPr>
                <w:sz w:val="18"/>
                <w:szCs w:val="18"/>
              </w:rPr>
              <w:t>(10.1)</w:t>
            </w:r>
          </w:p>
        </w:tc>
        <w:tc>
          <w:tcPr>
            <w:tcW w:w="1303" w:type="dxa"/>
            <w:hideMark/>
          </w:tcPr>
          <w:p w14:paraId="33A43BD6" w14:textId="77777777" w:rsidR="001832A0" w:rsidRPr="00E97403" w:rsidRDefault="001832A0" w:rsidP="0086079E">
            <w:pPr>
              <w:pStyle w:val="NormalWeb"/>
              <w:jc w:val="center"/>
              <w:rPr>
                <w:sz w:val="18"/>
                <w:szCs w:val="18"/>
              </w:rPr>
            </w:pPr>
            <w:r w:rsidRPr="00E97403">
              <w:rPr>
                <w:sz w:val="18"/>
                <w:szCs w:val="18"/>
              </w:rPr>
              <w:t>432</w:t>
            </w:r>
          </w:p>
        </w:tc>
        <w:tc>
          <w:tcPr>
            <w:tcW w:w="1303" w:type="dxa"/>
            <w:hideMark/>
          </w:tcPr>
          <w:p w14:paraId="3E985064" w14:textId="77777777" w:rsidR="001832A0" w:rsidRPr="00E97403" w:rsidRDefault="001832A0" w:rsidP="0086079E">
            <w:pPr>
              <w:pStyle w:val="NormalWeb"/>
              <w:jc w:val="center"/>
              <w:rPr>
                <w:sz w:val="18"/>
                <w:szCs w:val="18"/>
              </w:rPr>
            </w:pPr>
            <w:r w:rsidRPr="00E97403">
              <w:rPr>
                <w:sz w:val="18"/>
                <w:szCs w:val="18"/>
              </w:rPr>
              <w:t>(96.9)</w:t>
            </w:r>
          </w:p>
        </w:tc>
        <w:tc>
          <w:tcPr>
            <w:tcW w:w="1303" w:type="dxa"/>
            <w:hideMark/>
          </w:tcPr>
          <w:p w14:paraId="7450E963" w14:textId="77777777" w:rsidR="001832A0" w:rsidRPr="00E97403" w:rsidRDefault="001832A0" w:rsidP="0086079E">
            <w:pPr>
              <w:pStyle w:val="NormalWeb"/>
              <w:jc w:val="center"/>
              <w:rPr>
                <w:sz w:val="18"/>
                <w:szCs w:val="18"/>
              </w:rPr>
            </w:pPr>
            <w:r w:rsidRPr="00E97403">
              <w:rPr>
                <w:sz w:val="18"/>
                <w:szCs w:val="18"/>
              </w:rPr>
              <w:t>12</w:t>
            </w:r>
          </w:p>
        </w:tc>
        <w:tc>
          <w:tcPr>
            <w:tcW w:w="1303" w:type="dxa"/>
            <w:hideMark/>
          </w:tcPr>
          <w:p w14:paraId="5F166BBB" w14:textId="77777777" w:rsidR="001832A0" w:rsidRPr="00E97403" w:rsidRDefault="001832A0" w:rsidP="0086079E">
            <w:pPr>
              <w:pStyle w:val="NormalWeb"/>
              <w:jc w:val="center"/>
              <w:rPr>
                <w:sz w:val="18"/>
                <w:szCs w:val="18"/>
              </w:rPr>
            </w:pPr>
            <w:r w:rsidRPr="00E97403">
              <w:rPr>
                <w:sz w:val="18"/>
                <w:szCs w:val="18"/>
              </w:rPr>
              <w:t>(2.7)</w:t>
            </w:r>
          </w:p>
        </w:tc>
      </w:tr>
      <w:tr w:rsidR="00E97403" w:rsidRPr="00E97403" w14:paraId="493C86AA"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16D8AB08" w14:textId="77777777" w:rsidR="001832A0" w:rsidRPr="00E97403" w:rsidRDefault="001832A0">
            <w:pPr>
              <w:pStyle w:val="NormalWeb"/>
              <w:rPr>
                <w:sz w:val="18"/>
                <w:szCs w:val="18"/>
              </w:rPr>
            </w:pPr>
            <w:r w:rsidRPr="00E97403">
              <w:rPr>
                <w:sz w:val="18"/>
                <w:szCs w:val="18"/>
              </w:rPr>
              <w:t>DTPa-IPV-HepB-Hib</w:t>
            </w:r>
          </w:p>
        </w:tc>
        <w:tc>
          <w:tcPr>
            <w:tcW w:w="1302" w:type="dxa"/>
            <w:hideMark/>
          </w:tcPr>
          <w:p w14:paraId="11261B90" w14:textId="77777777" w:rsidR="001832A0" w:rsidRPr="00E97403" w:rsidRDefault="001832A0" w:rsidP="0086079E">
            <w:pPr>
              <w:pStyle w:val="NormalWeb"/>
              <w:jc w:val="center"/>
              <w:rPr>
                <w:sz w:val="18"/>
                <w:szCs w:val="18"/>
              </w:rPr>
            </w:pPr>
            <w:r w:rsidRPr="00E97403">
              <w:rPr>
                <w:sz w:val="18"/>
                <w:szCs w:val="18"/>
              </w:rPr>
              <w:t>426</w:t>
            </w:r>
          </w:p>
        </w:tc>
        <w:tc>
          <w:tcPr>
            <w:tcW w:w="1303" w:type="dxa"/>
            <w:hideMark/>
          </w:tcPr>
          <w:p w14:paraId="7DFC2BFD" w14:textId="77777777" w:rsidR="001832A0" w:rsidRPr="00E97403" w:rsidRDefault="001832A0" w:rsidP="0086079E">
            <w:pPr>
              <w:pStyle w:val="NormalWeb"/>
              <w:jc w:val="center"/>
              <w:rPr>
                <w:sz w:val="18"/>
                <w:szCs w:val="18"/>
              </w:rPr>
            </w:pPr>
            <w:r w:rsidRPr="00E97403">
              <w:rPr>
                <w:sz w:val="18"/>
                <w:szCs w:val="18"/>
              </w:rPr>
              <w:t>(10.1)</w:t>
            </w:r>
          </w:p>
        </w:tc>
        <w:tc>
          <w:tcPr>
            <w:tcW w:w="1303" w:type="dxa"/>
            <w:hideMark/>
          </w:tcPr>
          <w:p w14:paraId="4E309074" w14:textId="77777777" w:rsidR="001832A0" w:rsidRPr="00E97403" w:rsidRDefault="001832A0" w:rsidP="0086079E">
            <w:pPr>
              <w:pStyle w:val="NormalWeb"/>
              <w:jc w:val="center"/>
              <w:rPr>
                <w:sz w:val="18"/>
                <w:szCs w:val="18"/>
              </w:rPr>
            </w:pPr>
            <w:r w:rsidRPr="00E97403">
              <w:rPr>
                <w:sz w:val="18"/>
                <w:szCs w:val="18"/>
              </w:rPr>
              <w:t>58</w:t>
            </w:r>
          </w:p>
        </w:tc>
        <w:tc>
          <w:tcPr>
            <w:tcW w:w="1303" w:type="dxa"/>
            <w:hideMark/>
          </w:tcPr>
          <w:p w14:paraId="3822A29C" w14:textId="77777777" w:rsidR="001832A0" w:rsidRPr="00E97403" w:rsidRDefault="001832A0" w:rsidP="0086079E">
            <w:pPr>
              <w:pStyle w:val="NormalWeb"/>
              <w:jc w:val="center"/>
              <w:rPr>
                <w:sz w:val="18"/>
                <w:szCs w:val="18"/>
              </w:rPr>
            </w:pPr>
            <w:r w:rsidRPr="00E97403">
              <w:rPr>
                <w:sz w:val="18"/>
                <w:szCs w:val="18"/>
              </w:rPr>
              <w:t>(13.6)</w:t>
            </w:r>
          </w:p>
        </w:tc>
        <w:tc>
          <w:tcPr>
            <w:tcW w:w="1303" w:type="dxa"/>
            <w:hideMark/>
          </w:tcPr>
          <w:p w14:paraId="23C506CD" w14:textId="77777777" w:rsidR="001832A0" w:rsidRPr="00E97403" w:rsidRDefault="001832A0" w:rsidP="0086079E">
            <w:pPr>
              <w:pStyle w:val="NormalWeb"/>
              <w:jc w:val="center"/>
              <w:rPr>
                <w:sz w:val="18"/>
                <w:szCs w:val="18"/>
              </w:rPr>
            </w:pPr>
            <w:r w:rsidRPr="00E97403">
              <w:rPr>
                <w:sz w:val="18"/>
                <w:szCs w:val="18"/>
              </w:rPr>
              <w:t>90</w:t>
            </w:r>
          </w:p>
        </w:tc>
        <w:tc>
          <w:tcPr>
            <w:tcW w:w="1302" w:type="dxa"/>
            <w:hideMark/>
          </w:tcPr>
          <w:p w14:paraId="58A2AEED" w14:textId="77777777" w:rsidR="001832A0" w:rsidRPr="00E97403" w:rsidRDefault="001832A0" w:rsidP="0086079E">
            <w:pPr>
              <w:pStyle w:val="NormalWeb"/>
              <w:jc w:val="center"/>
              <w:rPr>
                <w:sz w:val="18"/>
                <w:szCs w:val="18"/>
              </w:rPr>
            </w:pPr>
            <w:r w:rsidRPr="00E97403">
              <w:rPr>
                <w:sz w:val="18"/>
                <w:szCs w:val="18"/>
              </w:rPr>
              <w:t>(21.1)</w:t>
            </w:r>
          </w:p>
        </w:tc>
        <w:tc>
          <w:tcPr>
            <w:tcW w:w="1303" w:type="dxa"/>
            <w:hideMark/>
          </w:tcPr>
          <w:p w14:paraId="741DACBC" w14:textId="77777777" w:rsidR="001832A0" w:rsidRPr="00E97403" w:rsidRDefault="001832A0" w:rsidP="0086079E">
            <w:pPr>
              <w:pStyle w:val="NormalWeb"/>
              <w:jc w:val="center"/>
              <w:rPr>
                <w:sz w:val="18"/>
                <w:szCs w:val="18"/>
              </w:rPr>
            </w:pPr>
            <w:r w:rsidRPr="00E97403">
              <w:rPr>
                <w:sz w:val="18"/>
                <w:szCs w:val="18"/>
              </w:rPr>
              <w:t>411</w:t>
            </w:r>
          </w:p>
        </w:tc>
        <w:tc>
          <w:tcPr>
            <w:tcW w:w="1303" w:type="dxa"/>
            <w:hideMark/>
          </w:tcPr>
          <w:p w14:paraId="3178A50E" w14:textId="77777777" w:rsidR="001832A0" w:rsidRPr="00E97403" w:rsidRDefault="001832A0" w:rsidP="0086079E">
            <w:pPr>
              <w:pStyle w:val="NormalWeb"/>
              <w:jc w:val="center"/>
              <w:rPr>
                <w:sz w:val="18"/>
                <w:szCs w:val="18"/>
              </w:rPr>
            </w:pPr>
            <w:r w:rsidRPr="00E97403">
              <w:rPr>
                <w:sz w:val="18"/>
                <w:szCs w:val="18"/>
              </w:rPr>
              <w:t>(96.5)</w:t>
            </w:r>
          </w:p>
        </w:tc>
        <w:tc>
          <w:tcPr>
            <w:tcW w:w="1303" w:type="dxa"/>
            <w:hideMark/>
          </w:tcPr>
          <w:p w14:paraId="7C60CE31" w14:textId="77777777" w:rsidR="001832A0" w:rsidRPr="00E97403" w:rsidRDefault="001832A0" w:rsidP="0086079E">
            <w:pPr>
              <w:pStyle w:val="NormalWeb"/>
              <w:jc w:val="center"/>
              <w:rPr>
                <w:sz w:val="18"/>
                <w:szCs w:val="18"/>
              </w:rPr>
            </w:pPr>
            <w:r w:rsidRPr="00E97403">
              <w:rPr>
                <w:sz w:val="18"/>
                <w:szCs w:val="18"/>
              </w:rPr>
              <w:t>9</w:t>
            </w:r>
          </w:p>
        </w:tc>
        <w:tc>
          <w:tcPr>
            <w:tcW w:w="1303" w:type="dxa"/>
            <w:hideMark/>
          </w:tcPr>
          <w:p w14:paraId="28D33247" w14:textId="77777777" w:rsidR="001832A0" w:rsidRPr="00E97403" w:rsidRDefault="001832A0" w:rsidP="0086079E">
            <w:pPr>
              <w:pStyle w:val="NormalWeb"/>
              <w:jc w:val="center"/>
              <w:rPr>
                <w:sz w:val="18"/>
                <w:szCs w:val="18"/>
              </w:rPr>
            </w:pPr>
            <w:r w:rsidRPr="00E97403">
              <w:rPr>
                <w:sz w:val="18"/>
                <w:szCs w:val="18"/>
              </w:rPr>
              <w:t>(2.1)</w:t>
            </w:r>
          </w:p>
        </w:tc>
      </w:tr>
      <w:tr w:rsidR="00E97403" w:rsidRPr="00E97403" w14:paraId="5A2CAE92" w14:textId="77777777" w:rsidTr="0086079E">
        <w:tc>
          <w:tcPr>
            <w:tcW w:w="0" w:type="auto"/>
            <w:hideMark/>
          </w:tcPr>
          <w:p w14:paraId="3206FC6E" w14:textId="77777777" w:rsidR="001832A0" w:rsidRPr="00E97403" w:rsidRDefault="001832A0">
            <w:pPr>
              <w:pStyle w:val="NormalWeb"/>
              <w:rPr>
                <w:sz w:val="18"/>
                <w:szCs w:val="18"/>
              </w:rPr>
            </w:pPr>
            <w:r w:rsidRPr="00E97403">
              <w:rPr>
                <w:sz w:val="18"/>
                <w:szCs w:val="18"/>
              </w:rPr>
              <w:t>Men ACWY</w:t>
            </w:r>
          </w:p>
        </w:tc>
        <w:tc>
          <w:tcPr>
            <w:tcW w:w="1302" w:type="dxa"/>
            <w:hideMark/>
          </w:tcPr>
          <w:p w14:paraId="510EC52D" w14:textId="77777777" w:rsidR="001832A0" w:rsidRPr="00E97403" w:rsidRDefault="001832A0" w:rsidP="0086079E">
            <w:pPr>
              <w:pStyle w:val="NormalWeb"/>
              <w:jc w:val="center"/>
              <w:rPr>
                <w:sz w:val="18"/>
                <w:szCs w:val="18"/>
              </w:rPr>
            </w:pPr>
            <w:r w:rsidRPr="00E97403">
              <w:rPr>
                <w:sz w:val="18"/>
                <w:szCs w:val="18"/>
              </w:rPr>
              <w:t>396</w:t>
            </w:r>
          </w:p>
        </w:tc>
        <w:tc>
          <w:tcPr>
            <w:tcW w:w="1303" w:type="dxa"/>
            <w:hideMark/>
          </w:tcPr>
          <w:p w14:paraId="3EAF388C" w14:textId="77777777" w:rsidR="001832A0" w:rsidRPr="00E97403" w:rsidRDefault="001832A0" w:rsidP="0086079E">
            <w:pPr>
              <w:pStyle w:val="NormalWeb"/>
              <w:jc w:val="center"/>
              <w:rPr>
                <w:sz w:val="18"/>
                <w:szCs w:val="18"/>
              </w:rPr>
            </w:pPr>
            <w:r w:rsidRPr="00E97403">
              <w:rPr>
                <w:sz w:val="18"/>
                <w:szCs w:val="18"/>
              </w:rPr>
              <w:t>(9.4)</w:t>
            </w:r>
          </w:p>
        </w:tc>
        <w:tc>
          <w:tcPr>
            <w:tcW w:w="1303" w:type="dxa"/>
            <w:hideMark/>
          </w:tcPr>
          <w:p w14:paraId="63192D99" w14:textId="77777777" w:rsidR="001832A0" w:rsidRPr="00E97403" w:rsidRDefault="001832A0" w:rsidP="0086079E">
            <w:pPr>
              <w:pStyle w:val="NormalWeb"/>
              <w:jc w:val="center"/>
              <w:rPr>
                <w:sz w:val="18"/>
                <w:szCs w:val="18"/>
              </w:rPr>
            </w:pPr>
            <w:r w:rsidRPr="00E97403">
              <w:rPr>
                <w:sz w:val="18"/>
                <w:szCs w:val="18"/>
              </w:rPr>
              <w:t>231</w:t>
            </w:r>
          </w:p>
        </w:tc>
        <w:tc>
          <w:tcPr>
            <w:tcW w:w="1303" w:type="dxa"/>
            <w:hideMark/>
          </w:tcPr>
          <w:p w14:paraId="57F71F25" w14:textId="77777777" w:rsidR="001832A0" w:rsidRPr="00E97403" w:rsidRDefault="001832A0" w:rsidP="0086079E">
            <w:pPr>
              <w:pStyle w:val="NormalWeb"/>
              <w:jc w:val="center"/>
              <w:rPr>
                <w:sz w:val="18"/>
                <w:szCs w:val="18"/>
              </w:rPr>
            </w:pPr>
            <w:r w:rsidRPr="00E97403">
              <w:rPr>
                <w:sz w:val="18"/>
                <w:szCs w:val="18"/>
              </w:rPr>
              <w:t>(58.3)</w:t>
            </w:r>
          </w:p>
        </w:tc>
        <w:tc>
          <w:tcPr>
            <w:tcW w:w="1303" w:type="dxa"/>
            <w:hideMark/>
          </w:tcPr>
          <w:p w14:paraId="3E72C31B" w14:textId="77777777" w:rsidR="001832A0" w:rsidRPr="00E97403" w:rsidRDefault="001832A0" w:rsidP="0086079E">
            <w:pPr>
              <w:pStyle w:val="NormalWeb"/>
              <w:jc w:val="center"/>
              <w:rPr>
                <w:sz w:val="18"/>
                <w:szCs w:val="18"/>
              </w:rPr>
            </w:pPr>
            <w:r w:rsidRPr="00E97403">
              <w:rPr>
                <w:sz w:val="18"/>
                <w:szCs w:val="18"/>
              </w:rPr>
              <w:t>51</w:t>
            </w:r>
          </w:p>
        </w:tc>
        <w:tc>
          <w:tcPr>
            <w:tcW w:w="1302" w:type="dxa"/>
            <w:hideMark/>
          </w:tcPr>
          <w:p w14:paraId="53B3B587" w14:textId="77777777" w:rsidR="001832A0" w:rsidRPr="00E97403" w:rsidRDefault="001832A0" w:rsidP="0086079E">
            <w:pPr>
              <w:pStyle w:val="NormalWeb"/>
              <w:jc w:val="center"/>
              <w:rPr>
                <w:sz w:val="18"/>
                <w:szCs w:val="18"/>
              </w:rPr>
            </w:pPr>
            <w:r w:rsidRPr="00E97403">
              <w:rPr>
                <w:sz w:val="18"/>
                <w:szCs w:val="18"/>
              </w:rPr>
              <w:t>(12.9)</w:t>
            </w:r>
          </w:p>
        </w:tc>
        <w:tc>
          <w:tcPr>
            <w:tcW w:w="1303" w:type="dxa"/>
            <w:hideMark/>
          </w:tcPr>
          <w:p w14:paraId="3047EA44" w14:textId="77777777" w:rsidR="001832A0" w:rsidRPr="00E97403" w:rsidRDefault="001832A0" w:rsidP="0086079E">
            <w:pPr>
              <w:pStyle w:val="NormalWeb"/>
              <w:jc w:val="center"/>
              <w:rPr>
                <w:sz w:val="18"/>
                <w:szCs w:val="18"/>
              </w:rPr>
            </w:pPr>
            <w:r w:rsidRPr="00E97403">
              <w:rPr>
                <w:sz w:val="18"/>
                <w:szCs w:val="18"/>
              </w:rPr>
              <w:t>211</w:t>
            </w:r>
          </w:p>
        </w:tc>
        <w:tc>
          <w:tcPr>
            <w:tcW w:w="1303" w:type="dxa"/>
            <w:hideMark/>
          </w:tcPr>
          <w:p w14:paraId="51F2ED99" w14:textId="77777777" w:rsidR="001832A0" w:rsidRPr="00E97403" w:rsidRDefault="001832A0" w:rsidP="0086079E">
            <w:pPr>
              <w:pStyle w:val="NormalWeb"/>
              <w:jc w:val="center"/>
              <w:rPr>
                <w:sz w:val="18"/>
                <w:szCs w:val="18"/>
              </w:rPr>
            </w:pPr>
            <w:r w:rsidRPr="00E97403">
              <w:rPr>
                <w:sz w:val="18"/>
                <w:szCs w:val="18"/>
              </w:rPr>
              <w:t>(53.3)</w:t>
            </w:r>
          </w:p>
        </w:tc>
        <w:tc>
          <w:tcPr>
            <w:tcW w:w="1303" w:type="dxa"/>
            <w:hideMark/>
          </w:tcPr>
          <w:p w14:paraId="6F91D794" w14:textId="77777777" w:rsidR="001832A0" w:rsidRPr="00E97403" w:rsidRDefault="001832A0" w:rsidP="0086079E">
            <w:pPr>
              <w:pStyle w:val="NormalWeb"/>
              <w:jc w:val="center"/>
              <w:rPr>
                <w:sz w:val="18"/>
                <w:szCs w:val="18"/>
              </w:rPr>
            </w:pPr>
            <w:r w:rsidRPr="00E97403">
              <w:rPr>
                <w:sz w:val="18"/>
                <w:szCs w:val="18"/>
              </w:rPr>
              <w:t>182</w:t>
            </w:r>
          </w:p>
        </w:tc>
        <w:tc>
          <w:tcPr>
            <w:tcW w:w="1303" w:type="dxa"/>
            <w:hideMark/>
          </w:tcPr>
          <w:p w14:paraId="4908302B" w14:textId="77777777" w:rsidR="001832A0" w:rsidRPr="00E97403" w:rsidRDefault="001832A0" w:rsidP="0086079E">
            <w:pPr>
              <w:pStyle w:val="NormalWeb"/>
              <w:jc w:val="center"/>
              <w:rPr>
                <w:sz w:val="18"/>
                <w:szCs w:val="18"/>
              </w:rPr>
            </w:pPr>
            <w:r w:rsidRPr="00E97403">
              <w:rPr>
                <w:sz w:val="18"/>
                <w:szCs w:val="18"/>
              </w:rPr>
              <w:t>(46.0)</w:t>
            </w:r>
          </w:p>
        </w:tc>
      </w:tr>
      <w:tr w:rsidR="00E97403" w:rsidRPr="00E97403" w14:paraId="734C72F0"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7F3205C8" w14:textId="77777777" w:rsidR="001832A0" w:rsidRPr="00E97403" w:rsidRDefault="001832A0">
            <w:pPr>
              <w:pStyle w:val="NormalWeb"/>
              <w:rPr>
                <w:sz w:val="18"/>
                <w:szCs w:val="18"/>
              </w:rPr>
            </w:pPr>
            <w:r w:rsidRPr="00E97403">
              <w:rPr>
                <w:sz w:val="18"/>
                <w:szCs w:val="18"/>
              </w:rPr>
              <w:t>dTpa</w:t>
            </w:r>
          </w:p>
        </w:tc>
        <w:tc>
          <w:tcPr>
            <w:tcW w:w="1302" w:type="dxa"/>
            <w:hideMark/>
          </w:tcPr>
          <w:p w14:paraId="3D14B554" w14:textId="77777777" w:rsidR="001832A0" w:rsidRPr="00E97403" w:rsidRDefault="001832A0" w:rsidP="0086079E">
            <w:pPr>
              <w:pStyle w:val="NormalWeb"/>
              <w:jc w:val="center"/>
              <w:rPr>
                <w:sz w:val="18"/>
                <w:szCs w:val="18"/>
              </w:rPr>
            </w:pPr>
            <w:r w:rsidRPr="00E97403">
              <w:rPr>
                <w:sz w:val="18"/>
                <w:szCs w:val="18"/>
              </w:rPr>
              <w:t>357</w:t>
            </w:r>
          </w:p>
        </w:tc>
        <w:tc>
          <w:tcPr>
            <w:tcW w:w="1303" w:type="dxa"/>
            <w:hideMark/>
          </w:tcPr>
          <w:p w14:paraId="5E7D321A" w14:textId="77777777" w:rsidR="001832A0" w:rsidRPr="00E97403" w:rsidRDefault="001832A0" w:rsidP="0086079E">
            <w:pPr>
              <w:pStyle w:val="NormalWeb"/>
              <w:jc w:val="center"/>
              <w:rPr>
                <w:sz w:val="18"/>
                <w:szCs w:val="18"/>
              </w:rPr>
            </w:pPr>
            <w:r w:rsidRPr="00E97403">
              <w:rPr>
                <w:sz w:val="18"/>
                <w:szCs w:val="18"/>
              </w:rPr>
              <w:t>(8.5)</w:t>
            </w:r>
          </w:p>
        </w:tc>
        <w:tc>
          <w:tcPr>
            <w:tcW w:w="1303" w:type="dxa"/>
            <w:hideMark/>
          </w:tcPr>
          <w:p w14:paraId="03F80071" w14:textId="77777777" w:rsidR="001832A0" w:rsidRPr="00E97403" w:rsidRDefault="001832A0" w:rsidP="0086079E">
            <w:pPr>
              <w:pStyle w:val="NormalWeb"/>
              <w:jc w:val="center"/>
              <w:rPr>
                <w:sz w:val="18"/>
                <w:szCs w:val="18"/>
              </w:rPr>
            </w:pPr>
            <w:r w:rsidRPr="00E97403">
              <w:rPr>
                <w:sz w:val="18"/>
                <w:szCs w:val="18"/>
              </w:rPr>
              <w:t>132</w:t>
            </w:r>
          </w:p>
        </w:tc>
        <w:tc>
          <w:tcPr>
            <w:tcW w:w="1303" w:type="dxa"/>
            <w:hideMark/>
          </w:tcPr>
          <w:p w14:paraId="5C359F3A" w14:textId="77777777" w:rsidR="001832A0" w:rsidRPr="00E97403" w:rsidRDefault="001832A0" w:rsidP="0086079E">
            <w:pPr>
              <w:pStyle w:val="NormalWeb"/>
              <w:jc w:val="center"/>
              <w:rPr>
                <w:sz w:val="18"/>
                <w:szCs w:val="18"/>
              </w:rPr>
            </w:pPr>
            <w:r w:rsidRPr="00E97403">
              <w:rPr>
                <w:sz w:val="18"/>
                <w:szCs w:val="18"/>
              </w:rPr>
              <w:t>(37.0)</w:t>
            </w:r>
          </w:p>
        </w:tc>
        <w:tc>
          <w:tcPr>
            <w:tcW w:w="1303" w:type="dxa"/>
            <w:hideMark/>
          </w:tcPr>
          <w:p w14:paraId="102A6C69" w14:textId="77777777" w:rsidR="001832A0" w:rsidRPr="00E97403" w:rsidRDefault="001832A0" w:rsidP="0086079E">
            <w:pPr>
              <w:pStyle w:val="NormalWeb"/>
              <w:jc w:val="center"/>
              <w:rPr>
                <w:sz w:val="18"/>
                <w:szCs w:val="18"/>
              </w:rPr>
            </w:pPr>
            <w:r w:rsidRPr="00E97403">
              <w:rPr>
                <w:sz w:val="18"/>
                <w:szCs w:val="18"/>
              </w:rPr>
              <w:t>27</w:t>
            </w:r>
          </w:p>
        </w:tc>
        <w:tc>
          <w:tcPr>
            <w:tcW w:w="1302" w:type="dxa"/>
            <w:hideMark/>
          </w:tcPr>
          <w:p w14:paraId="468DA0AE" w14:textId="77777777" w:rsidR="001832A0" w:rsidRPr="00E97403" w:rsidRDefault="001832A0" w:rsidP="0086079E">
            <w:pPr>
              <w:pStyle w:val="NormalWeb"/>
              <w:jc w:val="center"/>
              <w:rPr>
                <w:sz w:val="18"/>
                <w:szCs w:val="18"/>
              </w:rPr>
            </w:pPr>
            <w:r w:rsidRPr="00E97403">
              <w:rPr>
                <w:sz w:val="18"/>
                <w:szCs w:val="18"/>
              </w:rPr>
              <w:t>(7.6)</w:t>
            </w:r>
          </w:p>
        </w:tc>
        <w:tc>
          <w:tcPr>
            <w:tcW w:w="1303" w:type="dxa"/>
            <w:hideMark/>
          </w:tcPr>
          <w:p w14:paraId="425A1751"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153D4BAE"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6B8D1019" w14:textId="77777777" w:rsidR="001832A0" w:rsidRPr="00E97403" w:rsidRDefault="001832A0" w:rsidP="0086079E">
            <w:pPr>
              <w:pStyle w:val="NormalWeb"/>
              <w:jc w:val="center"/>
              <w:rPr>
                <w:sz w:val="18"/>
                <w:szCs w:val="18"/>
              </w:rPr>
            </w:pPr>
            <w:r w:rsidRPr="00E97403">
              <w:rPr>
                <w:sz w:val="18"/>
                <w:szCs w:val="18"/>
              </w:rPr>
              <w:t>357</w:t>
            </w:r>
          </w:p>
        </w:tc>
        <w:tc>
          <w:tcPr>
            <w:tcW w:w="1303" w:type="dxa"/>
            <w:hideMark/>
          </w:tcPr>
          <w:p w14:paraId="1DAF90A3" w14:textId="77777777" w:rsidR="001832A0" w:rsidRPr="00E97403" w:rsidRDefault="001832A0" w:rsidP="0086079E">
            <w:pPr>
              <w:pStyle w:val="NormalWeb"/>
              <w:jc w:val="center"/>
              <w:rPr>
                <w:sz w:val="18"/>
                <w:szCs w:val="18"/>
              </w:rPr>
            </w:pPr>
            <w:r w:rsidRPr="00E97403">
              <w:rPr>
                <w:sz w:val="18"/>
                <w:szCs w:val="18"/>
              </w:rPr>
              <w:t>(100.0)</w:t>
            </w:r>
          </w:p>
        </w:tc>
      </w:tr>
      <w:tr w:rsidR="00E97403" w:rsidRPr="00E97403" w14:paraId="6E761FC0" w14:textId="77777777" w:rsidTr="0086079E">
        <w:tc>
          <w:tcPr>
            <w:tcW w:w="0" w:type="auto"/>
            <w:hideMark/>
          </w:tcPr>
          <w:p w14:paraId="56E24417" w14:textId="77777777" w:rsidR="001832A0" w:rsidRPr="00E97403" w:rsidRDefault="001832A0">
            <w:pPr>
              <w:pStyle w:val="NormalWeb"/>
              <w:rPr>
                <w:sz w:val="18"/>
                <w:szCs w:val="18"/>
              </w:rPr>
            </w:pPr>
            <w:r w:rsidRPr="00E97403">
              <w:rPr>
                <w:sz w:val="18"/>
                <w:szCs w:val="18"/>
              </w:rPr>
              <w:t>Rotavirus</w:t>
            </w:r>
          </w:p>
        </w:tc>
        <w:tc>
          <w:tcPr>
            <w:tcW w:w="1302" w:type="dxa"/>
            <w:hideMark/>
          </w:tcPr>
          <w:p w14:paraId="415B1D91" w14:textId="77777777" w:rsidR="001832A0" w:rsidRPr="00E97403" w:rsidRDefault="001832A0" w:rsidP="0086079E">
            <w:pPr>
              <w:pStyle w:val="NormalWeb"/>
              <w:jc w:val="center"/>
              <w:rPr>
                <w:sz w:val="18"/>
                <w:szCs w:val="18"/>
              </w:rPr>
            </w:pPr>
            <w:r w:rsidRPr="00E97403">
              <w:rPr>
                <w:sz w:val="18"/>
                <w:szCs w:val="18"/>
              </w:rPr>
              <w:t>324</w:t>
            </w:r>
          </w:p>
        </w:tc>
        <w:tc>
          <w:tcPr>
            <w:tcW w:w="1303" w:type="dxa"/>
            <w:hideMark/>
          </w:tcPr>
          <w:p w14:paraId="5F8A1D23" w14:textId="77777777" w:rsidR="001832A0" w:rsidRPr="00E97403" w:rsidRDefault="001832A0" w:rsidP="0086079E">
            <w:pPr>
              <w:pStyle w:val="NormalWeb"/>
              <w:jc w:val="center"/>
              <w:rPr>
                <w:sz w:val="18"/>
                <w:szCs w:val="18"/>
              </w:rPr>
            </w:pPr>
            <w:r w:rsidRPr="00E97403">
              <w:rPr>
                <w:sz w:val="18"/>
                <w:szCs w:val="18"/>
              </w:rPr>
              <w:t>(7.7)</w:t>
            </w:r>
          </w:p>
        </w:tc>
        <w:tc>
          <w:tcPr>
            <w:tcW w:w="1303" w:type="dxa"/>
            <w:hideMark/>
          </w:tcPr>
          <w:p w14:paraId="508CC345" w14:textId="77777777" w:rsidR="001832A0" w:rsidRPr="00E97403" w:rsidRDefault="001832A0" w:rsidP="0086079E">
            <w:pPr>
              <w:pStyle w:val="NormalWeb"/>
              <w:jc w:val="center"/>
              <w:rPr>
                <w:sz w:val="18"/>
                <w:szCs w:val="18"/>
              </w:rPr>
            </w:pPr>
            <w:r w:rsidRPr="00E97403">
              <w:rPr>
                <w:sz w:val="18"/>
                <w:szCs w:val="18"/>
              </w:rPr>
              <w:t>46</w:t>
            </w:r>
          </w:p>
        </w:tc>
        <w:tc>
          <w:tcPr>
            <w:tcW w:w="1303" w:type="dxa"/>
            <w:hideMark/>
          </w:tcPr>
          <w:p w14:paraId="432C1C10" w14:textId="77777777" w:rsidR="001832A0" w:rsidRPr="00E97403" w:rsidRDefault="001832A0" w:rsidP="0086079E">
            <w:pPr>
              <w:pStyle w:val="NormalWeb"/>
              <w:jc w:val="center"/>
              <w:rPr>
                <w:sz w:val="18"/>
                <w:szCs w:val="18"/>
              </w:rPr>
            </w:pPr>
            <w:r w:rsidRPr="00E97403">
              <w:rPr>
                <w:sz w:val="18"/>
                <w:szCs w:val="18"/>
              </w:rPr>
              <w:t>(14.2)</w:t>
            </w:r>
          </w:p>
        </w:tc>
        <w:tc>
          <w:tcPr>
            <w:tcW w:w="1303" w:type="dxa"/>
            <w:hideMark/>
          </w:tcPr>
          <w:p w14:paraId="0E3D5E2B" w14:textId="77777777" w:rsidR="001832A0" w:rsidRPr="00E97403" w:rsidRDefault="001832A0" w:rsidP="0086079E">
            <w:pPr>
              <w:pStyle w:val="NormalWeb"/>
              <w:jc w:val="center"/>
              <w:rPr>
                <w:sz w:val="18"/>
                <w:szCs w:val="18"/>
              </w:rPr>
            </w:pPr>
            <w:r w:rsidRPr="00E97403">
              <w:rPr>
                <w:sz w:val="18"/>
                <w:szCs w:val="18"/>
              </w:rPr>
              <w:t>74</w:t>
            </w:r>
          </w:p>
        </w:tc>
        <w:tc>
          <w:tcPr>
            <w:tcW w:w="1302" w:type="dxa"/>
            <w:hideMark/>
          </w:tcPr>
          <w:p w14:paraId="63524E9E" w14:textId="77777777" w:rsidR="001832A0" w:rsidRPr="00E97403" w:rsidRDefault="001832A0" w:rsidP="0086079E">
            <w:pPr>
              <w:pStyle w:val="NormalWeb"/>
              <w:jc w:val="center"/>
              <w:rPr>
                <w:sz w:val="18"/>
                <w:szCs w:val="18"/>
              </w:rPr>
            </w:pPr>
            <w:r w:rsidRPr="00E97403">
              <w:rPr>
                <w:sz w:val="18"/>
                <w:szCs w:val="18"/>
              </w:rPr>
              <w:t>(22.8)</w:t>
            </w:r>
          </w:p>
        </w:tc>
        <w:tc>
          <w:tcPr>
            <w:tcW w:w="1303" w:type="dxa"/>
            <w:hideMark/>
          </w:tcPr>
          <w:p w14:paraId="679EE9AC" w14:textId="77777777" w:rsidR="001832A0" w:rsidRPr="00E97403" w:rsidRDefault="001832A0" w:rsidP="0086079E">
            <w:pPr>
              <w:pStyle w:val="NormalWeb"/>
              <w:jc w:val="center"/>
              <w:rPr>
                <w:sz w:val="18"/>
                <w:szCs w:val="18"/>
              </w:rPr>
            </w:pPr>
            <w:r w:rsidRPr="00E97403">
              <w:rPr>
                <w:sz w:val="18"/>
                <w:szCs w:val="18"/>
              </w:rPr>
              <w:t>319</w:t>
            </w:r>
          </w:p>
        </w:tc>
        <w:tc>
          <w:tcPr>
            <w:tcW w:w="1303" w:type="dxa"/>
            <w:hideMark/>
          </w:tcPr>
          <w:p w14:paraId="5677695D" w14:textId="77777777" w:rsidR="001832A0" w:rsidRPr="00E97403" w:rsidRDefault="001832A0" w:rsidP="0086079E">
            <w:pPr>
              <w:pStyle w:val="NormalWeb"/>
              <w:jc w:val="center"/>
              <w:rPr>
                <w:sz w:val="18"/>
                <w:szCs w:val="18"/>
              </w:rPr>
            </w:pPr>
            <w:r w:rsidRPr="00E97403">
              <w:rPr>
                <w:sz w:val="18"/>
                <w:szCs w:val="18"/>
              </w:rPr>
              <w:t>(98.5)</w:t>
            </w:r>
          </w:p>
        </w:tc>
        <w:tc>
          <w:tcPr>
            <w:tcW w:w="1303" w:type="dxa"/>
            <w:hideMark/>
          </w:tcPr>
          <w:p w14:paraId="3E11F49E" w14:textId="77777777" w:rsidR="001832A0" w:rsidRPr="00E97403" w:rsidRDefault="001832A0" w:rsidP="0086079E">
            <w:pPr>
              <w:pStyle w:val="NormalWeb"/>
              <w:jc w:val="center"/>
              <w:rPr>
                <w:sz w:val="18"/>
                <w:szCs w:val="18"/>
              </w:rPr>
            </w:pPr>
            <w:r w:rsidRPr="00E97403">
              <w:rPr>
                <w:sz w:val="18"/>
                <w:szCs w:val="18"/>
              </w:rPr>
              <w:t>2</w:t>
            </w:r>
          </w:p>
        </w:tc>
        <w:tc>
          <w:tcPr>
            <w:tcW w:w="1303" w:type="dxa"/>
            <w:hideMark/>
          </w:tcPr>
          <w:p w14:paraId="51E23773" w14:textId="77777777" w:rsidR="001832A0" w:rsidRPr="00E97403" w:rsidRDefault="001832A0" w:rsidP="0086079E">
            <w:pPr>
              <w:pStyle w:val="NormalWeb"/>
              <w:jc w:val="center"/>
              <w:rPr>
                <w:sz w:val="18"/>
                <w:szCs w:val="18"/>
              </w:rPr>
            </w:pPr>
            <w:r w:rsidRPr="00E97403">
              <w:rPr>
                <w:sz w:val="18"/>
                <w:szCs w:val="18"/>
              </w:rPr>
              <w:t>(0.6)</w:t>
            </w:r>
          </w:p>
        </w:tc>
      </w:tr>
      <w:tr w:rsidR="00E97403" w:rsidRPr="00E97403" w14:paraId="553917D4"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44ACF4F2" w14:textId="77777777" w:rsidR="001832A0" w:rsidRPr="00E97403" w:rsidRDefault="001832A0">
            <w:pPr>
              <w:pStyle w:val="NormalWeb"/>
              <w:rPr>
                <w:sz w:val="18"/>
                <w:szCs w:val="18"/>
              </w:rPr>
            </w:pPr>
            <w:r w:rsidRPr="00E97403">
              <w:rPr>
                <w:sz w:val="18"/>
                <w:szCs w:val="18"/>
              </w:rPr>
              <w:t>HPV</w:t>
            </w:r>
          </w:p>
        </w:tc>
        <w:tc>
          <w:tcPr>
            <w:tcW w:w="1302" w:type="dxa"/>
            <w:hideMark/>
          </w:tcPr>
          <w:p w14:paraId="3A3DCCD8" w14:textId="77777777" w:rsidR="001832A0" w:rsidRPr="00E97403" w:rsidRDefault="001832A0" w:rsidP="0086079E">
            <w:pPr>
              <w:pStyle w:val="NormalWeb"/>
              <w:jc w:val="center"/>
              <w:rPr>
                <w:sz w:val="18"/>
                <w:szCs w:val="18"/>
              </w:rPr>
            </w:pPr>
            <w:r w:rsidRPr="00E97403">
              <w:rPr>
                <w:sz w:val="18"/>
                <w:szCs w:val="18"/>
              </w:rPr>
              <w:t>307</w:t>
            </w:r>
          </w:p>
        </w:tc>
        <w:tc>
          <w:tcPr>
            <w:tcW w:w="1303" w:type="dxa"/>
            <w:hideMark/>
          </w:tcPr>
          <w:p w14:paraId="6FE847A4" w14:textId="77777777" w:rsidR="001832A0" w:rsidRPr="00E97403" w:rsidRDefault="001832A0" w:rsidP="0086079E">
            <w:pPr>
              <w:pStyle w:val="NormalWeb"/>
              <w:jc w:val="center"/>
              <w:rPr>
                <w:sz w:val="18"/>
                <w:szCs w:val="18"/>
              </w:rPr>
            </w:pPr>
            <w:r w:rsidRPr="00E97403">
              <w:rPr>
                <w:sz w:val="18"/>
                <w:szCs w:val="18"/>
              </w:rPr>
              <w:t>(7.3)</w:t>
            </w:r>
          </w:p>
        </w:tc>
        <w:tc>
          <w:tcPr>
            <w:tcW w:w="1303" w:type="dxa"/>
            <w:hideMark/>
          </w:tcPr>
          <w:p w14:paraId="3D11623A" w14:textId="77777777" w:rsidR="001832A0" w:rsidRPr="00E97403" w:rsidRDefault="001832A0" w:rsidP="0086079E">
            <w:pPr>
              <w:pStyle w:val="NormalWeb"/>
              <w:jc w:val="center"/>
              <w:rPr>
                <w:sz w:val="18"/>
                <w:szCs w:val="18"/>
              </w:rPr>
            </w:pPr>
            <w:r w:rsidRPr="00E97403">
              <w:rPr>
                <w:sz w:val="18"/>
                <w:szCs w:val="18"/>
              </w:rPr>
              <w:t>116</w:t>
            </w:r>
          </w:p>
        </w:tc>
        <w:tc>
          <w:tcPr>
            <w:tcW w:w="1303" w:type="dxa"/>
            <w:hideMark/>
          </w:tcPr>
          <w:p w14:paraId="5EF22A74" w14:textId="77777777" w:rsidR="001832A0" w:rsidRPr="00E97403" w:rsidRDefault="001832A0" w:rsidP="0086079E">
            <w:pPr>
              <w:pStyle w:val="NormalWeb"/>
              <w:jc w:val="center"/>
              <w:rPr>
                <w:sz w:val="18"/>
                <w:szCs w:val="18"/>
              </w:rPr>
            </w:pPr>
            <w:r w:rsidRPr="00E97403">
              <w:rPr>
                <w:sz w:val="18"/>
                <w:szCs w:val="18"/>
              </w:rPr>
              <w:t>(37.8)</w:t>
            </w:r>
          </w:p>
        </w:tc>
        <w:tc>
          <w:tcPr>
            <w:tcW w:w="1303" w:type="dxa"/>
            <w:hideMark/>
          </w:tcPr>
          <w:p w14:paraId="0B5386C0" w14:textId="77777777" w:rsidR="001832A0" w:rsidRPr="00E97403" w:rsidRDefault="001832A0" w:rsidP="0086079E">
            <w:pPr>
              <w:pStyle w:val="NormalWeb"/>
              <w:jc w:val="center"/>
              <w:rPr>
                <w:sz w:val="18"/>
                <w:szCs w:val="18"/>
              </w:rPr>
            </w:pPr>
            <w:r w:rsidRPr="00E97403">
              <w:rPr>
                <w:sz w:val="18"/>
                <w:szCs w:val="18"/>
              </w:rPr>
              <w:t>15</w:t>
            </w:r>
          </w:p>
        </w:tc>
        <w:tc>
          <w:tcPr>
            <w:tcW w:w="1302" w:type="dxa"/>
            <w:hideMark/>
          </w:tcPr>
          <w:p w14:paraId="1E6528BA" w14:textId="77777777" w:rsidR="001832A0" w:rsidRPr="00E97403" w:rsidRDefault="001832A0" w:rsidP="0086079E">
            <w:pPr>
              <w:pStyle w:val="NormalWeb"/>
              <w:jc w:val="center"/>
              <w:rPr>
                <w:sz w:val="18"/>
                <w:szCs w:val="18"/>
              </w:rPr>
            </w:pPr>
            <w:r w:rsidRPr="00E97403">
              <w:rPr>
                <w:sz w:val="18"/>
                <w:szCs w:val="18"/>
              </w:rPr>
              <w:t>(4.9)</w:t>
            </w:r>
          </w:p>
        </w:tc>
        <w:tc>
          <w:tcPr>
            <w:tcW w:w="1303" w:type="dxa"/>
            <w:hideMark/>
          </w:tcPr>
          <w:p w14:paraId="29D82B28"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64FC7139"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439093CA" w14:textId="77777777" w:rsidR="001832A0" w:rsidRPr="00E97403" w:rsidRDefault="001832A0" w:rsidP="0086079E">
            <w:pPr>
              <w:pStyle w:val="NormalWeb"/>
              <w:jc w:val="center"/>
              <w:rPr>
                <w:sz w:val="18"/>
                <w:szCs w:val="18"/>
              </w:rPr>
            </w:pPr>
            <w:r w:rsidRPr="00E97403">
              <w:rPr>
                <w:sz w:val="18"/>
                <w:szCs w:val="18"/>
              </w:rPr>
              <w:t>298</w:t>
            </w:r>
          </w:p>
        </w:tc>
        <w:tc>
          <w:tcPr>
            <w:tcW w:w="1303" w:type="dxa"/>
            <w:hideMark/>
          </w:tcPr>
          <w:p w14:paraId="1C827E6F" w14:textId="77777777" w:rsidR="001832A0" w:rsidRPr="00E97403" w:rsidRDefault="001832A0" w:rsidP="0086079E">
            <w:pPr>
              <w:pStyle w:val="NormalWeb"/>
              <w:jc w:val="center"/>
              <w:rPr>
                <w:sz w:val="18"/>
                <w:szCs w:val="18"/>
              </w:rPr>
            </w:pPr>
            <w:r w:rsidRPr="00E97403">
              <w:rPr>
                <w:sz w:val="18"/>
                <w:szCs w:val="18"/>
              </w:rPr>
              <w:t>(97.1)</w:t>
            </w:r>
          </w:p>
        </w:tc>
      </w:tr>
      <w:tr w:rsidR="00E97403" w:rsidRPr="00E97403" w14:paraId="4AE966DD" w14:textId="77777777" w:rsidTr="0086079E">
        <w:tc>
          <w:tcPr>
            <w:tcW w:w="0" w:type="auto"/>
            <w:hideMark/>
          </w:tcPr>
          <w:p w14:paraId="0A540001" w14:textId="77777777" w:rsidR="001832A0" w:rsidRPr="00E97403" w:rsidRDefault="001832A0">
            <w:pPr>
              <w:pStyle w:val="NormalWeb"/>
              <w:rPr>
                <w:sz w:val="18"/>
                <w:szCs w:val="18"/>
              </w:rPr>
            </w:pPr>
            <w:r w:rsidRPr="00E97403">
              <w:rPr>
                <w:sz w:val="18"/>
                <w:szCs w:val="18"/>
              </w:rPr>
              <w:t>Meningococcal B</w:t>
            </w:r>
          </w:p>
        </w:tc>
        <w:tc>
          <w:tcPr>
            <w:tcW w:w="1302" w:type="dxa"/>
            <w:hideMark/>
          </w:tcPr>
          <w:p w14:paraId="5390CDA0" w14:textId="77777777" w:rsidR="001832A0" w:rsidRPr="00E97403" w:rsidRDefault="001832A0" w:rsidP="0086079E">
            <w:pPr>
              <w:pStyle w:val="NormalWeb"/>
              <w:jc w:val="center"/>
              <w:rPr>
                <w:sz w:val="18"/>
                <w:szCs w:val="18"/>
              </w:rPr>
            </w:pPr>
            <w:r w:rsidRPr="00E97403">
              <w:rPr>
                <w:sz w:val="18"/>
                <w:szCs w:val="18"/>
              </w:rPr>
              <w:t>301</w:t>
            </w:r>
          </w:p>
        </w:tc>
        <w:tc>
          <w:tcPr>
            <w:tcW w:w="1303" w:type="dxa"/>
            <w:hideMark/>
          </w:tcPr>
          <w:p w14:paraId="752D53DB" w14:textId="77777777" w:rsidR="001832A0" w:rsidRPr="00E97403" w:rsidRDefault="001832A0" w:rsidP="0086079E">
            <w:pPr>
              <w:pStyle w:val="NormalWeb"/>
              <w:jc w:val="center"/>
              <w:rPr>
                <w:sz w:val="18"/>
                <w:szCs w:val="18"/>
              </w:rPr>
            </w:pPr>
            <w:r w:rsidRPr="00E97403">
              <w:rPr>
                <w:sz w:val="18"/>
                <w:szCs w:val="18"/>
              </w:rPr>
              <w:t>(7.1)</w:t>
            </w:r>
          </w:p>
        </w:tc>
        <w:tc>
          <w:tcPr>
            <w:tcW w:w="1303" w:type="dxa"/>
            <w:hideMark/>
          </w:tcPr>
          <w:p w14:paraId="66F6E581" w14:textId="77777777" w:rsidR="001832A0" w:rsidRPr="00E97403" w:rsidRDefault="001832A0" w:rsidP="0086079E">
            <w:pPr>
              <w:pStyle w:val="NormalWeb"/>
              <w:jc w:val="center"/>
              <w:rPr>
                <w:sz w:val="18"/>
                <w:szCs w:val="18"/>
              </w:rPr>
            </w:pPr>
            <w:r w:rsidRPr="00E97403">
              <w:rPr>
                <w:sz w:val="18"/>
                <w:szCs w:val="18"/>
              </w:rPr>
              <w:t>217</w:t>
            </w:r>
          </w:p>
        </w:tc>
        <w:tc>
          <w:tcPr>
            <w:tcW w:w="1303" w:type="dxa"/>
            <w:hideMark/>
          </w:tcPr>
          <w:p w14:paraId="28CF63E6" w14:textId="77777777" w:rsidR="001832A0" w:rsidRPr="00E97403" w:rsidRDefault="001832A0" w:rsidP="0086079E">
            <w:pPr>
              <w:pStyle w:val="NormalWeb"/>
              <w:jc w:val="center"/>
              <w:rPr>
                <w:sz w:val="18"/>
                <w:szCs w:val="18"/>
              </w:rPr>
            </w:pPr>
            <w:r w:rsidRPr="00E97403">
              <w:rPr>
                <w:sz w:val="18"/>
                <w:szCs w:val="18"/>
              </w:rPr>
              <w:t>(72.1)</w:t>
            </w:r>
          </w:p>
        </w:tc>
        <w:tc>
          <w:tcPr>
            <w:tcW w:w="1303" w:type="dxa"/>
            <w:hideMark/>
          </w:tcPr>
          <w:p w14:paraId="373846D2" w14:textId="77777777" w:rsidR="001832A0" w:rsidRPr="00E97403" w:rsidRDefault="001832A0" w:rsidP="0086079E">
            <w:pPr>
              <w:pStyle w:val="NormalWeb"/>
              <w:jc w:val="center"/>
              <w:rPr>
                <w:sz w:val="18"/>
                <w:szCs w:val="18"/>
              </w:rPr>
            </w:pPr>
            <w:r w:rsidRPr="00E97403">
              <w:rPr>
                <w:sz w:val="18"/>
                <w:szCs w:val="18"/>
              </w:rPr>
              <w:t>35</w:t>
            </w:r>
          </w:p>
        </w:tc>
        <w:tc>
          <w:tcPr>
            <w:tcW w:w="1302" w:type="dxa"/>
            <w:hideMark/>
          </w:tcPr>
          <w:p w14:paraId="0501BF15" w14:textId="77777777" w:rsidR="001832A0" w:rsidRPr="00E97403" w:rsidRDefault="001832A0" w:rsidP="0086079E">
            <w:pPr>
              <w:pStyle w:val="NormalWeb"/>
              <w:jc w:val="center"/>
              <w:rPr>
                <w:sz w:val="18"/>
                <w:szCs w:val="18"/>
              </w:rPr>
            </w:pPr>
            <w:r w:rsidRPr="00E97403">
              <w:rPr>
                <w:sz w:val="18"/>
                <w:szCs w:val="18"/>
              </w:rPr>
              <w:t>(11.6)</w:t>
            </w:r>
          </w:p>
        </w:tc>
        <w:tc>
          <w:tcPr>
            <w:tcW w:w="1303" w:type="dxa"/>
            <w:hideMark/>
          </w:tcPr>
          <w:p w14:paraId="2F0C4579" w14:textId="77777777" w:rsidR="001832A0" w:rsidRPr="00E97403" w:rsidRDefault="001832A0" w:rsidP="0086079E">
            <w:pPr>
              <w:pStyle w:val="NormalWeb"/>
              <w:jc w:val="center"/>
              <w:rPr>
                <w:sz w:val="18"/>
                <w:szCs w:val="18"/>
              </w:rPr>
            </w:pPr>
            <w:r w:rsidRPr="00E97403">
              <w:rPr>
                <w:sz w:val="18"/>
                <w:szCs w:val="18"/>
              </w:rPr>
              <w:t>207</w:t>
            </w:r>
          </w:p>
        </w:tc>
        <w:tc>
          <w:tcPr>
            <w:tcW w:w="1303" w:type="dxa"/>
            <w:hideMark/>
          </w:tcPr>
          <w:p w14:paraId="04D1F952" w14:textId="77777777" w:rsidR="001832A0" w:rsidRPr="00E97403" w:rsidRDefault="001832A0" w:rsidP="0086079E">
            <w:pPr>
              <w:pStyle w:val="NormalWeb"/>
              <w:jc w:val="center"/>
              <w:rPr>
                <w:sz w:val="18"/>
                <w:szCs w:val="18"/>
              </w:rPr>
            </w:pPr>
            <w:r w:rsidRPr="00E97403">
              <w:rPr>
                <w:sz w:val="18"/>
                <w:szCs w:val="18"/>
              </w:rPr>
              <w:t>(68.8)</w:t>
            </w:r>
          </w:p>
        </w:tc>
        <w:tc>
          <w:tcPr>
            <w:tcW w:w="1303" w:type="dxa"/>
            <w:hideMark/>
          </w:tcPr>
          <w:p w14:paraId="06566169" w14:textId="77777777" w:rsidR="001832A0" w:rsidRPr="00E97403" w:rsidRDefault="001832A0" w:rsidP="0086079E">
            <w:pPr>
              <w:pStyle w:val="NormalWeb"/>
              <w:jc w:val="center"/>
              <w:rPr>
                <w:sz w:val="18"/>
                <w:szCs w:val="18"/>
              </w:rPr>
            </w:pPr>
            <w:r w:rsidRPr="00E97403">
              <w:rPr>
                <w:sz w:val="18"/>
                <w:szCs w:val="18"/>
              </w:rPr>
              <w:t>89</w:t>
            </w:r>
          </w:p>
        </w:tc>
        <w:tc>
          <w:tcPr>
            <w:tcW w:w="1303" w:type="dxa"/>
            <w:hideMark/>
          </w:tcPr>
          <w:p w14:paraId="3AE3A979" w14:textId="77777777" w:rsidR="001832A0" w:rsidRPr="00E97403" w:rsidRDefault="001832A0" w:rsidP="0086079E">
            <w:pPr>
              <w:pStyle w:val="NormalWeb"/>
              <w:jc w:val="center"/>
              <w:rPr>
                <w:sz w:val="18"/>
                <w:szCs w:val="18"/>
              </w:rPr>
            </w:pPr>
            <w:r w:rsidRPr="00E97403">
              <w:rPr>
                <w:sz w:val="18"/>
                <w:szCs w:val="18"/>
              </w:rPr>
              <w:t>(29.6)</w:t>
            </w:r>
          </w:p>
        </w:tc>
      </w:tr>
      <w:tr w:rsidR="00E97403" w:rsidRPr="00E97403" w14:paraId="38C3D784"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771C194E" w14:textId="77777777" w:rsidR="001832A0" w:rsidRPr="00E97403" w:rsidRDefault="001832A0">
            <w:pPr>
              <w:pStyle w:val="NormalWeb"/>
              <w:rPr>
                <w:sz w:val="18"/>
                <w:szCs w:val="18"/>
              </w:rPr>
            </w:pPr>
            <w:r w:rsidRPr="00E97403">
              <w:rPr>
                <w:sz w:val="18"/>
                <w:szCs w:val="18"/>
              </w:rPr>
              <w:t>MMR</w:t>
            </w:r>
          </w:p>
        </w:tc>
        <w:tc>
          <w:tcPr>
            <w:tcW w:w="1302" w:type="dxa"/>
            <w:hideMark/>
          </w:tcPr>
          <w:p w14:paraId="0C03AA31" w14:textId="77777777" w:rsidR="001832A0" w:rsidRPr="00E97403" w:rsidRDefault="001832A0" w:rsidP="0086079E">
            <w:pPr>
              <w:pStyle w:val="NormalWeb"/>
              <w:jc w:val="center"/>
              <w:rPr>
                <w:sz w:val="18"/>
                <w:szCs w:val="18"/>
              </w:rPr>
            </w:pPr>
            <w:r w:rsidRPr="00E97403">
              <w:rPr>
                <w:sz w:val="18"/>
                <w:szCs w:val="18"/>
              </w:rPr>
              <w:t>301</w:t>
            </w:r>
          </w:p>
        </w:tc>
        <w:tc>
          <w:tcPr>
            <w:tcW w:w="1303" w:type="dxa"/>
            <w:hideMark/>
          </w:tcPr>
          <w:p w14:paraId="03A4E02A" w14:textId="77777777" w:rsidR="001832A0" w:rsidRPr="00E97403" w:rsidRDefault="001832A0" w:rsidP="0086079E">
            <w:pPr>
              <w:pStyle w:val="NormalWeb"/>
              <w:jc w:val="center"/>
              <w:rPr>
                <w:sz w:val="18"/>
                <w:szCs w:val="18"/>
              </w:rPr>
            </w:pPr>
            <w:r w:rsidRPr="00E97403">
              <w:rPr>
                <w:sz w:val="18"/>
                <w:szCs w:val="18"/>
              </w:rPr>
              <w:t>(7.1)</w:t>
            </w:r>
          </w:p>
        </w:tc>
        <w:tc>
          <w:tcPr>
            <w:tcW w:w="1303" w:type="dxa"/>
            <w:hideMark/>
          </w:tcPr>
          <w:p w14:paraId="67384DDF" w14:textId="77777777" w:rsidR="001832A0" w:rsidRPr="00E97403" w:rsidRDefault="001832A0" w:rsidP="0086079E">
            <w:pPr>
              <w:pStyle w:val="NormalWeb"/>
              <w:jc w:val="center"/>
              <w:rPr>
                <w:sz w:val="18"/>
                <w:szCs w:val="18"/>
              </w:rPr>
            </w:pPr>
            <w:r w:rsidRPr="00E97403">
              <w:rPr>
                <w:sz w:val="18"/>
                <w:szCs w:val="18"/>
              </w:rPr>
              <w:t>87</w:t>
            </w:r>
          </w:p>
        </w:tc>
        <w:tc>
          <w:tcPr>
            <w:tcW w:w="1303" w:type="dxa"/>
            <w:hideMark/>
          </w:tcPr>
          <w:p w14:paraId="76106110" w14:textId="77777777" w:rsidR="001832A0" w:rsidRPr="00E97403" w:rsidRDefault="001832A0" w:rsidP="0086079E">
            <w:pPr>
              <w:pStyle w:val="NormalWeb"/>
              <w:jc w:val="center"/>
              <w:rPr>
                <w:sz w:val="18"/>
                <w:szCs w:val="18"/>
              </w:rPr>
            </w:pPr>
            <w:r w:rsidRPr="00E97403">
              <w:rPr>
                <w:sz w:val="18"/>
                <w:szCs w:val="18"/>
              </w:rPr>
              <w:t>(28.9)</w:t>
            </w:r>
          </w:p>
        </w:tc>
        <w:tc>
          <w:tcPr>
            <w:tcW w:w="1303" w:type="dxa"/>
            <w:hideMark/>
          </w:tcPr>
          <w:p w14:paraId="6D68A915" w14:textId="77777777" w:rsidR="001832A0" w:rsidRPr="00E97403" w:rsidRDefault="001832A0" w:rsidP="0086079E">
            <w:pPr>
              <w:pStyle w:val="NormalWeb"/>
              <w:jc w:val="center"/>
              <w:rPr>
                <w:sz w:val="18"/>
                <w:szCs w:val="18"/>
              </w:rPr>
            </w:pPr>
            <w:r w:rsidRPr="00E97403">
              <w:rPr>
                <w:sz w:val="18"/>
                <w:szCs w:val="18"/>
              </w:rPr>
              <w:t>45</w:t>
            </w:r>
          </w:p>
        </w:tc>
        <w:tc>
          <w:tcPr>
            <w:tcW w:w="1302" w:type="dxa"/>
            <w:hideMark/>
          </w:tcPr>
          <w:p w14:paraId="632B77A6" w14:textId="77777777" w:rsidR="001832A0" w:rsidRPr="00E97403" w:rsidRDefault="001832A0" w:rsidP="0086079E">
            <w:pPr>
              <w:pStyle w:val="NormalWeb"/>
              <w:jc w:val="center"/>
              <w:rPr>
                <w:sz w:val="18"/>
                <w:szCs w:val="18"/>
              </w:rPr>
            </w:pPr>
            <w:r w:rsidRPr="00E97403">
              <w:rPr>
                <w:sz w:val="18"/>
                <w:szCs w:val="18"/>
              </w:rPr>
              <w:t>(15.0)</w:t>
            </w:r>
          </w:p>
        </w:tc>
        <w:tc>
          <w:tcPr>
            <w:tcW w:w="1303" w:type="dxa"/>
            <w:hideMark/>
          </w:tcPr>
          <w:p w14:paraId="159A003C" w14:textId="77777777" w:rsidR="001832A0" w:rsidRPr="00E97403" w:rsidRDefault="001832A0" w:rsidP="0086079E">
            <w:pPr>
              <w:pStyle w:val="NormalWeb"/>
              <w:jc w:val="center"/>
              <w:rPr>
                <w:sz w:val="18"/>
                <w:szCs w:val="18"/>
              </w:rPr>
            </w:pPr>
            <w:r w:rsidRPr="00E97403">
              <w:rPr>
                <w:sz w:val="18"/>
                <w:szCs w:val="18"/>
              </w:rPr>
              <w:t>228</w:t>
            </w:r>
          </w:p>
        </w:tc>
        <w:tc>
          <w:tcPr>
            <w:tcW w:w="1303" w:type="dxa"/>
            <w:hideMark/>
          </w:tcPr>
          <w:p w14:paraId="5007CAF9" w14:textId="77777777" w:rsidR="001832A0" w:rsidRPr="00E97403" w:rsidRDefault="001832A0" w:rsidP="0086079E">
            <w:pPr>
              <w:pStyle w:val="NormalWeb"/>
              <w:jc w:val="center"/>
              <w:rPr>
                <w:sz w:val="18"/>
                <w:szCs w:val="18"/>
              </w:rPr>
            </w:pPr>
            <w:r w:rsidRPr="00E97403">
              <w:rPr>
                <w:sz w:val="18"/>
                <w:szCs w:val="18"/>
              </w:rPr>
              <w:t>(75.7)</w:t>
            </w:r>
          </w:p>
        </w:tc>
        <w:tc>
          <w:tcPr>
            <w:tcW w:w="1303" w:type="dxa"/>
            <w:hideMark/>
          </w:tcPr>
          <w:p w14:paraId="56028FBE" w14:textId="77777777" w:rsidR="001832A0" w:rsidRPr="00E97403" w:rsidRDefault="001832A0" w:rsidP="0086079E">
            <w:pPr>
              <w:pStyle w:val="NormalWeb"/>
              <w:jc w:val="center"/>
              <w:rPr>
                <w:sz w:val="18"/>
                <w:szCs w:val="18"/>
              </w:rPr>
            </w:pPr>
            <w:r w:rsidRPr="00E97403">
              <w:rPr>
                <w:sz w:val="18"/>
                <w:szCs w:val="18"/>
              </w:rPr>
              <w:t>56</w:t>
            </w:r>
          </w:p>
        </w:tc>
        <w:tc>
          <w:tcPr>
            <w:tcW w:w="1303" w:type="dxa"/>
            <w:hideMark/>
          </w:tcPr>
          <w:p w14:paraId="3B514B55" w14:textId="77777777" w:rsidR="001832A0" w:rsidRPr="00E97403" w:rsidRDefault="001832A0" w:rsidP="0086079E">
            <w:pPr>
              <w:pStyle w:val="NormalWeb"/>
              <w:jc w:val="center"/>
              <w:rPr>
                <w:sz w:val="18"/>
                <w:szCs w:val="18"/>
              </w:rPr>
            </w:pPr>
            <w:r w:rsidRPr="00E97403">
              <w:rPr>
                <w:sz w:val="18"/>
                <w:szCs w:val="18"/>
              </w:rPr>
              <w:t>(18.6)</w:t>
            </w:r>
          </w:p>
        </w:tc>
      </w:tr>
      <w:tr w:rsidR="00E97403" w:rsidRPr="00E97403" w14:paraId="143ABE36" w14:textId="77777777" w:rsidTr="0086079E">
        <w:tc>
          <w:tcPr>
            <w:tcW w:w="0" w:type="auto"/>
            <w:hideMark/>
          </w:tcPr>
          <w:p w14:paraId="4C2FC269" w14:textId="77777777" w:rsidR="001832A0" w:rsidRPr="00E97403" w:rsidRDefault="001832A0">
            <w:pPr>
              <w:pStyle w:val="NormalWeb"/>
              <w:rPr>
                <w:sz w:val="18"/>
                <w:szCs w:val="18"/>
              </w:rPr>
            </w:pPr>
            <w:r w:rsidRPr="00E97403">
              <w:rPr>
                <w:sz w:val="18"/>
                <w:szCs w:val="18"/>
              </w:rPr>
              <w:t>DTPa</w:t>
            </w:r>
          </w:p>
        </w:tc>
        <w:tc>
          <w:tcPr>
            <w:tcW w:w="1302" w:type="dxa"/>
            <w:hideMark/>
          </w:tcPr>
          <w:p w14:paraId="5F421FB8" w14:textId="77777777" w:rsidR="001832A0" w:rsidRPr="00E97403" w:rsidRDefault="001832A0" w:rsidP="0086079E">
            <w:pPr>
              <w:pStyle w:val="NormalWeb"/>
              <w:jc w:val="center"/>
              <w:rPr>
                <w:sz w:val="18"/>
                <w:szCs w:val="18"/>
              </w:rPr>
            </w:pPr>
            <w:r w:rsidRPr="00E97403">
              <w:rPr>
                <w:sz w:val="18"/>
                <w:szCs w:val="18"/>
              </w:rPr>
              <w:t>284</w:t>
            </w:r>
          </w:p>
        </w:tc>
        <w:tc>
          <w:tcPr>
            <w:tcW w:w="1303" w:type="dxa"/>
            <w:hideMark/>
          </w:tcPr>
          <w:p w14:paraId="06C7AD10" w14:textId="77777777" w:rsidR="001832A0" w:rsidRPr="00E97403" w:rsidRDefault="001832A0" w:rsidP="0086079E">
            <w:pPr>
              <w:pStyle w:val="NormalWeb"/>
              <w:jc w:val="center"/>
              <w:rPr>
                <w:sz w:val="18"/>
                <w:szCs w:val="18"/>
              </w:rPr>
            </w:pPr>
            <w:r w:rsidRPr="00E97403">
              <w:rPr>
                <w:sz w:val="18"/>
                <w:szCs w:val="18"/>
              </w:rPr>
              <w:t>(6.7)</w:t>
            </w:r>
          </w:p>
        </w:tc>
        <w:tc>
          <w:tcPr>
            <w:tcW w:w="1303" w:type="dxa"/>
            <w:hideMark/>
          </w:tcPr>
          <w:p w14:paraId="354702C6" w14:textId="77777777" w:rsidR="001832A0" w:rsidRPr="00E97403" w:rsidRDefault="001832A0" w:rsidP="0086079E">
            <w:pPr>
              <w:pStyle w:val="NormalWeb"/>
              <w:jc w:val="center"/>
              <w:rPr>
                <w:sz w:val="18"/>
                <w:szCs w:val="18"/>
              </w:rPr>
            </w:pPr>
            <w:r w:rsidRPr="00E97403">
              <w:rPr>
                <w:sz w:val="18"/>
                <w:szCs w:val="18"/>
              </w:rPr>
              <w:t>93</w:t>
            </w:r>
          </w:p>
        </w:tc>
        <w:tc>
          <w:tcPr>
            <w:tcW w:w="1303" w:type="dxa"/>
            <w:hideMark/>
          </w:tcPr>
          <w:p w14:paraId="0042361B" w14:textId="77777777" w:rsidR="001832A0" w:rsidRPr="00E97403" w:rsidRDefault="001832A0" w:rsidP="0086079E">
            <w:pPr>
              <w:pStyle w:val="NormalWeb"/>
              <w:jc w:val="center"/>
              <w:rPr>
                <w:sz w:val="18"/>
                <w:szCs w:val="18"/>
              </w:rPr>
            </w:pPr>
            <w:r w:rsidRPr="00E97403">
              <w:rPr>
                <w:sz w:val="18"/>
                <w:szCs w:val="18"/>
              </w:rPr>
              <w:t>(32.7)</w:t>
            </w:r>
          </w:p>
        </w:tc>
        <w:tc>
          <w:tcPr>
            <w:tcW w:w="1303" w:type="dxa"/>
            <w:hideMark/>
          </w:tcPr>
          <w:p w14:paraId="07226AED" w14:textId="77777777" w:rsidR="001832A0" w:rsidRPr="00E97403" w:rsidRDefault="001832A0" w:rsidP="0086079E">
            <w:pPr>
              <w:pStyle w:val="NormalWeb"/>
              <w:jc w:val="center"/>
              <w:rPr>
                <w:sz w:val="18"/>
                <w:szCs w:val="18"/>
              </w:rPr>
            </w:pPr>
            <w:r w:rsidRPr="00E97403">
              <w:rPr>
                <w:sz w:val="18"/>
                <w:szCs w:val="18"/>
              </w:rPr>
              <w:t>29</w:t>
            </w:r>
          </w:p>
        </w:tc>
        <w:tc>
          <w:tcPr>
            <w:tcW w:w="1302" w:type="dxa"/>
            <w:hideMark/>
          </w:tcPr>
          <w:p w14:paraId="4E6CB3A8" w14:textId="77777777" w:rsidR="001832A0" w:rsidRPr="00E97403" w:rsidRDefault="001832A0" w:rsidP="0086079E">
            <w:pPr>
              <w:pStyle w:val="NormalWeb"/>
              <w:jc w:val="center"/>
              <w:rPr>
                <w:sz w:val="18"/>
                <w:szCs w:val="18"/>
              </w:rPr>
            </w:pPr>
            <w:r w:rsidRPr="00E97403">
              <w:rPr>
                <w:sz w:val="18"/>
                <w:szCs w:val="18"/>
              </w:rPr>
              <w:t>(10.2)</w:t>
            </w:r>
          </w:p>
        </w:tc>
        <w:tc>
          <w:tcPr>
            <w:tcW w:w="1303" w:type="dxa"/>
            <w:hideMark/>
          </w:tcPr>
          <w:p w14:paraId="3B3506AB" w14:textId="77777777" w:rsidR="001832A0" w:rsidRPr="00E97403" w:rsidRDefault="001832A0" w:rsidP="0086079E">
            <w:pPr>
              <w:pStyle w:val="NormalWeb"/>
              <w:jc w:val="center"/>
              <w:rPr>
                <w:sz w:val="18"/>
                <w:szCs w:val="18"/>
              </w:rPr>
            </w:pPr>
            <w:r w:rsidRPr="00E97403">
              <w:rPr>
                <w:sz w:val="18"/>
                <w:szCs w:val="18"/>
              </w:rPr>
              <w:t>284</w:t>
            </w:r>
          </w:p>
        </w:tc>
        <w:tc>
          <w:tcPr>
            <w:tcW w:w="1303" w:type="dxa"/>
            <w:hideMark/>
          </w:tcPr>
          <w:p w14:paraId="7C4DA615" w14:textId="77777777" w:rsidR="001832A0" w:rsidRPr="00E97403" w:rsidRDefault="001832A0" w:rsidP="0086079E">
            <w:pPr>
              <w:pStyle w:val="NormalWeb"/>
              <w:jc w:val="center"/>
              <w:rPr>
                <w:sz w:val="18"/>
                <w:szCs w:val="18"/>
              </w:rPr>
            </w:pPr>
            <w:r w:rsidRPr="00E97403">
              <w:rPr>
                <w:sz w:val="18"/>
                <w:szCs w:val="18"/>
              </w:rPr>
              <w:t>(100.0)</w:t>
            </w:r>
          </w:p>
        </w:tc>
        <w:tc>
          <w:tcPr>
            <w:tcW w:w="1303" w:type="dxa"/>
            <w:hideMark/>
          </w:tcPr>
          <w:p w14:paraId="49E97D46"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1D77B3D5" w14:textId="77777777" w:rsidR="001832A0" w:rsidRPr="00E97403" w:rsidRDefault="001832A0" w:rsidP="0086079E">
            <w:pPr>
              <w:pStyle w:val="NormalWeb"/>
              <w:jc w:val="center"/>
              <w:rPr>
                <w:sz w:val="18"/>
                <w:szCs w:val="18"/>
              </w:rPr>
            </w:pPr>
            <w:r w:rsidRPr="00E97403">
              <w:rPr>
                <w:sz w:val="18"/>
                <w:szCs w:val="18"/>
              </w:rPr>
              <w:t>(0.0)</w:t>
            </w:r>
          </w:p>
        </w:tc>
      </w:tr>
      <w:tr w:rsidR="00E97403" w:rsidRPr="00E97403" w14:paraId="65171AA1"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2C9FCA33" w14:textId="77777777" w:rsidR="001832A0" w:rsidRPr="00E97403" w:rsidRDefault="001832A0">
            <w:pPr>
              <w:pStyle w:val="NormalWeb"/>
              <w:rPr>
                <w:sz w:val="18"/>
                <w:szCs w:val="18"/>
              </w:rPr>
            </w:pPr>
            <w:r w:rsidRPr="00E97403">
              <w:rPr>
                <w:sz w:val="18"/>
                <w:szCs w:val="18"/>
              </w:rPr>
              <w:t>23vPPV</w:t>
            </w:r>
          </w:p>
        </w:tc>
        <w:tc>
          <w:tcPr>
            <w:tcW w:w="1302" w:type="dxa"/>
            <w:hideMark/>
          </w:tcPr>
          <w:p w14:paraId="091CE34B" w14:textId="77777777" w:rsidR="001832A0" w:rsidRPr="00E97403" w:rsidRDefault="001832A0" w:rsidP="0086079E">
            <w:pPr>
              <w:pStyle w:val="NormalWeb"/>
              <w:jc w:val="center"/>
              <w:rPr>
                <w:sz w:val="18"/>
                <w:szCs w:val="18"/>
              </w:rPr>
            </w:pPr>
            <w:r w:rsidRPr="00E97403">
              <w:rPr>
                <w:sz w:val="18"/>
                <w:szCs w:val="18"/>
              </w:rPr>
              <w:t>270</w:t>
            </w:r>
          </w:p>
        </w:tc>
        <w:tc>
          <w:tcPr>
            <w:tcW w:w="1303" w:type="dxa"/>
            <w:hideMark/>
          </w:tcPr>
          <w:p w14:paraId="344862C7" w14:textId="77777777" w:rsidR="001832A0" w:rsidRPr="00E97403" w:rsidRDefault="001832A0" w:rsidP="0086079E">
            <w:pPr>
              <w:pStyle w:val="NormalWeb"/>
              <w:jc w:val="center"/>
              <w:rPr>
                <w:sz w:val="18"/>
                <w:szCs w:val="18"/>
              </w:rPr>
            </w:pPr>
            <w:r w:rsidRPr="00E97403">
              <w:rPr>
                <w:sz w:val="18"/>
                <w:szCs w:val="18"/>
              </w:rPr>
              <w:t>(6.4)</w:t>
            </w:r>
          </w:p>
        </w:tc>
        <w:tc>
          <w:tcPr>
            <w:tcW w:w="1303" w:type="dxa"/>
            <w:hideMark/>
          </w:tcPr>
          <w:p w14:paraId="58023E6A" w14:textId="77777777" w:rsidR="001832A0" w:rsidRPr="00E97403" w:rsidRDefault="001832A0" w:rsidP="0086079E">
            <w:pPr>
              <w:pStyle w:val="NormalWeb"/>
              <w:jc w:val="center"/>
              <w:rPr>
                <w:sz w:val="18"/>
                <w:szCs w:val="18"/>
              </w:rPr>
            </w:pPr>
            <w:r w:rsidRPr="00E97403">
              <w:rPr>
                <w:sz w:val="18"/>
                <w:szCs w:val="18"/>
              </w:rPr>
              <w:t>168</w:t>
            </w:r>
          </w:p>
        </w:tc>
        <w:tc>
          <w:tcPr>
            <w:tcW w:w="1303" w:type="dxa"/>
            <w:hideMark/>
          </w:tcPr>
          <w:p w14:paraId="69214557" w14:textId="77777777" w:rsidR="001832A0" w:rsidRPr="00E97403" w:rsidRDefault="001832A0" w:rsidP="0086079E">
            <w:pPr>
              <w:pStyle w:val="NormalWeb"/>
              <w:jc w:val="center"/>
              <w:rPr>
                <w:sz w:val="18"/>
                <w:szCs w:val="18"/>
              </w:rPr>
            </w:pPr>
            <w:r w:rsidRPr="00E97403">
              <w:rPr>
                <w:sz w:val="18"/>
                <w:szCs w:val="18"/>
              </w:rPr>
              <w:t>(62.7)</w:t>
            </w:r>
          </w:p>
        </w:tc>
        <w:tc>
          <w:tcPr>
            <w:tcW w:w="1303" w:type="dxa"/>
            <w:hideMark/>
          </w:tcPr>
          <w:p w14:paraId="3C6E1CD5" w14:textId="77777777" w:rsidR="001832A0" w:rsidRPr="00E97403" w:rsidRDefault="001832A0" w:rsidP="0086079E">
            <w:pPr>
              <w:pStyle w:val="NormalWeb"/>
              <w:jc w:val="center"/>
              <w:rPr>
                <w:sz w:val="18"/>
                <w:szCs w:val="18"/>
              </w:rPr>
            </w:pPr>
            <w:r w:rsidRPr="00E97403">
              <w:rPr>
                <w:sz w:val="18"/>
                <w:szCs w:val="18"/>
              </w:rPr>
              <w:t>31</w:t>
            </w:r>
          </w:p>
        </w:tc>
        <w:tc>
          <w:tcPr>
            <w:tcW w:w="1302" w:type="dxa"/>
            <w:hideMark/>
          </w:tcPr>
          <w:p w14:paraId="6754E561" w14:textId="77777777" w:rsidR="001832A0" w:rsidRPr="00E97403" w:rsidRDefault="001832A0" w:rsidP="0086079E">
            <w:pPr>
              <w:pStyle w:val="NormalWeb"/>
              <w:jc w:val="center"/>
              <w:rPr>
                <w:sz w:val="18"/>
                <w:szCs w:val="18"/>
              </w:rPr>
            </w:pPr>
            <w:r w:rsidRPr="00E97403">
              <w:rPr>
                <w:sz w:val="18"/>
                <w:szCs w:val="18"/>
              </w:rPr>
              <w:t>(11.5)</w:t>
            </w:r>
          </w:p>
        </w:tc>
        <w:tc>
          <w:tcPr>
            <w:tcW w:w="1303" w:type="dxa"/>
            <w:hideMark/>
          </w:tcPr>
          <w:p w14:paraId="3EF09773" w14:textId="77777777" w:rsidR="001832A0" w:rsidRPr="00E97403" w:rsidRDefault="001832A0" w:rsidP="0086079E">
            <w:pPr>
              <w:pStyle w:val="NormalWeb"/>
              <w:jc w:val="center"/>
              <w:rPr>
                <w:sz w:val="18"/>
                <w:szCs w:val="18"/>
              </w:rPr>
            </w:pPr>
            <w:r w:rsidRPr="00E97403">
              <w:rPr>
                <w:sz w:val="18"/>
                <w:szCs w:val="18"/>
              </w:rPr>
              <w:t>12</w:t>
            </w:r>
          </w:p>
        </w:tc>
        <w:tc>
          <w:tcPr>
            <w:tcW w:w="1303" w:type="dxa"/>
            <w:hideMark/>
          </w:tcPr>
          <w:p w14:paraId="2EEEEF1F" w14:textId="77777777" w:rsidR="001832A0" w:rsidRPr="00E97403" w:rsidRDefault="001832A0" w:rsidP="0086079E">
            <w:pPr>
              <w:pStyle w:val="NormalWeb"/>
              <w:jc w:val="center"/>
              <w:rPr>
                <w:sz w:val="18"/>
                <w:szCs w:val="18"/>
              </w:rPr>
            </w:pPr>
            <w:r w:rsidRPr="00E97403">
              <w:rPr>
                <w:sz w:val="18"/>
                <w:szCs w:val="18"/>
              </w:rPr>
              <w:t>(3.8)</w:t>
            </w:r>
          </w:p>
        </w:tc>
        <w:tc>
          <w:tcPr>
            <w:tcW w:w="1303" w:type="dxa"/>
            <w:hideMark/>
          </w:tcPr>
          <w:p w14:paraId="1F5831A9" w14:textId="77777777" w:rsidR="001832A0" w:rsidRPr="00E97403" w:rsidRDefault="001832A0" w:rsidP="0086079E">
            <w:pPr>
              <w:pStyle w:val="NormalWeb"/>
              <w:jc w:val="center"/>
              <w:rPr>
                <w:sz w:val="18"/>
                <w:szCs w:val="18"/>
              </w:rPr>
            </w:pPr>
            <w:r w:rsidRPr="00E97403">
              <w:rPr>
                <w:sz w:val="18"/>
                <w:szCs w:val="18"/>
              </w:rPr>
              <w:t>256</w:t>
            </w:r>
          </w:p>
        </w:tc>
        <w:tc>
          <w:tcPr>
            <w:tcW w:w="1303" w:type="dxa"/>
            <w:hideMark/>
          </w:tcPr>
          <w:p w14:paraId="1575D91E" w14:textId="77777777" w:rsidR="001832A0" w:rsidRPr="00E97403" w:rsidRDefault="001832A0" w:rsidP="0086079E">
            <w:pPr>
              <w:pStyle w:val="NormalWeb"/>
              <w:jc w:val="center"/>
              <w:rPr>
                <w:sz w:val="18"/>
                <w:szCs w:val="18"/>
              </w:rPr>
            </w:pPr>
            <w:r w:rsidRPr="00E97403">
              <w:rPr>
                <w:sz w:val="18"/>
                <w:szCs w:val="18"/>
              </w:rPr>
              <w:t>(96.2)</w:t>
            </w:r>
          </w:p>
        </w:tc>
      </w:tr>
      <w:tr w:rsidR="00E97403" w:rsidRPr="00E97403" w14:paraId="33553973" w14:textId="77777777" w:rsidTr="0086079E">
        <w:tc>
          <w:tcPr>
            <w:tcW w:w="0" w:type="auto"/>
            <w:hideMark/>
          </w:tcPr>
          <w:p w14:paraId="42657E4F" w14:textId="77777777" w:rsidR="001832A0" w:rsidRPr="00E97403" w:rsidRDefault="001832A0">
            <w:pPr>
              <w:pStyle w:val="NormalWeb"/>
              <w:rPr>
                <w:sz w:val="18"/>
                <w:szCs w:val="18"/>
              </w:rPr>
            </w:pPr>
            <w:r w:rsidRPr="00E97403">
              <w:rPr>
                <w:sz w:val="18"/>
                <w:szCs w:val="18"/>
              </w:rPr>
              <w:t>MMRV</w:t>
            </w:r>
          </w:p>
        </w:tc>
        <w:tc>
          <w:tcPr>
            <w:tcW w:w="1302" w:type="dxa"/>
            <w:hideMark/>
          </w:tcPr>
          <w:p w14:paraId="4AAB8526" w14:textId="77777777" w:rsidR="001832A0" w:rsidRPr="00E97403" w:rsidRDefault="001832A0" w:rsidP="0086079E">
            <w:pPr>
              <w:pStyle w:val="NormalWeb"/>
              <w:jc w:val="center"/>
              <w:rPr>
                <w:sz w:val="18"/>
                <w:szCs w:val="18"/>
              </w:rPr>
            </w:pPr>
            <w:r w:rsidRPr="00E97403">
              <w:rPr>
                <w:sz w:val="18"/>
                <w:szCs w:val="18"/>
              </w:rPr>
              <w:t>211</w:t>
            </w:r>
          </w:p>
        </w:tc>
        <w:tc>
          <w:tcPr>
            <w:tcW w:w="1303" w:type="dxa"/>
            <w:hideMark/>
          </w:tcPr>
          <w:p w14:paraId="311FE496" w14:textId="77777777" w:rsidR="001832A0" w:rsidRPr="00E97403" w:rsidRDefault="001832A0" w:rsidP="0086079E">
            <w:pPr>
              <w:pStyle w:val="NormalWeb"/>
              <w:jc w:val="center"/>
              <w:rPr>
                <w:sz w:val="18"/>
                <w:szCs w:val="18"/>
              </w:rPr>
            </w:pPr>
            <w:r w:rsidRPr="00E97403">
              <w:rPr>
                <w:sz w:val="18"/>
                <w:szCs w:val="18"/>
              </w:rPr>
              <w:t>(5.0)</w:t>
            </w:r>
          </w:p>
        </w:tc>
        <w:tc>
          <w:tcPr>
            <w:tcW w:w="1303" w:type="dxa"/>
            <w:hideMark/>
          </w:tcPr>
          <w:p w14:paraId="2F9129E8" w14:textId="77777777" w:rsidR="001832A0" w:rsidRPr="00E97403" w:rsidRDefault="001832A0" w:rsidP="0086079E">
            <w:pPr>
              <w:pStyle w:val="NormalWeb"/>
              <w:jc w:val="center"/>
              <w:rPr>
                <w:sz w:val="18"/>
                <w:szCs w:val="18"/>
              </w:rPr>
            </w:pPr>
            <w:r w:rsidRPr="00E97403">
              <w:rPr>
                <w:sz w:val="18"/>
                <w:szCs w:val="18"/>
              </w:rPr>
              <w:t>29</w:t>
            </w:r>
          </w:p>
        </w:tc>
        <w:tc>
          <w:tcPr>
            <w:tcW w:w="1303" w:type="dxa"/>
            <w:hideMark/>
          </w:tcPr>
          <w:p w14:paraId="6F0173D5" w14:textId="77777777" w:rsidR="001832A0" w:rsidRPr="00E97403" w:rsidRDefault="001832A0" w:rsidP="0086079E">
            <w:pPr>
              <w:pStyle w:val="NormalWeb"/>
              <w:jc w:val="center"/>
              <w:rPr>
                <w:sz w:val="18"/>
                <w:szCs w:val="18"/>
              </w:rPr>
            </w:pPr>
            <w:r w:rsidRPr="00E97403">
              <w:rPr>
                <w:sz w:val="18"/>
                <w:szCs w:val="18"/>
              </w:rPr>
              <w:t>(13.7)</w:t>
            </w:r>
          </w:p>
        </w:tc>
        <w:tc>
          <w:tcPr>
            <w:tcW w:w="1303" w:type="dxa"/>
            <w:hideMark/>
          </w:tcPr>
          <w:p w14:paraId="25C5A851" w14:textId="77777777" w:rsidR="001832A0" w:rsidRPr="00E97403" w:rsidRDefault="001832A0" w:rsidP="0086079E">
            <w:pPr>
              <w:pStyle w:val="NormalWeb"/>
              <w:jc w:val="center"/>
              <w:rPr>
                <w:sz w:val="18"/>
                <w:szCs w:val="18"/>
              </w:rPr>
            </w:pPr>
            <w:r w:rsidRPr="00E97403">
              <w:rPr>
                <w:sz w:val="18"/>
                <w:szCs w:val="18"/>
              </w:rPr>
              <w:t>23</w:t>
            </w:r>
          </w:p>
        </w:tc>
        <w:tc>
          <w:tcPr>
            <w:tcW w:w="1302" w:type="dxa"/>
            <w:hideMark/>
          </w:tcPr>
          <w:p w14:paraId="2AD701AB" w14:textId="77777777" w:rsidR="001832A0" w:rsidRPr="00E97403" w:rsidRDefault="001832A0" w:rsidP="0086079E">
            <w:pPr>
              <w:pStyle w:val="NormalWeb"/>
              <w:jc w:val="center"/>
              <w:rPr>
                <w:sz w:val="18"/>
                <w:szCs w:val="18"/>
              </w:rPr>
            </w:pPr>
            <w:r w:rsidRPr="00E97403">
              <w:rPr>
                <w:sz w:val="18"/>
                <w:szCs w:val="18"/>
              </w:rPr>
              <w:t>(10.9)</w:t>
            </w:r>
          </w:p>
        </w:tc>
        <w:tc>
          <w:tcPr>
            <w:tcW w:w="1303" w:type="dxa"/>
            <w:hideMark/>
          </w:tcPr>
          <w:p w14:paraId="1567D996" w14:textId="77777777" w:rsidR="001832A0" w:rsidRPr="00E97403" w:rsidRDefault="001832A0" w:rsidP="0086079E">
            <w:pPr>
              <w:pStyle w:val="NormalWeb"/>
              <w:jc w:val="center"/>
              <w:rPr>
                <w:sz w:val="18"/>
                <w:szCs w:val="18"/>
              </w:rPr>
            </w:pPr>
            <w:r w:rsidRPr="00E97403">
              <w:rPr>
                <w:sz w:val="18"/>
                <w:szCs w:val="18"/>
              </w:rPr>
              <w:t>206</w:t>
            </w:r>
          </w:p>
        </w:tc>
        <w:tc>
          <w:tcPr>
            <w:tcW w:w="1303" w:type="dxa"/>
            <w:hideMark/>
          </w:tcPr>
          <w:p w14:paraId="4C130883" w14:textId="77777777" w:rsidR="001832A0" w:rsidRPr="00E97403" w:rsidRDefault="001832A0" w:rsidP="0086079E">
            <w:pPr>
              <w:pStyle w:val="NormalWeb"/>
              <w:jc w:val="center"/>
              <w:rPr>
                <w:sz w:val="18"/>
                <w:szCs w:val="18"/>
              </w:rPr>
            </w:pPr>
            <w:r w:rsidRPr="00E97403">
              <w:rPr>
                <w:sz w:val="18"/>
                <w:szCs w:val="18"/>
              </w:rPr>
              <w:t>(97.6)</w:t>
            </w:r>
          </w:p>
        </w:tc>
        <w:tc>
          <w:tcPr>
            <w:tcW w:w="1303" w:type="dxa"/>
            <w:hideMark/>
          </w:tcPr>
          <w:p w14:paraId="113A6C33" w14:textId="77777777" w:rsidR="001832A0" w:rsidRPr="00E97403" w:rsidRDefault="001832A0" w:rsidP="0086079E">
            <w:pPr>
              <w:pStyle w:val="NormalWeb"/>
              <w:jc w:val="center"/>
              <w:rPr>
                <w:sz w:val="18"/>
                <w:szCs w:val="18"/>
              </w:rPr>
            </w:pPr>
            <w:r w:rsidRPr="00E97403">
              <w:rPr>
                <w:sz w:val="18"/>
                <w:szCs w:val="18"/>
              </w:rPr>
              <w:t>3</w:t>
            </w:r>
          </w:p>
        </w:tc>
        <w:tc>
          <w:tcPr>
            <w:tcW w:w="1303" w:type="dxa"/>
            <w:hideMark/>
          </w:tcPr>
          <w:p w14:paraId="09559581" w14:textId="77777777" w:rsidR="001832A0" w:rsidRPr="00E97403" w:rsidRDefault="001832A0" w:rsidP="0086079E">
            <w:pPr>
              <w:pStyle w:val="NormalWeb"/>
              <w:jc w:val="center"/>
              <w:rPr>
                <w:sz w:val="18"/>
                <w:szCs w:val="18"/>
              </w:rPr>
            </w:pPr>
            <w:r w:rsidRPr="00E97403">
              <w:rPr>
                <w:sz w:val="18"/>
                <w:szCs w:val="18"/>
              </w:rPr>
              <w:t>(1.4)</w:t>
            </w:r>
          </w:p>
        </w:tc>
      </w:tr>
      <w:tr w:rsidR="00E97403" w:rsidRPr="00E97403" w14:paraId="1F877478"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6789C478" w14:textId="77777777" w:rsidR="001832A0" w:rsidRPr="00E97403" w:rsidRDefault="001832A0">
            <w:pPr>
              <w:pStyle w:val="NormalWeb"/>
              <w:rPr>
                <w:sz w:val="18"/>
                <w:szCs w:val="18"/>
              </w:rPr>
            </w:pPr>
            <w:r w:rsidRPr="00E97403">
              <w:rPr>
                <w:sz w:val="18"/>
                <w:szCs w:val="18"/>
              </w:rPr>
              <w:t>Zoster</w:t>
            </w:r>
          </w:p>
        </w:tc>
        <w:tc>
          <w:tcPr>
            <w:tcW w:w="1302" w:type="dxa"/>
            <w:hideMark/>
          </w:tcPr>
          <w:p w14:paraId="2B432BAD" w14:textId="77777777" w:rsidR="001832A0" w:rsidRPr="00E97403" w:rsidRDefault="001832A0" w:rsidP="0086079E">
            <w:pPr>
              <w:pStyle w:val="NormalWeb"/>
              <w:jc w:val="center"/>
              <w:rPr>
                <w:sz w:val="18"/>
                <w:szCs w:val="18"/>
              </w:rPr>
            </w:pPr>
            <w:r w:rsidRPr="00E97403">
              <w:rPr>
                <w:sz w:val="18"/>
                <w:szCs w:val="18"/>
              </w:rPr>
              <w:t>135</w:t>
            </w:r>
          </w:p>
        </w:tc>
        <w:tc>
          <w:tcPr>
            <w:tcW w:w="1303" w:type="dxa"/>
            <w:hideMark/>
          </w:tcPr>
          <w:p w14:paraId="4AEF5DE5" w14:textId="77777777" w:rsidR="001832A0" w:rsidRPr="00E97403" w:rsidRDefault="001832A0" w:rsidP="0086079E">
            <w:pPr>
              <w:pStyle w:val="NormalWeb"/>
              <w:jc w:val="center"/>
              <w:rPr>
                <w:sz w:val="18"/>
                <w:szCs w:val="18"/>
              </w:rPr>
            </w:pPr>
            <w:r w:rsidRPr="00E97403">
              <w:rPr>
                <w:sz w:val="18"/>
                <w:szCs w:val="18"/>
              </w:rPr>
              <w:t>(3.2)</w:t>
            </w:r>
          </w:p>
        </w:tc>
        <w:tc>
          <w:tcPr>
            <w:tcW w:w="1303" w:type="dxa"/>
            <w:hideMark/>
          </w:tcPr>
          <w:p w14:paraId="5BF1F00F" w14:textId="77777777" w:rsidR="001832A0" w:rsidRPr="00E97403" w:rsidRDefault="001832A0" w:rsidP="0086079E">
            <w:pPr>
              <w:pStyle w:val="NormalWeb"/>
              <w:jc w:val="center"/>
              <w:rPr>
                <w:sz w:val="18"/>
                <w:szCs w:val="18"/>
              </w:rPr>
            </w:pPr>
            <w:r w:rsidRPr="00E97403">
              <w:rPr>
                <w:sz w:val="18"/>
                <w:szCs w:val="18"/>
              </w:rPr>
              <w:t>126</w:t>
            </w:r>
          </w:p>
        </w:tc>
        <w:tc>
          <w:tcPr>
            <w:tcW w:w="1303" w:type="dxa"/>
            <w:hideMark/>
          </w:tcPr>
          <w:p w14:paraId="6B934F6E" w14:textId="77777777" w:rsidR="001832A0" w:rsidRPr="00E97403" w:rsidRDefault="001832A0" w:rsidP="0086079E">
            <w:pPr>
              <w:pStyle w:val="NormalWeb"/>
              <w:jc w:val="center"/>
              <w:rPr>
                <w:sz w:val="18"/>
                <w:szCs w:val="18"/>
              </w:rPr>
            </w:pPr>
            <w:r w:rsidRPr="00E97403">
              <w:rPr>
                <w:sz w:val="18"/>
                <w:szCs w:val="18"/>
              </w:rPr>
              <w:t>(93.3)</w:t>
            </w:r>
          </w:p>
        </w:tc>
        <w:tc>
          <w:tcPr>
            <w:tcW w:w="1303" w:type="dxa"/>
            <w:hideMark/>
          </w:tcPr>
          <w:p w14:paraId="0D5B22F4" w14:textId="77777777" w:rsidR="001832A0" w:rsidRPr="00E97403" w:rsidRDefault="001832A0" w:rsidP="0086079E">
            <w:pPr>
              <w:pStyle w:val="NormalWeb"/>
              <w:jc w:val="center"/>
              <w:rPr>
                <w:sz w:val="18"/>
                <w:szCs w:val="18"/>
              </w:rPr>
            </w:pPr>
            <w:r w:rsidRPr="00E97403">
              <w:rPr>
                <w:sz w:val="18"/>
                <w:szCs w:val="18"/>
              </w:rPr>
              <w:t>23</w:t>
            </w:r>
          </w:p>
        </w:tc>
        <w:tc>
          <w:tcPr>
            <w:tcW w:w="1302" w:type="dxa"/>
            <w:hideMark/>
          </w:tcPr>
          <w:p w14:paraId="7C58A502" w14:textId="77777777" w:rsidR="001832A0" w:rsidRPr="00E97403" w:rsidRDefault="001832A0" w:rsidP="0086079E">
            <w:pPr>
              <w:pStyle w:val="NormalWeb"/>
              <w:jc w:val="center"/>
              <w:rPr>
                <w:sz w:val="18"/>
                <w:szCs w:val="18"/>
              </w:rPr>
            </w:pPr>
            <w:r w:rsidRPr="00E97403">
              <w:rPr>
                <w:sz w:val="18"/>
                <w:szCs w:val="18"/>
              </w:rPr>
              <w:t>(17.0)</w:t>
            </w:r>
          </w:p>
        </w:tc>
        <w:tc>
          <w:tcPr>
            <w:tcW w:w="1303" w:type="dxa"/>
            <w:hideMark/>
          </w:tcPr>
          <w:p w14:paraId="6FBF2AAB"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13D4E686"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699C54A8" w14:textId="77777777" w:rsidR="001832A0" w:rsidRPr="00E97403" w:rsidRDefault="001832A0" w:rsidP="0086079E">
            <w:pPr>
              <w:pStyle w:val="NormalWeb"/>
              <w:jc w:val="center"/>
              <w:rPr>
                <w:sz w:val="18"/>
                <w:szCs w:val="18"/>
              </w:rPr>
            </w:pPr>
            <w:r w:rsidRPr="00E97403">
              <w:rPr>
                <w:sz w:val="18"/>
                <w:szCs w:val="18"/>
              </w:rPr>
              <w:t>122</w:t>
            </w:r>
          </w:p>
        </w:tc>
        <w:tc>
          <w:tcPr>
            <w:tcW w:w="1303" w:type="dxa"/>
            <w:hideMark/>
          </w:tcPr>
          <w:p w14:paraId="2D6890CB" w14:textId="77777777" w:rsidR="001832A0" w:rsidRPr="00E97403" w:rsidRDefault="001832A0" w:rsidP="0086079E">
            <w:pPr>
              <w:pStyle w:val="NormalWeb"/>
              <w:jc w:val="center"/>
              <w:rPr>
                <w:sz w:val="18"/>
                <w:szCs w:val="18"/>
              </w:rPr>
            </w:pPr>
            <w:r w:rsidRPr="00E97403">
              <w:rPr>
                <w:sz w:val="18"/>
                <w:szCs w:val="18"/>
              </w:rPr>
              <w:t>(90.4)</w:t>
            </w:r>
          </w:p>
        </w:tc>
      </w:tr>
      <w:tr w:rsidR="00E97403" w:rsidRPr="00E97403" w14:paraId="4B560FEC" w14:textId="77777777" w:rsidTr="0086079E">
        <w:tc>
          <w:tcPr>
            <w:tcW w:w="0" w:type="auto"/>
            <w:hideMark/>
          </w:tcPr>
          <w:p w14:paraId="2A8BE654" w14:textId="77777777" w:rsidR="001832A0" w:rsidRPr="00E97403" w:rsidRDefault="001832A0">
            <w:pPr>
              <w:pStyle w:val="NormalWeb"/>
              <w:rPr>
                <w:sz w:val="18"/>
                <w:szCs w:val="18"/>
              </w:rPr>
            </w:pPr>
            <w:r w:rsidRPr="00E97403">
              <w:rPr>
                <w:sz w:val="18"/>
                <w:szCs w:val="18"/>
              </w:rPr>
              <w:t>Hib-MenC</w:t>
            </w:r>
          </w:p>
        </w:tc>
        <w:tc>
          <w:tcPr>
            <w:tcW w:w="1302" w:type="dxa"/>
            <w:hideMark/>
          </w:tcPr>
          <w:p w14:paraId="540FE9F9" w14:textId="77777777" w:rsidR="001832A0" w:rsidRPr="00E97403" w:rsidRDefault="001832A0" w:rsidP="0086079E">
            <w:pPr>
              <w:pStyle w:val="NormalWeb"/>
              <w:jc w:val="center"/>
              <w:rPr>
                <w:sz w:val="18"/>
                <w:szCs w:val="18"/>
              </w:rPr>
            </w:pPr>
            <w:r w:rsidRPr="00E97403">
              <w:rPr>
                <w:sz w:val="18"/>
                <w:szCs w:val="18"/>
              </w:rPr>
              <w:t>92</w:t>
            </w:r>
          </w:p>
        </w:tc>
        <w:tc>
          <w:tcPr>
            <w:tcW w:w="1303" w:type="dxa"/>
            <w:hideMark/>
          </w:tcPr>
          <w:p w14:paraId="018FDDE9" w14:textId="77777777" w:rsidR="001832A0" w:rsidRPr="00E97403" w:rsidRDefault="001832A0" w:rsidP="0086079E">
            <w:pPr>
              <w:pStyle w:val="NormalWeb"/>
              <w:jc w:val="center"/>
              <w:rPr>
                <w:sz w:val="18"/>
                <w:szCs w:val="18"/>
              </w:rPr>
            </w:pPr>
            <w:r w:rsidRPr="00E97403">
              <w:rPr>
                <w:sz w:val="18"/>
                <w:szCs w:val="18"/>
              </w:rPr>
              <w:t>(2.2)</w:t>
            </w:r>
          </w:p>
        </w:tc>
        <w:tc>
          <w:tcPr>
            <w:tcW w:w="1303" w:type="dxa"/>
            <w:hideMark/>
          </w:tcPr>
          <w:p w14:paraId="0740EF11" w14:textId="77777777" w:rsidR="001832A0" w:rsidRPr="00E97403" w:rsidRDefault="001832A0" w:rsidP="0086079E">
            <w:pPr>
              <w:pStyle w:val="NormalWeb"/>
              <w:jc w:val="center"/>
              <w:rPr>
                <w:sz w:val="18"/>
                <w:szCs w:val="18"/>
              </w:rPr>
            </w:pPr>
            <w:r w:rsidRPr="00E97403">
              <w:rPr>
                <w:sz w:val="18"/>
                <w:szCs w:val="18"/>
              </w:rPr>
              <w:t>5</w:t>
            </w:r>
          </w:p>
        </w:tc>
        <w:tc>
          <w:tcPr>
            <w:tcW w:w="1303" w:type="dxa"/>
            <w:hideMark/>
          </w:tcPr>
          <w:p w14:paraId="61201439" w14:textId="77777777" w:rsidR="001832A0" w:rsidRPr="00E97403" w:rsidRDefault="001832A0" w:rsidP="0086079E">
            <w:pPr>
              <w:pStyle w:val="NormalWeb"/>
              <w:jc w:val="center"/>
              <w:rPr>
                <w:sz w:val="18"/>
                <w:szCs w:val="18"/>
              </w:rPr>
            </w:pPr>
            <w:r w:rsidRPr="00E97403">
              <w:rPr>
                <w:sz w:val="18"/>
                <w:szCs w:val="18"/>
              </w:rPr>
              <w:t>(5.4)</w:t>
            </w:r>
          </w:p>
        </w:tc>
        <w:tc>
          <w:tcPr>
            <w:tcW w:w="1303" w:type="dxa"/>
            <w:hideMark/>
          </w:tcPr>
          <w:p w14:paraId="26B4CB21" w14:textId="77777777" w:rsidR="001832A0" w:rsidRPr="00E97403" w:rsidRDefault="001832A0" w:rsidP="0086079E">
            <w:pPr>
              <w:pStyle w:val="NormalWeb"/>
              <w:jc w:val="center"/>
              <w:rPr>
                <w:sz w:val="18"/>
                <w:szCs w:val="18"/>
              </w:rPr>
            </w:pPr>
            <w:r w:rsidRPr="00E97403">
              <w:rPr>
                <w:sz w:val="18"/>
                <w:szCs w:val="18"/>
              </w:rPr>
              <w:t>16</w:t>
            </w:r>
          </w:p>
        </w:tc>
        <w:tc>
          <w:tcPr>
            <w:tcW w:w="1302" w:type="dxa"/>
            <w:hideMark/>
          </w:tcPr>
          <w:p w14:paraId="00E168E4" w14:textId="77777777" w:rsidR="001832A0" w:rsidRPr="00E97403" w:rsidRDefault="001832A0" w:rsidP="0086079E">
            <w:pPr>
              <w:pStyle w:val="NormalWeb"/>
              <w:jc w:val="center"/>
              <w:rPr>
                <w:sz w:val="18"/>
                <w:szCs w:val="18"/>
              </w:rPr>
            </w:pPr>
            <w:r w:rsidRPr="00E97403">
              <w:rPr>
                <w:sz w:val="18"/>
                <w:szCs w:val="18"/>
              </w:rPr>
              <w:t>(17.4)</w:t>
            </w:r>
          </w:p>
        </w:tc>
        <w:tc>
          <w:tcPr>
            <w:tcW w:w="1303" w:type="dxa"/>
            <w:hideMark/>
          </w:tcPr>
          <w:p w14:paraId="62819345" w14:textId="77777777" w:rsidR="001832A0" w:rsidRPr="00E97403" w:rsidRDefault="001832A0" w:rsidP="0086079E">
            <w:pPr>
              <w:pStyle w:val="NormalWeb"/>
              <w:jc w:val="center"/>
              <w:rPr>
                <w:sz w:val="18"/>
                <w:szCs w:val="18"/>
              </w:rPr>
            </w:pPr>
            <w:r w:rsidRPr="00E97403">
              <w:rPr>
                <w:sz w:val="18"/>
                <w:szCs w:val="18"/>
              </w:rPr>
              <w:t>91</w:t>
            </w:r>
          </w:p>
        </w:tc>
        <w:tc>
          <w:tcPr>
            <w:tcW w:w="1303" w:type="dxa"/>
            <w:hideMark/>
          </w:tcPr>
          <w:p w14:paraId="1FFBB0DC" w14:textId="77777777" w:rsidR="001832A0" w:rsidRPr="00E97403" w:rsidRDefault="001832A0" w:rsidP="0086079E">
            <w:pPr>
              <w:pStyle w:val="NormalWeb"/>
              <w:jc w:val="center"/>
              <w:rPr>
                <w:sz w:val="18"/>
                <w:szCs w:val="18"/>
              </w:rPr>
            </w:pPr>
            <w:r w:rsidRPr="00E97403">
              <w:rPr>
                <w:sz w:val="18"/>
                <w:szCs w:val="18"/>
              </w:rPr>
              <w:t>(98.9)</w:t>
            </w:r>
          </w:p>
        </w:tc>
        <w:tc>
          <w:tcPr>
            <w:tcW w:w="1303" w:type="dxa"/>
            <w:hideMark/>
          </w:tcPr>
          <w:p w14:paraId="15BCB15B"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02ECA3D7" w14:textId="77777777" w:rsidR="001832A0" w:rsidRPr="00E97403" w:rsidRDefault="001832A0" w:rsidP="0086079E">
            <w:pPr>
              <w:pStyle w:val="NormalWeb"/>
              <w:jc w:val="center"/>
              <w:rPr>
                <w:sz w:val="18"/>
                <w:szCs w:val="18"/>
              </w:rPr>
            </w:pPr>
            <w:r w:rsidRPr="00E97403">
              <w:rPr>
                <w:sz w:val="18"/>
                <w:szCs w:val="18"/>
              </w:rPr>
              <w:t>(0.0)</w:t>
            </w:r>
          </w:p>
        </w:tc>
      </w:tr>
      <w:tr w:rsidR="00E97403" w:rsidRPr="00E97403" w14:paraId="14B4CBBE"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3FADC001" w14:textId="77777777" w:rsidR="001832A0" w:rsidRPr="00E97403" w:rsidRDefault="001832A0">
            <w:pPr>
              <w:pStyle w:val="NormalWeb"/>
              <w:rPr>
                <w:sz w:val="18"/>
                <w:szCs w:val="18"/>
              </w:rPr>
            </w:pPr>
            <w:r w:rsidRPr="00E97403">
              <w:rPr>
                <w:sz w:val="18"/>
                <w:szCs w:val="18"/>
              </w:rPr>
              <w:t>Hepatitis B</w:t>
            </w:r>
          </w:p>
        </w:tc>
        <w:tc>
          <w:tcPr>
            <w:tcW w:w="1302" w:type="dxa"/>
            <w:hideMark/>
          </w:tcPr>
          <w:p w14:paraId="07ABCD18" w14:textId="77777777" w:rsidR="001832A0" w:rsidRPr="00E97403" w:rsidRDefault="001832A0" w:rsidP="0086079E">
            <w:pPr>
              <w:pStyle w:val="NormalWeb"/>
              <w:jc w:val="center"/>
              <w:rPr>
                <w:sz w:val="18"/>
                <w:szCs w:val="18"/>
              </w:rPr>
            </w:pPr>
            <w:r w:rsidRPr="00E97403">
              <w:rPr>
                <w:sz w:val="18"/>
                <w:szCs w:val="18"/>
              </w:rPr>
              <w:t>58</w:t>
            </w:r>
          </w:p>
        </w:tc>
        <w:tc>
          <w:tcPr>
            <w:tcW w:w="1303" w:type="dxa"/>
            <w:hideMark/>
          </w:tcPr>
          <w:p w14:paraId="64E7C651" w14:textId="77777777" w:rsidR="001832A0" w:rsidRPr="00E97403" w:rsidRDefault="001832A0" w:rsidP="0086079E">
            <w:pPr>
              <w:pStyle w:val="NormalWeb"/>
              <w:jc w:val="center"/>
              <w:rPr>
                <w:sz w:val="18"/>
                <w:szCs w:val="18"/>
              </w:rPr>
            </w:pPr>
            <w:r w:rsidRPr="00E97403">
              <w:rPr>
                <w:sz w:val="18"/>
                <w:szCs w:val="18"/>
              </w:rPr>
              <w:t>(1.4)</w:t>
            </w:r>
          </w:p>
        </w:tc>
        <w:tc>
          <w:tcPr>
            <w:tcW w:w="1303" w:type="dxa"/>
            <w:hideMark/>
          </w:tcPr>
          <w:p w14:paraId="2AAFFEE6" w14:textId="77777777" w:rsidR="001832A0" w:rsidRPr="00E97403" w:rsidRDefault="001832A0" w:rsidP="0086079E">
            <w:pPr>
              <w:pStyle w:val="NormalWeb"/>
              <w:jc w:val="center"/>
              <w:rPr>
                <w:sz w:val="18"/>
                <w:szCs w:val="18"/>
              </w:rPr>
            </w:pPr>
            <w:r w:rsidRPr="00E97403">
              <w:rPr>
                <w:sz w:val="18"/>
                <w:szCs w:val="18"/>
              </w:rPr>
              <w:t>38</w:t>
            </w:r>
          </w:p>
        </w:tc>
        <w:tc>
          <w:tcPr>
            <w:tcW w:w="1303" w:type="dxa"/>
            <w:hideMark/>
          </w:tcPr>
          <w:p w14:paraId="3CD27F7E" w14:textId="77777777" w:rsidR="001832A0" w:rsidRPr="00E97403" w:rsidRDefault="001832A0" w:rsidP="0086079E">
            <w:pPr>
              <w:pStyle w:val="NormalWeb"/>
              <w:jc w:val="center"/>
              <w:rPr>
                <w:sz w:val="18"/>
                <w:szCs w:val="18"/>
              </w:rPr>
            </w:pPr>
            <w:r w:rsidRPr="00E97403">
              <w:rPr>
                <w:sz w:val="18"/>
                <w:szCs w:val="18"/>
              </w:rPr>
              <w:t>(65.5)</w:t>
            </w:r>
          </w:p>
        </w:tc>
        <w:tc>
          <w:tcPr>
            <w:tcW w:w="1303" w:type="dxa"/>
            <w:hideMark/>
          </w:tcPr>
          <w:p w14:paraId="7271D89E" w14:textId="77777777" w:rsidR="001832A0" w:rsidRPr="00E97403" w:rsidRDefault="001832A0" w:rsidP="0086079E">
            <w:pPr>
              <w:pStyle w:val="NormalWeb"/>
              <w:jc w:val="center"/>
              <w:rPr>
                <w:sz w:val="18"/>
                <w:szCs w:val="18"/>
              </w:rPr>
            </w:pPr>
            <w:r w:rsidRPr="00E97403">
              <w:rPr>
                <w:sz w:val="18"/>
                <w:szCs w:val="18"/>
              </w:rPr>
              <w:t>7</w:t>
            </w:r>
          </w:p>
        </w:tc>
        <w:tc>
          <w:tcPr>
            <w:tcW w:w="1302" w:type="dxa"/>
            <w:hideMark/>
          </w:tcPr>
          <w:p w14:paraId="1490090E" w14:textId="77777777" w:rsidR="001832A0" w:rsidRPr="00E97403" w:rsidRDefault="001832A0" w:rsidP="0086079E">
            <w:pPr>
              <w:pStyle w:val="NormalWeb"/>
              <w:jc w:val="center"/>
              <w:rPr>
                <w:sz w:val="18"/>
                <w:szCs w:val="18"/>
              </w:rPr>
            </w:pPr>
            <w:r w:rsidRPr="00E97403">
              <w:rPr>
                <w:sz w:val="18"/>
                <w:szCs w:val="18"/>
              </w:rPr>
              <w:t>(12.1)</w:t>
            </w:r>
          </w:p>
        </w:tc>
        <w:tc>
          <w:tcPr>
            <w:tcW w:w="1303" w:type="dxa"/>
            <w:hideMark/>
          </w:tcPr>
          <w:p w14:paraId="74B8280A" w14:textId="77777777" w:rsidR="001832A0" w:rsidRPr="00E97403" w:rsidRDefault="001832A0" w:rsidP="0086079E">
            <w:pPr>
              <w:pStyle w:val="NormalWeb"/>
              <w:jc w:val="center"/>
              <w:rPr>
                <w:sz w:val="18"/>
                <w:szCs w:val="18"/>
              </w:rPr>
            </w:pPr>
            <w:r w:rsidRPr="00E97403">
              <w:rPr>
                <w:sz w:val="18"/>
                <w:szCs w:val="18"/>
              </w:rPr>
              <w:t>10</w:t>
            </w:r>
          </w:p>
        </w:tc>
        <w:tc>
          <w:tcPr>
            <w:tcW w:w="1303" w:type="dxa"/>
            <w:hideMark/>
          </w:tcPr>
          <w:p w14:paraId="57E4EC2F" w14:textId="77777777" w:rsidR="001832A0" w:rsidRPr="00E97403" w:rsidRDefault="001832A0" w:rsidP="0086079E">
            <w:pPr>
              <w:pStyle w:val="NormalWeb"/>
              <w:jc w:val="center"/>
              <w:rPr>
                <w:sz w:val="18"/>
                <w:szCs w:val="18"/>
              </w:rPr>
            </w:pPr>
            <w:r w:rsidRPr="00E97403">
              <w:rPr>
                <w:sz w:val="18"/>
                <w:szCs w:val="18"/>
              </w:rPr>
              <w:t>(17.2)</w:t>
            </w:r>
          </w:p>
        </w:tc>
        <w:tc>
          <w:tcPr>
            <w:tcW w:w="1303" w:type="dxa"/>
            <w:hideMark/>
          </w:tcPr>
          <w:p w14:paraId="0445BE4A" w14:textId="77777777" w:rsidR="001832A0" w:rsidRPr="00E97403" w:rsidRDefault="001832A0" w:rsidP="0086079E">
            <w:pPr>
              <w:pStyle w:val="NormalWeb"/>
              <w:jc w:val="center"/>
              <w:rPr>
                <w:sz w:val="18"/>
                <w:szCs w:val="18"/>
              </w:rPr>
            </w:pPr>
            <w:r w:rsidRPr="00E97403">
              <w:rPr>
                <w:sz w:val="18"/>
                <w:szCs w:val="18"/>
              </w:rPr>
              <w:t>40</w:t>
            </w:r>
          </w:p>
        </w:tc>
        <w:tc>
          <w:tcPr>
            <w:tcW w:w="1303" w:type="dxa"/>
            <w:hideMark/>
          </w:tcPr>
          <w:p w14:paraId="02A1CFFD" w14:textId="77777777" w:rsidR="001832A0" w:rsidRPr="00E97403" w:rsidRDefault="001832A0" w:rsidP="0086079E">
            <w:pPr>
              <w:pStyle w:val="NormalWeb"/>
              <w:jc w:val="center"/>
              <w:rPr>
                <w:sz w:val="18"/>
                <w:szCs w:val="18"/>
              </w:rPr>
            </w:pPr>
            <w:r w:rsidRPr="00E97403">
              <w:rPr>
                <w:sz w:val="18"/>
                <w:szCs w:val="18"/>
              </w:rPr>
              <w:t>(69.0)</w:t>
            </w:r>
          </w:p>
        </w:tc>
      </w:tr>
      <w:tr w:rsidR="00E97403" w:rsidRPr="00E97403" w14:paraId="35692530" w14:textId="77777777" w:rsidTr="0086079E">
        <w:tc>
          <w:tcPr>
            <w:tcW w:w="0" w:type="auto"/>
            <w:hideMark/>
          </w:tcPr>
          <w:p w14:paraId="76F8FFA7" w14:textId="77777777" w:rsidR="001832A0" w:rsidRPr="00E97403" w:rsidRDefault="001832A0">
            <w:pPr>
              <w:pStyle w:val="NormalWeb"/>
              <w:rPr>
                <w:sz w:val="18"/>
                <w:szCs w:val="18"/>
              </w:rPr>
            </w:pPr>
            <w:r w:rsidRPr="00E97403">
              <w:rPr>
                <w:sz w:val="18"/>
                <w:szCs w:val="18"/>
              </w:rPr>
              <w:t>Hepatitis A</w:t>
            </w:r>
          </w:p>
        </w:tc>
        <w:tc>
          <w:tcPr>
            <w:tcW w:w="1302" w:type="dxa"/>
            <w:hideMark/>
          </w:tcPr>
          <w:p w14:paraId="4974B363" w14:textId="77777777" w:rsidR="001832A0" w:rsidRPr="00E97403" w:rsidRDefault="001832A0" w:rsidP="0086079E">
            <w:pPr>
              <w:pStyle w:val="NormalWeb"/>
              <w:jc w:val="center"/>
              <w:rPr>
                <w:sz w:val="18"/>
                <w:szCs w:val="18"/>
              </w:rPr>
            </w:pPr>
            <w:r w:rsidRPr="00E97403">
              <w:rPr>
                <w:sz w:val="18"/>
                <w:szCs w:val="18"/>
              </w:rPr>
              <w:t>49</w:t>
            </w:r>
          </w:p>
        </w:tc>
        <w:tc>
          <w:tcPr>
            <w:tcW w:w="1303" w:type="dxa"/>
            <w:hideMark/>
          </w:tcPr>
          <w:p w14:paraId="1D12B169" w14:textId="77777777" w:rsidR="001832A0" w:rsidRPr="00E97403" w:rsidRDefault="001832A0" w:rsidP="0086079E">
            <w:pPr>
              <w:pStyle w:val="NormalWeb"/>
              <w:jc w:val="center"/>
              <w:rPr>
                <w:sz w:val="18"/>
                <w:szCs w:val="18"/>
              </w:rPr>
            </w:pPr>
            <w:r w:rsidRPr="00E97403">
              <w:rPr>
                <w:sz w:val="18"/>
                <w:szCs w:val="18"/>
              </w:rPr>
              <w:t>(1.2)</w:t>
            </w:r>
          </w:p>
        </w:tc>
        <w:tc>
          <w:tcPr>
            <w:tcW w:w="1303" w:type="dxa"/>
            <w:hideMark/>
          </w:tcPr>
          <w:p w14:paraId="712CD7D1" w14:textId="77777777" w:rsidR="001832A0" w:rsidRPr="00E97403" w:rsidRDefault="001832A0" w:rsidP="0086079E">
            <w:pPr>
              <w:pStyle w:val="NormalWeb"/>
              <w:jc w:val="center"/>
              <w:rPr>
                <w:sz w:val="18"/>
                <w:szCs w:val="18"/>
              </w:rPr>
            </w:pPr>
            <w:r w:rsidRPr="00E97403">
              <w:rPr>
                <w:sz w:val="18"/>
                <w:szCs w:val="18"/>
              </w:rPr>
              <w:t>10</w:t>
            </w:r>
          </w:p>
        </w:tc>
        <w:tc>
          <w:tcPr>
            <w:tcW w:w="1303" w:type="dxa"/>
            <w:hideMark/>
          </w:tcPr>
          <w:p w14:paraId="6060627D" w14:textId="77777777" w:rsidR="001832A0" w:rsidRPr="00E97403" w:rsidRDefault="001832A0" w:rsidP="0086079E">
            <w:pPr>
              <w:pStyle w:val="NormalWeb"/>
              <w:jc w:val="center"/>
              <w:rPr>
                <w:sz w:val="18"/>
                <w:szCs w:val="18"/>
              </w:rPr>
            </w:pPr>
            <w:r w:rsidRPr="00E97403">
              <w:rPr>
                <w:sz w:val="18"/>
                <w:szCs w:val="18"/>
              </w:rPr>
              <w:t>(20.4)</w:t>
            </w:r>
          </w:p>
        </w:tc>
        <w:tc>
          <w:tcPr>
            <w:tcW w:w="1303" w:type="dxa"/>
            <w:hideMark/>
          </w:tcPr>
          <w:p w14:paraId="6CAF2F19" w14:textId="77777777" w:rsidR="001832A0" w:rsidRPr="00E97403" w:rsidRDefault="001832A0" w:rsidP="0086079E">
            <w:pPr>
              <w:pStyle w:val="NormalWeb"/>
              <w:jc w:val="center"/>
              <w:rPr>
                <w:sz w:val="18"/>
                <w:szCs w:val="18"/>
              </w:rPr>
            </w:pPr>
            <w:r w:rsidRPr="00E97403">
              <w:rPr>
                <w:sz w:val="18"/>
                <w:szCs w:val="18"/>
              </w:rPr>
              <w:t>8</w:t>
            </w:r>
          </w:p>
        </w:tc>
        <w:tc>
          <w:tcPr>
            <w:tcW w:w="1302" w:type="dxa"/>
            <w:hideMark/>
          </w:tcPr>
          <w:p w14:paraId="17AEBC2F" w14:textId="77777777" w:rsidR="001832A0" w:rsidRPr="00E97403" w:rsidRDefault="001832A0" w:rsidP="0086079E">
            <w:pPr>
              <w:pStyle w:val="NormalWeb"/>
              <w:jc w:val="center"/>
              <w:rPr>
                <w:sz w:val="18"/>
                <w:szCs w:val="18"/>
              </w:rPr>
            </w:pPr>
            <w:r w:rsidRPr="00E97403">
              <w:rPr>
                <w:sz w:val="18"/>
                <w:szCs w:val="18"/>
              </w:rPr>
              <w:t>(16.3)</w:t>
            </w:r>
          </w:p>
        </w:tc>
        <w:tc>
          <w:tcPr>
            <w:tcW w:w="1303" w:type="dxa"/>
            <w:hideMark/>
          </w:tcPr>
          <w:p w14:paraId="25761258" w14:textId="77777777" w:rsidR="001832A0" w:rsidRPr="00E97403" w:rsidRDefault="001832A0" w:rsidP="0086079E">
            <w:pPr>
              <w:pStyle w:val="NormalWeb"/>
              <w:jc w:val="center"/>
              <w:rPr>
                <w:sz w:val="18"/>
                <w:szCs w:val="18"/>
              </w:rPr>
            </w:pPr>
            <w:r w:rsidRPr="00E97403">
              <w:rPr>
                <w:sz w:val="18"/>
                <w:szCs w:val="18"/>
              </w:rPr>
              <w:t>20</w:t>
            </w:r>
          </w:p>
        </w:tc>
        <w:tc>
          <w:tcPr>
            <w:tcW w:w="1303" w:type="dxa"/>
            <w:hideMark/>
          </w:tcPr>
          <w:p w14:paraId="3DAA8772" w14:textId="77777777" w:rsidR="001832A0" w:rsidRPr="00E97403" w:rsidRDefault="001832A0" w:rsidP="0086079E">
            <w:pPr>
              <w:pStyle w:val="NormalWeb"/>
              <w:jc w:val="center"/>
              <w:rPr>
                <w:sz w:val="18"/>
                <w:szCs w:val="18"/>
              </w:rPr>
            </w:pPr>
            <w:r w:rsidRPr="00E97403">
              <w:rPr>
                <w:sz w:val="18"/>
                <w:szCs w:val="18"/>
              </w:rPr>
              <w:t>(40.8)</w:t>
            </w:r>
          </w:p>
        </w:tc>
        <w:tc>
          <w:tcPr>
            <w:tcW w:w="1303" w:type="dxa"/>
            <w:hideMark/>
          </w:tcPr>
          <w:p w14:paraId="521AF336" w14:textId="77777777" w:rsidR="001832A0" w:rsidRPr="00E97403" w:rsidRDefault="001832A0" w:rsidP="0086079E">
            <w:pPr>
              <w:pStyle w:val="NormalWeb"/>
              <w:jc w:val="center"/>
              <w:rPr>
                <w:sz w:val="18"/>
                <w:szCs w:val="18"/>
              </w:rPr>
            </w:pPr>
            <w:r w:rsidRPr="00E97403">
              <w:rPr>
                <w:sz w:val="18"/>
                <w:szCs w:val="18"/>
              </w:rPr>
              <w:t>29</w:t>
            </w:r>
          </w:p>
        </w:tc>
        <w:tc>
          <w:tcPr>
            <w:tcW w:w="1303" w:type="dxa"/>
            <w:hideMark/>
          </w:tcPr>
          <w:p w14:paraId="6EF12D70" w14:textId="77777777" w:rsidR="001832A0" w:rsidRPr="00E97403" w:rsidRDefault="001832A0" w:rsidP="0086079E">
            <w:pPr>
              <w:pStyle w:val="NormalWeb"/>
              <w:jc w:val="center"/>
              <w:rPr>
                <w:sz w:val="18"/>
                <w:szCs w:val="18"/>
              </w:rPr>
            </w:pPr>
            <w:r w:rsidRPr="00E97403">
              <w:rPr>
                <w:sz w:val="18"/>
                <w:szCs w:val="18"/>
              </w:rPr>
              <w:t>(59.2)</w:t>
            </w:r>
          </w:p>
        </w:tc>
      </w:tr>
      <w:tr w:rsidR="00E97403" w:rsidRPr="00E97403" w14:paraId="2CC40B14"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1DC473E3" w14:textId="77777777" w:rsidR="001832A0" w:rsidRPr="00E97403" w:rsidRDefault="001832A0">
            <w:pPr>
              <w:pStyle w:val="NormalWeb"/>
              <w:rPr>
                <w:sz w:val="18"/>
                <w:szCs w:val="18"/>
              </w:rPr>
            </w:pPr>
            <w:r w:rsidRPr="00E97403">
              <w:rPr>
                <w:sz w:val="18"/>
                <w:szCs w:val="18"/>
              </w:rPr>
              <w:t>Varicella</w:t>
            </w:r>
          </w:p>
        </w:tc>
        <w:tc>
          <w:tcPr>
            <w:tcW w:w="1302" w:type="dxa"/>
            <w:hideMark/>
          </w:tcPr>
          <w:p w14:paraId="149E8FF4" w14:textId="77777777" w:rsidR="001832A0" w:rsidRPr="00E97403" w:rsidRDefault="001832A0" w:rsidP="0086079E">
            <w:pPr>
              <w:pStyle w:val="NormalWeb"/>
              <w:jc w:val="center"/>
              <w:rPr>
                <w:sz w:val="18"/>
                <w:szCs w:val="18"/>
              </w:rPr>
            </w:pPr>
            <w:r w:rsidRPr="00E97403">
              <w:rPr>
                <w:sz w:val="18"/>
                <w:szCs w:val="18"/>
              </w:rPr>
              <w:t>41</w:t>
            </w:r>
          </w:p>
        </w:tc>
        <w:tc>
          <w:tcPr>
            <w:tcW w:w="1303" w:type="dxa"/>
            <w:hideMark/>
          </w:tcPr>
          <w:p w14:paraId="220537DE" w14:textId="77777777" w:rsidR="001832A0" w:rsidRPr="00E97403" w:rsidRDefault="001832A0" w:rsidP="0086079E">
            <w:pPr>
              <w:pStyle w:val="NormalWeb"/>
              <w:jc w:val="center"/>
              <w:rPr>
                <w:sz w:val="18"/>
                <w:szCs w:val="18"/>
              </w:rPr>
            </w:pPr>
            <w:r w:rsidRPr="00E97403">
              <w:rPr>
                <w:sz w:val="18"/>
                <w:szCs w:val="18"/>
              </w:rPr>
              <w:t>(1.0)</w:t>
            </w:r>
          </w:p>
        </w:tc>
        <w:tc>
          <w:tcPr>
            <w:tcW w:w="1303" w:type="dxa"/>
            <w:hideMark/>
          </w:tcPr>
          <w:p w14:paraId="3D3D0A47" w14:textId="77777777" w:rsidR="001832A0" w:rsidRPr="00E97403" w:rsidRDefault="001832A0" w:rsidP="0086079E">
            <w:pPr>
              <w:pStyle w:val="NormalWeb"/>
              <w:jc w:val="center"/>
              <w:rPr>
                <w:sz w:val="18"/>
                <w:szCs w:val="18"/>
              </w:rPr>
            </w:pPr>
            <w:r w:rsidRPr="00E97403">
              <w:rPr>
                <w:sz w:val="18"/>
                <w:szCs w:val="18"/>
              </w:rPr>
              <w:t>18</w:t>
            </w:r>
          </w:p>
        </w:tc>
        <w:tc>
          <w:tcPr>
            <w:tcW w:w="1303" w:type="dxa"/>
            <w:hideMark/>
          </w:tcPr>
          <w:p w14:paraId="69C01C55" w14:textId="77777777" w:rsidR="001832A0" w:rsidRPr="00E97403" w:rsidRDefault="001832A0" w:rsidP="0086079E">
            <w:pPr>
              <w:pStyle w:val="NormalWeb"/>
              <w:jc w:val="center"/>
              <w:rPr>
                <w:sz w:val="18"/>
                <w:szCs w:val="18"/>
              </w:rPr>
            </w:pPr>
            <w:r w:rsidRPr="00E97403">
              <w:rPr>
                <w:sz w:val="18"/>
                <w:szCs w:val="18"/>
              </w:rPr>
              <w:t>(43.9)</w:t>
            </w:r>
          </w:p>
        </w:tc>
        <w:tc>
          <w:tcPr>
            <w:tcW w:w="1303" w:type="dxa"/>
            <w:hideMark/>
          </w:tcPr>
          <w:p w14:paraId="0A0BE138" w14:textId="77777777" w:rsidR="001832A0" w:rsidRPr="00E97403" w:rsidRDefault="001832A0" w:rsidP="0086079E">
            <w:pPr>
              <w:pStyle w:val="NormalWeb"/>
              <w:jc w:val="center"/>
              <w:rPr>
                <w:sz w:val="18"/>
                <w:szCs w:val="18"/>
              </w:rPr>
            </w:pPr>
            <w:r w:rsidRPr="00E97403">
              <w:rPr>
                <w:sz w:val="18"/>
                <w:szCs w:val="18"/>
              </w:rPr>
              <w:t>5</w:t>
            </w:r>
          </w:p>
        </w:tc>
        <w:tc>
          <w:tcPr>
            <w:tcW w:w="1302" w:type="dxa"/>
            <w:hideMark/>
          </w:tcPr>
          <w:p w14:paraId="04CBC9E2" w14:textId="77777777" w:rsidR="001832A0" w:rsidRPr="00E97403" w:rsidRDefault="001832A0" w:rsidP="0086079E">
            <w:pPr>
              <w:pStyle w:val="NormalWeb"/>
              <w:jc w:val="center"/>
              <w:rPr>
                <w:sz w:val="18"/>
                <w:szCs w:val="18"/>
              </w:rPr>
            </w:pPr>
            <w:r w:rsidRPr="00E97403">
              <w:rPr>
                <w:sz w:val="18"/>
                <w:szCs w:val="18"/>
              </w:rPr>
              <w:t>(12.2)</w:t>
            </w:r>
          </w:p>
        </w:tc>
        <w:tc>
          <w:tcPr>
            <w:tcW w:w="1303" w:type="dxa"/>
            <w:hideMark/>
          </w:tcPr>
          <w:p w14:paraId="190CA0D8" w14:textId="77777777" w:rsidR="001832A0" w:rsidRPr="00E97403" w:rsidRDefault="001832A0" w:rsidP="0086079E">
            <w:pPr>
              <w:pStyle w:val="NormalWeb"/>
              <w:jc w:val="center"/>
              <w:rPr>
                <w:sz w:val="18"/>
                <w:szCs w:val="18"/>
              </w:rPr>
            </w:pPr>
            <w:r w:rsidRPr="00E97403">
              <w:rPr>
                <w:sz w:val="18"/>
                <w:szCs w:val="18"/>
              </w:rPr>
              <w:t>20</w:t>
            </w:r>
          </w:p>
        </w:tc>
        <w:tc>
          <w:tcPr>
            <w:tcW w:w="1303" w:type="dxa"/>
            <w:hideMark/>
          </w:tcPr>
          <w:p w14:paraId="14834BB9" w14:textId="77777777" w:rsidR="001832A0" w:rsidRPr="00E97403" w:rsidRDefault="001832A0" w:rsidP="0086079E">
            <w:pPr>
              <w:pStyle w:val="NormalWeb"/>
              <w:jc w:val="center"/>
              <w:rPr>
                <w:sz w:val="18"/>
                <w:szCs w:val="18"/>
              </w:rPr>
            </w:pPr>
            <w:r w:rsidRPr="00E97403">
              <w:rPr>
                <w:sz w:val="18"/>
                <w:szCs w:val="18"/>
              </w:rPr>
              <w:t>(48.8)</w:t>
            </w:r>
          </w:p>
        </w:tc>
        <w:tc>
          <w:tcPr>
            <w:tcW w:w="1303" w:type="dxa"/>
            <w:hideMark/>
          </w:tcPr>
          <w:p w14:paraId="0BFCB61A" w14:textId="77777777" w:rsidR="001832A0" w:rsidRPr="00E97403" w:rsidRDefault="001832A0" w:rsidP="0086079E">
            <w:pPr>
              <w:pStyle w:val="NormalWeb"/>
              <w:jc w:val="center"/>
              <w:rPr>
                <w:sz w:val="18"/>
                <w:szCs w:val="18"/>
              </w:rPr>
            </w:pPr>
            <w:r w:rsidRPr="00E97403">
              <w:rPr>
                <w:sz w:val="18"/>
                <w:szCs w:val="18"/>
              </w:rPr>
              <w:t>21</w:t>
            </w:r>
          </w:p>
        </w:tc>
        <w:tc>
          <w:tcPr>
            <w:tcW w:w="1303" w:type="dxa"/>
            <w:hideMark/>
          </w:tcPr>
          <w:p w14:paraId="78E2B844" w14:textId="77777777" w:rsidR="001832A0" w:rsidRPr="00E97403" w:rsidRDefault="001832A0" w:rsidP="0086079E">
            <w:pPr>
              <w:pStyle w:val="NormalWeb"/>
              <w:jc w:val="center"/>
              <w:rPr>
                <w:sz w:val="18"/>
                <w:szCs w:val="18"/>
              </w:rPr>
            </w:pPr>
            <w:r w:rsidRPr="00E97403">
              <w:rPr>
                <w:sz w:val="18"/>
                <w:szCs w:val="18"/>
              </w:rPr>
              <w:t>(51.2)</w:t>
            </w:r>
          </w:p>
        </w:tc>
      </w:tr>
      <w:tr w:rsidR="00E97403" w:rsidRPr="00E97403" w14:paraId="1CA837F0" w14:textId="77777777" w:rsidTr="0086079E">
        <w:tc>
          <w:tcPr>
            <w:tcW w:w="0" w:type="auto"/>
            <w:hideMark/>
          </w:tcPr>
          <w:p w14:paraId="77E9DA33" w14:textId="77777777" w:rsidR="001832A0" w:rsidRPr="00E97403" w:rsidRDefault="001832A0">
            <w:pPr>
              <w:pStyle w:val="NormalWeb"/>
              <w:rPr>
                <w:sz w:val="18"/>
                <w:szCs w:val="18"/>
              </w:rPr>
            </w:pPr>
            <w:r w:rsidRPr="00E97403">
              <w:rPr>
                <w:sz w:val="18"/>
                <w:szCs w:val="18"/>
              </w:rPr>
              <w:t>Typhoid</w:t>
            </w:r>
          </w:p>
        </w:tc>
        <w:tc>
          <w:tcPr>
            <w:tcW w:w="1302" w:type="dxa"/>
            <w:hideMark/>
          </w:tcPr>
          <w:p w14:paraId="6164D1DC" w14:textId="77777777" w:rsidR="001832A0" w:rsidRPr="00E97403" w:rsidRDefault="001832A0" w:rsidP="0086079E">
            <w:pPr>
              <w:pStyle w:val="NormalWeb"/>
              <w:jc w:val="center"/>
              <w:rPr>
                <w:sz w:val="18"/>
                <w:szCs w:val="18"/>
              </w:rPr>
            </w:pPr>
            <w:r w:rsidRPr="00E97403">
              <w:rPr>
                <w:sz w:val="18"/>
                <w:szCs w:val="18"/>
              </w:rPr>
              <w:t>30</w:t>
            </w:r>
          </w:p>
        </w:tc>
        <w:tc>
          <w:tcPr>
            <w:tcW w:w="1303" w:type="dxa"/>
            <w:hideMark/>
          </w:tcPr>
          <w:p w14:paraId="73D3BE29" w14:textId="77777777" w:rsidR="001832A0" w:rsidRPr="00E97403" w:rsidRDefault="001832A0" w:rsidP="0086079E">
            <w:pPr>
              <w:pStyle w:val="NormalWeb"/>
              <w:jc w:val="center"/>
              <w:rPr>
                <w:sz w:val="18"/>
                <w:szCs w:val="18"/>
              </w:rPr>
            </w:pPr>
            <w:r w:rsidRPr="00E97403">
              <w:rPr>
                <w:sz w:val="18"/>
                <w:szCs w:val="18"/>
              </w:rPr>
              <w:t>(0.7)</w:t>
            </w:r>
          </w:p>
        </w:tc>
        <w:tc>
          <w:tcPr>
            <w:tcW w:w="1303" w:type="dxa"/>
            <w:hideMark/>
          </w:tcPr>
          <w:p w14:paraId="1D33118C" w14:textId="77777777" w:rsidR="001832A0" w:rsidRPr="00E97403" w:rsidRDefault="001832A0" w:rsidP="0086079E">
            <w:pPr>
              <w:pStyle w:val="NormalWeb"/>
              <w:jc w:val="center"/>
              <w:rPr>
                <w:sz w:val="18"/>
                <w:szCs w:val="18"/>
              </w:rPr>
            </w:pPr>
            <w:r w:rsidRPr="00E97403">
              <w:rPr>
                <w:sz w:val="18"/>
                <w:szCs w:val="18"/>
              </w:rPr>
              <w:t>5</w:t>
            </w:r>
          </w:p>
        </w:tc>
        <w:tc>
          <w:tcPr>
            <w:tcW w:w="1303" w:type="dxa"/>
            <w:hideMark/>
          </w:tcPr>
          <w:p w14:paraId="4B34FC01" w14:textId="77777777" w:rsidR="001832A0" w:rsidRPr="00E97403" w:rsidRDefault="001832A0" w:rsidP="0086079E">
            <w:pPr>
              <w:pStyle w:val="NormalWeb"/>
              <w:jc w:val="center"/>
              <w:rPr>
                <w:sz w:val="18"/>
                <w:szCs w:val="18"/>
              </w:rPr>
            </w:pPr>
            <w:r w:rsidRPr="00E97403">
              <w:rPr>
                <w:sz w:val="18"/>
                <w:szCs w:val="18"/>
              </w:rPr>
              <w:t>(16.7)</w:t>
            </w:r>
          </w:p>
        </w:tc>
        <w:tc>
          <w:tcPr>
            <w:tcW w:w="1303" w:type="dxa"/>
            <w:hideMark/>
          </w:tcPr>
          <w:p w14:paraId="4AB48B87" w14:textId="77777777" w:rsidR="001832A0" w:rsidRPr="00E97403" w:rsidRDefault="001832A0" w:rsidP="0086079E">
            <w:pPr>
              <w:pStyle w:val="NormalWeb"/>
              <w:jc w:val="center"/>
              <w:rPr>
                <w:sz w:val="18"/>
                <w:szCs w:val="18"/>
              </w:rPr>
            </w:pPr>
            <w:r w:rsidRPr="00E97403">
              <w:rPr>
                <w:sz w:val="18"/>
                <w:szCs w:val="18"/>
              </w:rPr>
              <w:t>3</w:t>
            </w:r>
          </w:p>
        </w:tc>
        <w:tc>
          <w:tcPr>
            <w:tcW w:w="1302" w:type="dxa"/>
            <w:hideMark/>
          </w:tcPr>
          <w:p w14:paraId="0B5999BB" w14:textId="77777777" w:rsidR="001832A0" w:rsidRPr="00E97403" w:rsidRDefault="001832A0" w:rsidP="0086079E">
            <w:pPr>
              <w:pStyle w:val="NormalWeb"/>
              <w:jc w:val="center"/>
              <w:rPr>
                <w:sz w:val="18"/>
                <w:szCs w:val="18"/>
              </w:rPr>
            </w:pPr>
            <w:r w:rsidRPr="00E97403">
              <w:rPr>
                <w:sz w:val="18"/>
                <w:szCs w:val="18"/>
              </w:rPr>
              <w:t>(10.0)</w:t>
            </w:r>
          </w:p>
        </w:tc>
        <w:tc>
          <w:tcPr>
            <w:tcW w:w="1303" w:type="dxa"/>
            <w:hideMark/>
          </w:tcPr>
          <w:p w14:paraId="076B4CB1" w14:textId="77777777" w:rsidR="001832A0" w:rsidRPr="00E97403" w:rsidRDefault="001832A0" w:rsidP="0086079E">
            <w:pPr>
              <w:pStyle w:val="NormalWeb"/>
              <w:jc w:val="center"/>
              <w:rPr>
                <w:sz w:val="18"/>
                <w:szCs w:val="18"/>
              </w:rPr>
            </w:pPr>
            <w:r w:rsidRPr="00E97403">
              <w:rPr>
                <w:sz w:val="18"/>
                <w:szCs w:val="18"/>
              </w:rPr>
              <w:t>6</w:t>
            </w:r>
          </w:p>
        </w:tc>
        <w:tc>
          <w:tcPr>
            <w:tcW w:w="1303" w:type="dxa"/>
            <w:hideMark/>
          </w:tcPr>
          <w:p w14:paraId="3A69C6CB" w14:textId="77777777" w:rsidR="001832A0" w:rsidRPr="00E97403" w:rsidRDefault="001832A0" w:rsidP="0086079E">
            <w:pPr>
              <w:pStyle w:val="NormalWeb"/>
              <w:jc w:val="center"/>
              <w:rPr>
                <w:sz w:val="18"/>
                <w:szCs w:val="18"/>
              </w:rPr>
            </w:pPr>
            <w:r w:rsidRPr="00E97403">
              <w:rPr>
                <w:sz w:val="18"/>
                <w:szCs w:val="18"/>
              </w:rPr>
              <w:t>(20.0)</w:t>
            </w:r>
          </w:p>
        </w:tc>
        <w:tc>
          <w:tcPr>
            <w:tcW w:w="1303" w:type="dxa"/>
            <w:hideMark/>
          </w:tcPr>
          <w:p w14:paraId="06FC1ED5" w14:textId="77777777" w:rsidR="001832A0" w:rsidRPr="00E97403" w:rsidRDefault="001832A0" w:rsidP="0086079E">
            <w:pPr>
              <w:pStyle w:val="NormalWeb"/>
              <w:jc w:val="center"/>
              <w:rPr>
                <w:sz w:val="18"/>
                <w:szCs w:val="18"/>
              </w:rPr>
            </w:pPr>
            <w:r w:rsidRPr="00E97403">
              <w:rPr>
                <w:sz w:val="18"/>
                <w:szCs w:val="18"/>
              </w:rPr>
              <w:t>24</w:t>
            </w:r>
          </w:p>
        </w:tc>
        <w:tc>
          <w:tcPr>
            <w:tcW w:w="1303" w:type="dxa"/>
            <w:hideMark/>
          </w:tcPr>
          <w:p w14:paraId="113796FE" w14:textId="77777777" w:rsidR="001832A0" w:rsidRPr="00E97403" w:rsidRDefault="001832A0" w:rsidP="0086079E">
            <w:pPr>
              <w:pStyle w:val="NormalWeb"/>
              <w:jc w:val="center"/>
              <w:rPr>
                <w:sz w:val="18"/>
                <w:szCs w:val="18"/>
              </w:rPr>
            </w:pPr>
            <w:r w:rsidRPr="00E97403">
              <w:rPr>
                <w:sz w:val="18"/>
                <w:szCs w:val="18"/>
              </w:rPr>
              <w:t>(80.0)</w:t>
            </w:r>
          </w:p>
        </w:tc>
      </w:tr>
      <w:tr w:rsidR="00E97403" w:rsidRPr="00E97403" w14:paraId="2F8D7CB6"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7C76A55C" w14:textId="77777777" w:rsidR="001832A0" w:rsidRPr="00E97403" w:rsidRDefault="001832A0">
            <w:pPr>
              <w:pStyle w:val="NormalWeb"/>
              <w:rPr>
                <w:sz w:val="18"/>
                <w:szCs w:val="18"/>
              </w:rPr>
            </w:pPr>
            <w:r w:rsidRPr="00E97403">
              <w:rPr>
                <w:sz w:val="18"/>
                <w:szCs w:val="18"/>
              </w:rPr>
              <w:t>BCG</w:t>
            </w:r>
          </w:p>
        </w:tc>
        <w:tc>
          <w:tcPr>
            <w:tcW w:w="1302" w:type="dxa"/>
            <w:hideMark/>
          </w:tcPr>
          <w:p w14:paraId="6EB2BCF2" w14:textId="77777777" w:rsidR="001832A0" w:rsidRPr="00E97403" w:rsidRDefault="001832A0" w:rsidP="0086079E">
            <w:pPr>
              <w:pStyle w:val="NormalWeb"/>
              <w:jc w:val="center"/>
              <w:rPr>
                <w:sz w:val="18"/>
                <w:szCs w:val="18"/>
              </w:rPr>
            </w:pPr>
            <w:r w:rsidRPr="00E97403">
              <w:rPr>
                <w:sz w:val="18"/>
                <w:szCs w:val="18"/>
              </w:rPr>
              <w:t>23</w:t>
            </w:r>
          </w:p>
        </w:tc>
        <w:tc>
          <w:tcPr>
            <w:tcW w:w="1303" w:type="dxa"/>
            <w:hideMark/>
          </w:tcPr>
          <w:p w14:paraId="5A0779F0" w14:textId="77777777" w:rsidR="001832A0" w:rsidRPr="00E97403" w:rsidRDefault="001832A0" w:rsidP="0086079E">
            <w:pPr>
              <w:pStyle w:val="NormalWeb"/>
              <w:jc w:val="center"/>
              <w:rPr>
                <w:sz w:val="18"/>
                <w:szCs w:val="18"/>
              </w:rPr>
            </w:pPr>
            <w:r w:rsidRPr="00E97403">
              <w:rPr>
                <w:sz w:val="18"/>
                <w:szCs w:val="18"/>
              </w:rPr>
              <w:t>(0.5)</w:t>
            </w:r>
          </w:p>
        </w:tc>
        <w:tc>
          <w:tcPr>
            <w:tcW w:w="1303" w:type="dxa"/>
            <w:hideMark/>
          </w:tcPr>
          <w:p w14:paraId="6BDDC6EC" w14:textId="77777777" w:rsidR="001832A0" w:rsidRPr="00E97403" w:rsidRDefault="001832A0" w:rsidP="0086079E">
            <w:pPr>
              <w:pStyle w:val="NormalWeb"/>
              <w:jc w:val="center"/>
              <w:rPr>
                <w:sz w:val="18"/>
                <w:szCs w:val="18"/>
              </w:rPr>
            </w:pPr>
            <w:r w:rsidRPr="00E97403">
              <w:rPr>
                <w:sz w:val="18"/>
                <w:szCs w:val="18"/>
              </w:rPr>
              <w:t>20</w:t>
            </w:r>
          </w:p>
        </w:tc>
        <w:tc>
          <w:tcPr>
            <w:tcW w:w="1303" w:type="dxa"/>
            <w:hideMark/>
          </w:tcPr>
          <w:p w14:paraId="36254AAA" w14:textId="77777777" w:rsidR="001832A0" w:rsidRPr="00E97403" w:rsidRDefault="001832A0" w:rsidP="0086079E">
            <w:pPr>
              <w:pStyle w:val="NormalWeb"/>
              <w:jc w:val="center"/>
              <w:rPr>
                <w:sz w:val="18"/>
                <w:szCs w:val="18"/>
              </w:rPr>
            </w:pPr>
            <w:r w:rsidRPr="00E97403">
              <w:rPr>
                <w:sz w:val="18"/>
                <w:szCs w:val="18"/>
              </w:rPr>
              <w:t>(87.0)</w:t>
            </w:r>
          </w:p>
        </w:tc>
        <w:tc>
          <w:tcPr>
            <w:tcW w:w="1303" w:type="dxa"/>
            <w:hideMark/>
          </w:tcPr>
          <w:p w14:paraId="4FAE2A35" w14:textId="77777777" w:rsidR="001832A0" w:rsidRPr="00E97403" w:rsidRDefault="001832A0" w:rsidP="0086079E">
            <w:pPr>
              <w:pStyle w:val="NormalWeb"/>
              <w:jc w:val="center"/>
              <w:rPr>
                <w:sz w:val="18"/>
                <w:szCs w:val="18"/>
              </w:rPr>
            </w:pPr>
            <w:r w:rsidRPr="00E97403">
              <w:rPr>
                <w:sz w:val="18"/>
                <w:szCs w:val="18"/>
              </w:rPr>
              <w:t>4</w:t>
            </w:r>
          </w:p>
        </w:tc>
        <w:tc>
          <w:tcPr>
            <w:tcW w:w="1302" w:type="dxa"/>
            <w:hideMark/>
          </w:tcPr>
          <w:p w14:paraId="679613E9" w14:textId="77777777" w:rsidR="001832A0" w:rsidRPr="00E97403" w:rsidRDefault="001832A0" w:rsidP="0086079E">
            <w:pPr>
              <w:pStyle w:val="NormalWeb"/>
              <w:jc w:val="center"/>
              <w:rPr>
                <w:sz w:val="18"/>
                <w:szCs w:val="18"/>
              </w:rPr>
            </w:pPr>
            <w:r w:rsidRPr="00E97403">
              <w:rPr>
                <w:sz w:val="18"/>
                <w:szCs w:val="18"/>
              </w:rPr>
              <w:t>(17.4)</w:t>
            </w:r>
          </w:p>
        </w:tc>
        <w:tc>
          <w:tcPr>
            <w:tcW w:w="1303" w:type="dxa"/>
            <w:hideMark/>
          </w:tcPr>
          <w:p w14:paraId="0386B7A0" w14:textId="77777777" w:rsidR="001832A0" w:rsidRPr="00E97403" w:rsidRDefault="001832A0" w:rsidP="0086079E">
            <w:pPr>
              <w:pStyle w:val="NormalWeb"/>
              <w:jc w:val="center"/>
              <w:rPr>
                <w:sz w:val="18"/>
                <w:szCs w:val="18"/>
              </w:rPr>
            </w:pPr>
            <w:r w:rsidRPr="00E97403">
              <w:rPr>
                <w:sz w:val="18"/>
                <w:szCs w:val="18"/>
              </w:rPr>
              <w:t>18</w:t>
            </w:r>
          </w:p>
        </w:tc>
        <w:tc>
          <w:tcPr>
            <w:tcW w:w="1303" w:type="dxa"/>
            <w:hideMark/>
          </w:tcPr>
          <w:p w14:paraId="623F30C4" w14:textId="77777777" w:rsidR="001832A0" w:rsidRPr="00E97403" w:rsidRDefault="001832A0" w:rsidP="0086079E">
            <w:pPr>
              <w:pStyle w:val="NormalWeb"/>
              <w:jc w:val="center"/>
              <w:rPr>
                <w:sz w:val="18"/>
                <w:szCs w:val="18"/>
              </w:rPr>
            </w:pPr>
            <w:r w:rsidRPr="00E97403">
              <w:rPr>
                <w:sz w:val="18"/>
                <w:szCs w:val="18"/>
              </w:rPr>
              <w:t>(78.3)</w:t>
            </w:r>
          </w:p>
        </w:tc>
        <w:tc>
          <w:tcPr>
            <w:tcW w:w="1303" w:type="dxa"/>
            <w:hideMark/>
          </w:tcPr>
          <w:p w14:paraId="2D3EBF86"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5B4635DE" w14:textId="77777777" w:rsidR="001832A0" w:rsidRPr="00E97403" w:rsidRDefault="001832A0" w:rsidP="0086079E">
            <w:pPr>
              <w:pStyle w:val="NormalWeb"/>
              <w:jc w:val="center"/>
              <w:rPr>
                <w:sz w:val="18"/>
                <w:szCs w:val="18"/>
              </w:rPr>
            </w:pPr>
            <w:r w:rsidRPr="00E97403">
              <w:rPr>
                <w:sz w:val="18"/>
                <w:szCs w:val="18"/>
              </w:rPr>
              <w:t>(0.0)</w:t>
            </w:r>
          </w:p>
        </w:tc>
      </w:tr>
      <w:tr w:rsidR="00E97403" w:rsidRPr="00E97403" w14:paraId="72E9F15D" w14:textId="77777777" w:rsidTr="0086079E">
        <w:tc>
          <w:tcPr>
            <w:tcW w:w="0" w:type="auto"/>
            <w:hideMark/>
          </w:tcPr>
          <w:p w14:paraId="61F61DA5" w14:textId="77777777" w:rsidR="001832A0" w:rsidRPr="00E97403" w:rsidRDefault="001832A0">
            <w:pPr>
              <w:pStyle w:val="NormalWeb"/>
              <w:rPr>
                <w:sz w:val="18"/>
                <w:szCs w:val="18"/>
              </w:rPr>
            </w:pPr>
            <w:r w:rsidRPr="00E97403">
              <w:rPr>
                <w:sz w:val="18"/>
                <w:szCs w:val="18"/>
              </w:rPr>
              <w:t>Hepatitis A-Typhoid</w:t>
            </w:r>
          </w:p>
        </w:tc>
        <w:tc>
          <w:tcPr>
            <w:tcW w:w="1302" w:type="dxa"/>
            <w:hideMark/>
          </w:tcPr>
          <w:p w14:paraId="39DC2061" w14:textId="77777777" w:rsidR="001832A0" w:rsidRPr="00E97403" w:rsidRDefault="001832A0" w:rsidP="0086079E">
            <w:pPr>
              <w:pStyle w:val="NormalWeb"/>
              <w:jc w:val="center"/>
              <w:rPr>
                <w:sz w:val="18"/>
                <w:szCs w:val="18"/>
              </w:rPr>
            </w:pPr>
            <w:r w:rsidRPr="00E97403">
              <w:rPr>
                <w:sz w:val="18"/>
                <w:szCs w:val="18"/>
              </w:rPr>
              <w:t>21</w:t>
            </w:r>
          </w:p>
        </w:tc>
        <w:tc>
          <w:tcPr>
            <w:tcW w:w="1303" w:type="dxa"/>
            <w:hideMark/>
          </w:tcPr>
          <w:p w14:paraId="4CD2F01F" w14:textId="77777777" w:rsidR="001832A0" w:rsidRPr="00E97403" w:rsidRDefault="001832A0" w:rsidP="0086079E">
            <w:pPr>
              <w:pStyle w:val="NormalWeb"/>
              <w:jc w:val="center"/>
              <w:rPr>
                <w:sz w:val="18"/>
                <w:szCs w:val="18"/>
              </w:rPr>
            </w:pPr>
            <w:r w:rsidRPr="00E97403">
              <w:rPr>
                <w:sz w:val="18"/>
                <w:szCs w:val="18"/>
              </w:rPr>
              <w:t>(0.5)</w:t>
            </w:r>
          </w:p>
        </w:tc>
        <w:tc>
          <w:tcPr>
            <w:tcW w:w="1303" w:type="dxa"/>
            <w:hideMark/>
          </w:tcPr>
          <w:p w14:paraId="5352A8A8" w14:textId="77777777" w:rsidR="001832A0" w:rsidRPr="00E97403" w:rsidRDefault="001832A0" w:rsidP="0086079E">
            <w:pPr>
              <w:pStyle w:val="NormalWeb"/>
              <w:jc w:val="center"/>
              <w:rPr>
                <w:sz w:val="18"/>
                <w:szCs w:val="18"/>
              </w:rPr>
            </w:pPr>
            <w:r w:rsidRPr="00E97403">
              <w:rPr>
                <w:sz w:val="18"/>
                <w:szCs w:val="18"/>
              </w:rPr>
              <w:t>11</w:t>
            </w:r>
          </w:p>
        </w:tc>
        <w:tc>
          <w:tcPr>
            <w:tcW w:w="1303" w:type="dxa"/>
            <w:hideMark/>
          </w:tcPr>
          <w:p w14:paraId="251D153E" w14:textId="77777777" w:rsidR="001832A0" w:rsidRPr="00E97403" w:rsidRDefault="001832A0" w:rsidP="0086079E">
            <w:pPr>
              <w:pStyle w:val="NormalWeb"/>
              <w:jc w:val="center"/>
              <w:rPr>
                <w:sz w:val="18"/>
                <w:szCs w:val="18"/>
              </w:rPr>
            </w:pPr>
            <w:r w:rsidRPr="00E97403">
              <w:rPr>
                <w:sz w:val="18"/>
                <w:szCs w:val="18"/>
              </w:rPr>
              <w:t>(52.4)</w:t>
            </w:r>
          </w:p>
        </w:tc>
        <w:tc>
          <w:tcPr>
            <w:tcW w:w="1303" w:type="dxa"/>
            <w:hideMark/>
          </w:tcPr>
          <w:p w14:paraId="67C4A7B0" w14:textId="77777777" w:rsidR="001832A0" w:rsidRPr="00E97403" w:rsidRDefault="001832A0" w:rsidP="0086079E">
            <w:pPr>
              <w:pStyle w:val="NormalWeb"/>
              <w:jc w:val="center"/>
              <w:rPr>
                <w:sz w:val="18"/>
                <w:szCs w:val="18"/>
              </w:rPr>
            </w:pPr>
            <w:r w:rsidRPr="00E97403">
              <w:rPr>
                <w:sz w:val="18"/>
                <w:szCs w:val="18"/>
              </w:rPr>
              <w:t>3</w:t>
            </w:r>
          </w:p>
        </w:tc>
        <w:tc>
          <w:tcPr>
            <w:tcW w:w="1302" w:type="dxa"/>
            <w:hideMark/>
          </w:tcPr>
          <w:p w14:paraId="7E6205AB" w14:textId="77777777" w:rsidR="001832A0" w:rsidRPr="00E97403" w:rsidRDefault="001832A0" w:rsidP="0086079E">
            <w:pPr>
              <w:pStyle w:val="NormalWeb"/>
              <w:jc w:val="center"/>
              <w:rPr>
                <w:sz w:val="18"/>
                <w:szCs w:val="18"/>
              </w:rPr>
            </w:pPr>
            <w:r w:rsidRPr="00E97403">
              <w:rPr>
                <w:sz w:val="18"/>
                <w:szCs w:val="18"/>
              </w:rPr>
              <w:t>(14.3)</w:t>
            </w:r>
          </w:p>
        </w:tc>
        <w:tc>
          <w:tcPr>
            <w:tcW w:w="1303" w:type="dxa"/>
            <w:hideMark/>
          </w:tcPr>
          <w:p w14:paraId="11805F32"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04D0AE33"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54B7945F" w14:textId="77777777" w:rsidR="001832A0" w:rsidRPr="00E97403" w:rsidRDefault="001832A0" w:rsidP="0086079E">
            <w:pPr>
              <w:pStyle w:val="NormalWeb"/>
              <w:jc w:val="center"/>
              <w:rPr>
                <w:sz w:val="18"/>
                <w:szCs w:val="18"/>
              </w:rPr>
            </w:pPr>
            <w:r w:rsidRPr="00E97403">
              <w:rPr>
                <w:sz w:val="18"/>
                <w:szCs w:val="18"/>
              </w:rPr>
              <w:t>19</w:t>
            </w:r>
          </w:p>
        </w:tc>
        <w:tc>
          <w:tcPr>
            <w:tcW w:w="1303" w:type="dxa"/>
            <w:hideMark/>
          </w:tcPr>
          <w:p w14:paraId="21C3E30B" w14:textId="77777777" w:rsidR="001832A0" w:rsidRPr="00E97403" w:rsidRDefault="001832A0" w:rsidP="0086079E">
            <w:pPr>
              <w:pStyle w:val="NormalWeb"/>
              <w:jc w:val="center"/>
              <w:rPr>
                <w:sz w:val="18"/>
                <w:szCs w:val="18"/>
              </w:rPr>
            </w:pPr>
            <w:r w:rsidRPr="00E97403">
              <w:rPr>
                <w:sz w:val="18"/>
                <w:szCs w:val="18"/>
              </w:rPr>
              <w:t>(90.5)</w:t>
            </w:r>
          </w:p>
        </w:tc>
      </w:tr>
      <w:tr w:rsidR="00E97403" w:rsidRPr="00E97403" w14:paraId="00C85575"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13DD6ADC" w14:textId="77777777" w:rsidR="001832A0" w:rsidRPr="00E97403" w:rsidRDefault="001832A0">
            <w:pPr>
              <w:pStyle w:val="NormalWeb"/>
              <w:rPr>
                <w:sz w:val="18"/>
                <w:szCs w:val="18"/>
              </w:rPr>
            </w:pPr>
            <w:r w:rsidRPr="00E97403">
              <w:rPr>
                <w:sz w:val="18"/>
                <w:szCs w:val="18"/>
              </w:rPr>
              <w:t>dT</w:t>
            </w:r>
          </w:p>
        </w:tc>
        <w:tc>
          <w:tcPr>
            <w:tcW w:w="1302" w:type="dxa"/>
            <w:hideMark/>
          </w:tcPr>
          <w:p w14:paraId="305926F4" w14:textId="77777777" w:rsidR="001832A0" w:rsidRPr="00E97403" w:rsidRDefault="001832A0" w:rsidP="0086079E">
            <w:pPr>
              <w:pStyle w:val="NormalWeb"/>
              <w:jc w:val="center"/>
              <w:rPr>
                <w:sz w:val="18"/>
                <w:szCs w:val="18"/>
              </w:rPr>
            </w:pPr>
            <w:r w:rsidRPr="00E97403">
              <w:rPr>
                <w:sz w:val="18"/>
                <w:szCs w:val="18"/>
              </w:rPr>
              <w:t>20</w:t>
            </w:r>
          </w:p>
        </w:tc>
        <w:tc>
          <w:tcPr>
            <w:tcW w:w="1303" w:type="dxa"/>
            <w:hideMark/>
          </w:tcPr>
          <w:p w14:paraId="67383ED9" w14:textId="77777777" w:rsidR="001832A0" w:rsidRPr="00E97403" w:rsidRDefault="001832A0" w:rsidP="0086079E">
            <w:pPr>
              <w:pStyle w:val="NormalWeb"/>
              <w:jc w:val="center"/>
              <w:rPr>
                <w:sz w:val="18"/>
                <w:szCs w:val="18"/>
              </w:rPr>
            </w:pPr>
            <w:r w:rsidRPr="00E97403">
              <w:rPr>
                <w:sz w:val="18"/>
                <w:szCs w:val="18"/>
              </w:rPr>
              <w:t>(0.5)</w:t>
            </w:r>
          </w:p>
        </w:tc>
        <w:tc>
          <w:tcPr>
            <w:tcW w:w="1303" w:type="dxa"/>
            <w:hideMark/>
          </w:tcPr>
          <w:p w14:paraId="73CFED5C" w14:textId="77777777" w:rsidR="001832A0" w:rsidRPr="00E97403" w:rsidRDefault="001832A0" w:rsidP="0086079E">
            <w:pPr>
              <w:pStyle w:val="NormalWeb"/>
              <w:jc w:val="center"/>
              <w:rPr>
                <w:sz w:val="18"/>
                <w:szCs w:val="18"/>
              </w:rPr>
            </w:pPr>
            <w:r w:rsidRPr="00E97403">
              <w:rPr>
                <w:sz w:val="18"/>
                <w:szCs w:val="18"/>
              </w:rPr>
              <w:t>13</w:t>
            </w:r>
          </w:p>
        </w:tc>
        <w:tc>
          <w:tcPr>
            <w:tcW w:w="1303" w:type="dxa"/>
            <w:hideMark/>
          </w:tcPr>
          <w:p w14:paraId="0AD1DD28" w14:textId="77777777" w:rsidR="001832A0" w:rsidRPr="00E97403" w:rsidRDefault="001832A0" w:rsidP="0086079E">
            <w:pPr>
              <w:pStyle w:val="NormalWeb"/>
              <w:jc w:val="center"/>
              <w:rPr>
                <w:sz w:val="18"/>
                <w:szCs w:val="18"/>
              </w:rPr>
            </w:pPr>
            <w:r w:rsidRPr="00E97403">
              <w:rPr>
                <w:sz w:val="18"/>
                <w:szCs w:val="18"/>
              </w:rPr>
              <w:t>(65.0)</w:t>
            </w:r>
          </w:p>
        </w:tc>
        <w:tc>
          <w:tcPr>
            <w:tcW w:w="1303" w:type="dxa"/>
            <w:hideMark/>
          </w:tcPr>
          <w:p w14:paraId="301E0F64" w14:textId="77777777" w:rsidR="001832A0" w:rsidRPr="00E97403" w:rsidRDefault="001832A0" w:rsidP="0086079E">
            <w:pPr>
              <w:pStyle w:val="NormalWeb"/>
              <w:jc w:val="center"/>
              <w:rPr>
                <w:sz w:val="18"/>
                <w:szCs w:val="18"/>
              </w:rPr>
            </w:pPr>
            <w:r w:rsidRPr="00E97403">
              <w:rPr>
                <w:sz w:val="18"/>
                <w:szCs w:val="18"/>
              </w:rPr>
              <w:t>1</w:t>
            </w:r>
          </w:p>
        </w:tc>
        <w:tc>
          <w:tcPr>
            <w:tcW w:w="1302" w:type="dxa"/>
            <w:hideMark/>
          </w:tcPr>
          <w:p w14:paraId="0C412A3A" w14:textId="77777777" w:rsidR="001832A0" w:rsidRPr="00E97403" w:rsidRDefault="001832A0" w:rsidP="0086079E">
            <w:pPr>
              <w:pStyle w:val="NormalWeb"/>
              <w:jc w:val="center"/>
              <w:rPr>
                <w:sz w:val="18"/>
                <w:szCs w:val="18"/>
              </w:rPr>
            </w:pPr>
            <w:r w:rsidRPr="00E97403">
              <w:rPr>
                <w:sz w:val="18"/>
                <w:szCs w:val="18"/>
              </w:rPr>
              <w:t>(5.0)</w:t>
            </w:r>
          </w:p>
        </w:tc>
        <w:tc>
          <w:tcPr>
            <w:tcW w:w="1303" w:type="dxa"/>
            <w:hideMark/>
          </w:tcPr>
          <w:p w14:paraId="3AFD9DB5"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2E97E9CB"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14F0DDB3" w14:textId="77777777" w:rsidR="001832A0" w:rsidRPr="00E97403" w:rsidRDefault="001832A0" w:rsidP="0086079E">
            <w:pPr>
              <w:pStyle w:val="NormalWeb"/>
              <w:jc w:val="center"/>
              <w:rPr>
                <w:sz w:val="18"/>
                <w:szCs w:val="18"/>
              </w:rPr>
            </w:pPr>
            <w:r w:rsidRPr="00E97403">
              <w:rPr>
                <w:sz w:val="18"/>
                <w:szCs w:val="18"/>
              </w:rPr>
              <w:t>20</w:t>
            </w:r>
          </w:p>
        </w:tc>
        <w:tc>
          <w:tcPr>
            <w:tcW w:w="1303" w:type="dxa"/>
            <w:hideMark/>
          </w:tcPr>
          <w:p w14:paraId="7775E468" w14:textId="77777777" w:rsidR="001832A0" w:rsidRPr="00E97403" w:rsidRDefault="001832A0" w:rsidP="0086079E">
            <w:pPr>
              <w:pStyle w:val="NormalWeb"/>
              <w:jc w:val="center"/>
              <w:rPr>
                <w:sz w:val="18"/>
                <w:szCs w:val="18"/>
              </w:rPr>
            </w:pPr>
            <w:r w:rsidRPr="00E97403">
              <w:rPr>
                <w:sz w:val="18"/>
                <w:szCs w:val="18"/>
              </w:rPr>
              <w:t>(100.0)</w:t>
            </w:r>
          </w:p>
        </w:tc>
      </w:tr>
      <w:tr w:rsidR="00E97403" w:rsidRPr="00E97403" w14:paraId="7EF8E6B3" w14:textId="77777777" w:rsidTr="0086079E">
        <w:tc>
          <w:tcPr>
            <w:tcW w:w="0" w:type="auto"/>
            <w:hideMark/>
          </w:tcPr>
          <w:p w14:paraId="20831DBB" w14:textId="77777777" w:rsidR="001832A0" w:rsidRPr="00E97403" w:rsidRDefault="001832A0">
            <w:pPr>
              <w:pStyle w:val="NormalWeb"/>
              <w:rPr>
                <w:sz w:val="18"/>
                <w:szCs w:val="18"/>
              </w:rPr>
            </w:pPr>
            <w:r w:rsidRPr="00E97403">
              <w:rPr>
                <w:sz w:val="18"/>
                <w:szCs w:val="18"/>
              </w:rPr>
              <w:t>Rabies</w:t>
            </w:r>
          </w:p>
        </w:tc>
        <w:tc>
          <w:tcPr>
            <w:tcW w:w="1302" w:type="dxa"/>
            <w:hideMark/>
          </w:tcPr>
          <w:p w14:paraId="61185990" w14:textId="77777777" w:rsidR="001832A0" w:rsidRPr="00E97403" w:rsidRDefault="001832A0" w:rsidP="0086079E">
            <w:pPr>
              <w:pStyle w:val="NormalWeb"/>
              <w:jc w:val="center"/>
              <w:rPr>
                <w:sz w:val="18"/>
                <w:szCs w:val="18"/>
              </w:rPr>
            </w:pPr>
            <w:r w:rsidRPr="00E97403">
              <w:rPr>
                <w:sz w:val="18"/>
                <w:szCs w:val="18"/>
              </w:rPr>
              <w:t>19</w:t>
            </w:r>
          </w:p>
        </w:tc>
        <w:tc>
          <w:tcPr>
            <w:tcW w:w="1303" w:type="dxa"/>
            <w:hideMark/>
          </w:tcPr>
          <w:p w14:paraId="7E30CB5A" w14:textId="77777777" w:rsidR="001832A0" w:rsidRPr="00E97403" w:rsidRDefault="001832A0" w:rsidP="0086079E">
            <w:pPr>
              <w:pStyle w:val="NormalWeb"/>
              <w:jc w:val="center"/>
              <w:rPr>
                <w:sz w:val="18"/>
                <w:szCs w:val="18"/>
              </w:rPr>
            </w:pPr>
            <w:r w:rsidRPr="00E97403">
              <w:rPr>
                <w:sz w:val="18"/>
                <w:szCs w:val="18"/>
              </w:rPr>
              <w:t>(0.5)</w:t>
            </w:r>
          </w:p>
        </w:tc>
        <w:tc>
          <w:tcPr>
            <w:tcW w:w="1303" w:type="dxa"/>
            <w:hideMark/>
          </w:tcPr>
          <w:p w14:paraId="30F642B8" w14:textId="77777777" w:rsidR="001832A0" w:rsidRPr="00E97403" w:rsidRDefault="001832A0" w:rsidP="0086079E">
            <w:pPr>
              <w:pStyle w:val="NormalWeb"/>
              <w:jc w:val="center"/>
              <w:rPr>
                <w:sz w:val="18"/>
                <w:szCs w:val="18"/>
              </w:rPr>
            </w:pPr>
            <w:r w:rsidRPr="00E97403">
              <w:rPr>
                <w:sz w:val="18"/>
                <w:szCs w:val="18"/>
              </w:rPr>
              <w:t>13</w:t>
            </w:r>
          </w:p>
        </w:tc>
        <w:tc>
          <w:tcPr>
            <w:tcW w:w="1303" w:type="dxa"/>
            <w:hideMark/>
          </w:tcPr>
          <w:p w14:paraId="726A4C9B" w14:textId="77777777" w:rsidR="001832A0" w:rsidRPr="00E97403" w:rsidRDefault="001832A0" w:rsidP="0086079E">
            <w:pPr>
              <w:pStyle w:val="NormalWeb"/>
              <w:jc w:val="center"/>
              <w:rPr>
                <w:sz w:val="18"/>
                <w:szCs w:val="18"/>
              </w:rPr>
            </w:pPr>
            <w:r w:rsidRPr="00E97403">
              <w:rPr>
                <w:sz w:val="18"/>
                <w:szCs w:val="18"/>
              </w:rPr>
              <w:t>(68.4)</w:t>
            </w:r>
          </w:p>
        </w:tc>
        <w:tc>
          <w:tcPr>
            <w:tcW w:w="1303" w:type="dxa"/>
            <w:hideMark/>
          </w:tcPr>
          <w:p w14:paraId="7309C640" w14:textId="77777777" w:rsidR="001832A0" w:rsidRPr="00E97403" w:rsidRDefault="001832A0" w:rsidP="0086079E">
            <w:pPr>
              <w:pStyle w:val="NormalWeb"/>
              <w:jc w:val="center"/>
              <w:rPr>
                <w:sz w:val="18"/>
                <w:szCs w:val="18"/>
              </w:rPr>
            </w:pPr>
            <w:r w:rsidRPr="00E97403">
              <w:rPr>
                <w:sz w:val="18"/>
                <w:szCs w:val="18"/>
              </w:rPr>
              <w:t>4</w:t>
            </w:r>
          </w:p>
        </w:tc>
        <w:tc>
          <w:tcPr>
            <w:tcW w:w="1302" w:type="dxa"/>
            <w:hideMark/>
          </w:tcPr>
          <w:p w14:paraId="59076D79" w14:textId="77777777" w:rsidR="001832A0" w:rsidRPr="00E97403" w:rsidRDefault="001832A0" w:rsidP="0086079E">
            <w:pPr>
              <w:pStyle w:val="NormalWeb"/>
              <w:jc w:val="center"/>
              <w:rPr>
                <w:sz w:val="18"/>
                <w:szCs w:val="18"/>
              </w:rPr>
            </w:pPr>
            <w:r w:rsidRPr="00E97403">
              <w:rPr>
                <w:sz w:val="18"/>
                <w:szCs w:val="18"/>
              </w:rPr>
              <w:t>(21.1)</w:t>
            </w:r>
          </w:p>
        </w:tc>
        <w:tc>
          <w:tcPr>
            <w:tcW w:w="1303" w:type="dxa"/>
            <w:hideMark/>
          </w:tcPr>
          <w:p w14:paraId="0CFFAE46"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47CD7BCF"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31139FDF" w14:textId="77777777" w:rsidR="001832A0" w:rsidRPr="00E97403" w:rsidRDefault="001832A0" w:rsidP="0086079E">
            <w:pPr>
              <w:pStyle w:val="NormalWeb"/>
              <w:jc w:val="center"/>
              <w:rPr>
                <w:sz w:val="18"/>
                <w:szCs w:val="18"/>
              </w:rPr>
            </w:pPr>
            <w:r w:rsidRPr="00E97403">
              <w:rPr>
                <w:sz w:val="18"/>
                <w:szCs w:val="18"/>
              </w:rPr>
              <w:t>19</w:t>
            </w:r>
          </w:p>
        </w:tc>
        <w:tc>
          <w:tcPr>
            <w:tcW w:w="1303" w:type="dxa"/>
            <w:hideMark/>
          </w:tcPr>
          <w:p w14:paraId="58E90886" w14:textId="77777777" w:rsidR="001832A0" w:rsidRPr="00E97403" w:rsidRDefault="001832A0" w:rsidP="0086079E">
            <w:pPr>
              <w:pStyle w:val="NormalWeb"/>
              <w:jc w:val="center"/>
              <w:rPr>
                <w:sz w:val="18"/>
                <w:szCs w:val="18"/>
              </w:rPr>
            </w:pPr>
            <w:r w:rsidRPr="00E97403">
              <w:rPr>
                <w:sz w:val="18"/>
                <w:szCs w:val="18"/>
              </w:rPr>
              <w:t>(100.0)</w:t>
            </w:r>
          </w:p>
        </w:tc>
      </w:tr>
      <w:tr w:rsidR="00E97403" w:rsidRPr="00E97403" w14:paraId="375821C2"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2DB7620E" w14:textId="77777777" w:rsidR="001832A0" w:rsidRPr="00E97403" w:rsidRDefault="001832A0">
            <w:pPr>
              <w:pStyle w:val="NormalWeb"/>
              <w:rPr>
                <w:sz w:val="18"/>
                <w:szCs w:val="18"/>
              </w:rPr>
            </w:pPr>
            <w:r w:rsidRPr="00E97403">
              <w:rPr>
                <w:sz w:val="18"/>
                <w:szCs w:val="18"/>
              </w:rPr>
              <w:t>Hepatitis A + B</w:t>
            </w:r>
          </w:p>
        </w:tc>
        <w:tc>
          <w:tcPr>
            <w:tcW w:w="1302" w:type="dxa"/>
            <w:hideMark/>
          </w:tcPr>
          <w:p w14:paraId="6F3984D5" w14:textId="77777777" w:rsidR="001832A0" w:rsidRPr="00E97403" w:rsidRDefault="001832A0" w:rsidP="0086079E">
            <w:pPr>
              <w:pStyle w:val="NormalWeb"/>
              <w:jc w:val="center"/>
              <w:rPr>
                <w:sz w:val="18"/>
                <w:szCs w:val="18"/>
              </w:rPr>
            </w:pPr>
            <w:r w:rsidRPr="00E97403">
              <w:rPr>
                <w:sz w:val="18"/>
                <w:szCs w:val="18"/>
              </w:rPr>
              <w:t>14</w:t>
            </w:r>
          </w:p>
        </w:tc>
        <w:tc>
          <w:tcPr>
            <w:tcW w:w="1303" w:type="dxa"/>
            <w:hideMark/>
          </w:tcPr>
          <w:p w14:paraId="0CA9BFBD" w14:textId="77777777" w:rsidR="001832A0" w:rsidRPr="00E97403" w:rsidRDefault="001832A0" w:rsidP="0086079E">
            <w:pPr>
              <w:pStyle w:val="NormalWeb"/>
              <w:jc w:val="center"/>
              <w:rPr>
                <w:sz w:val="18"/>
                <w:szCs w:val="18"/>
              </w:rPr>
            </w:pPr>
            <w:r w:rsidRPr="00E97403">
              <w:rPr>
                <w:sz w:val="18"/>
                <w:szCs w:val="18"/>
              </w:rPr>
              <w:t>(0.3)</w:t>
            </w:r>
          </w:p>
        </w:tc>
        <w:tc>
          <w:tcPr>
            <w:tcW w:w="1303" w:type="dxa"/>
            <w:hideMark/>
          </w:tcPr>
          <w:p w14:paraId="672D7FE9" w14:textId="77777777" w:rsidR="001832A0" w:rsidRPr="00E97403" w:rsidRDefault="001832A0" w:rsidP="0086079E">
            <w:pPr>
              <w:pStyle w:val="NormalWeb"/>
              <w:jc w:val="center"/>
              <w:rPr>
                <w:sz w:val="18"/>
                <w:szCs w:val="18"/>
              </w:rPr>
            </w:pPr>
            <w:r w:rsidRPr="00E97403">
              <w:rPr>
                <w:sz w:val="18"/>
                <w:szCs w:val="18"/>
              </w:rPr>
              <w:t>38</w:t>
            </w:r>
          </w:p>
        </w:tc>
        <w:tc>
          <w:tcPr>
            <w:tcW w:w="1303" w:type="dxa"/>
            <w:hideMark/>
          </w:tcPr>
          <w:p w14:paraId="57910E12" w14:textId="77777777" w:rsidR="001832A0" w:rsidRPr="00E97403" w:rsidRDefault="001832A0" w:rsidP="0086079E">
            <w:pPr>
              <w:pStyle w:val="NormalWeb"/>
              <w:jc w:val="center"/>
              <w:rPr>
                <w:sz w:val="18"/>
                <w:szCs w:val="18"/>
              </w:rPr>
            </w:pPr>
            <w:r w:rsidRPr="00E97403">
              <w:rPr>
                <w:sz w:val="18"/>
                <w:szCs w:val="18"/>
              </w:rPr>
              <w:t>(271.4)</w:t>
            </w:r>
          </w:p>
        </w:tc>
        <w:tc>
          <w:tcPr>
            <w:tcW w:w="1303" w:type="dxa"/>
            <w:hideMark/>
          </w:tcPr>
          <w:p w14:paraId="72D5AF1D" w14:textId="77777777" w:rsidR="001832A0" w:rsidRPr="00E97403" w:rsidRDefault="001832A0" w:rsidP="0086079E">
            <w:pPr>
              <w:pStyle w:val="NormalWeb"/>
              <w:jc w:val="center"/>
              <w:rPr>
                <w:sz w:val="18"/>
                <w:szCs w:val="18"/>
              </w:rPr>
            </w:pPr>
            <w:r w:rsidRPr="00E97403">
              <w:rPr>
                <w:sz w:val="18"/>
                <w:szCs w:val="18"/>
              </w:rPr>
              <w:t>2</w:t>
            </w:r>
          </w:p>
        </w:tc>
        <w:tc>
          <w:tcPr>
            <w:tcW w:w="1302" w:type="dxa"/>
            <w:hideMark/>
          </w:tcPr>
          <w:p w14:paraId="0AABDEEE" w14:textId="77777777" w:rsidR="001832A0" w:rsidRPr="00E97403" w:rsidRDefault="001832A0" w:rsidP="0086079E">
            <w:pPr>
              <w:pStyle w:val="NormalWeb"/>
              <w:jc w:val="center"/>
              <w:rPr>
                <w:sz w:val="18"/>
                <w:szCs w:val="18"/>
              </w:rPr>
            </w:pPr>
            <w:r w:rsidRPr="00E97403">
              <w:rPr>
                <w:sz w:val="18"/>
                <w:szCs w:val="18"/>
              </w:rPr>
              <w:t>(14.3)</w:t>
            </w:r>
          </w:p>
        </w:tc>
        <w:tc>
          <w:tcPr>
            <w:tcW w:w="1303" w:type="dxa"/>
            <w:hideMark/>
          </w:tcPr>
          <w:p w14:paraId="7E93F971"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0DD571F8"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5081EBC5" w14:textId="77777777" w:rsidR="001832A0" w:rsidRPr="00E97403" w:rsidRDefault="001832A0" w:rsidP="0086079E">
            <w:pPr>
              <w:pStyle w:val="NormalWeb"/>
              <w:jc w:val="center"/>
              <w:rPr>
                <w:sz w:val="18"/>
                <w:szCs w:val="18"/>
              </w:rPr>
            </w:pPr>
            <w:r w:rsidRPr="00E97403">
              <w:rPr>
                <w:sz w:val="18"/>
                <w:szCs w:val="18"/>
              </w:rPr>
              <w:t>13</w:t>
            </w:r>
          </w:p>
        </w:tc>
        <w:tc>
          <w:tcPr>
            <w:tcW w:w="1303" w:type="dxa"/>
            <w:hideMark/>
          </w:tcPr>
          <w:p w14:paraId="233EB2A5" w14:textId="77777777" w:rsidR="001832A0" w:rsidRPr="00E97403" w:rsidRDefault="001832A0" w:rsidP="0086079E">
            <w:pPr>
              <w:pStyle w:val="NormalWeb"/>
              <w:jc w:val="center"/>
              <w:rPr>
                <w:sz w:val="18"/>
                <w:szCs w:val="18"/>
              </w:rPr>
            </w:pPr>
            <w:r w:rsidRPr="00E97403">
              <w:rPr>
                <w:sz w:val="18"/>
                <w:szCs w:val="18"/>
              </w:rPr>
              <w:t>(92.9)</w:t>
            </w:r>
          </w:p>
        </w:tc>
      </w:tr>
      <w:tr w:rsidR="00E97403" w:rsidRPr="00E97403" w14:paraId="6DC19B00" w14:textId="77777777" w:rsidTr="0086079E">
        <w:tc>
          <w:tcPr>
            <w:tcW w:w="0" w:type="auto"/>
            <w:hideMark/>
          </w:tcPr>
          <w:p w14:paraId="4B13E3B2" w14:textId="77777777" w:rsidR="001832A0" w:rsidRPr="00E97403" w:rsidRDefault="001832A0">
            <w:pPr>
              <w:pStyle w:val="NormalWeb"/>
              <w:rPr>
                <w:sz w:val="18"/>
                <w:szCs w:val="18"/>
              </w:rPr>
            </w:pPr>
            <w:r w:rsidRPr="00E97403">
              <w:rPr>
                <w:sz w:val="18"/>
                <w:szCs w:val="18"/>
              </w:rPr>
              <w:t>Hib</w:t>
            </w:r>
          </w:p>
        </w:tc>
        <w:tc>
          <w:tcPr>
            <w:tcW w:w="1302" w:type="dxa"/>
            <w:hideMark/>
          </w:tcPr>
          <w:p w14:paraId="551303CC" w14:textId="77777777" w:rsidR="001832A0" w:rsidRPr="00E97403" w:rsidRDefault="001832A0" w:rsidP="0086079E">
            <w:pPr>
              <w:pStyle w:val="NormalWeb"/>
              <w:jc w:val="center"/>
              <w:rPr>
                <w:sz w:val="18"/>
                <w:szCs w:val="18"/>
              </w:rPr>
            </w:pPr>
            <w:r w:rsidRPr="00E97403">
              <w:rPr>
                <w:sz w:val="18"/>
                <w:szCs w:val="18"/>
              </w:rPr>
              <w:t>13</w:t>
            </w:r>
          </w:p>
        </w:tc>
        <w:tc>
          <w:tcPr>
            <w:tcW w:w="1303" w:type="dxa"/>
            <w:hideMark/>
          </w:tcPr>
          <w:p w14:paraId="558584AC" w14:textId="77777777" w:rsidR="001832A0" w:rsidRPr="00E97403" w:rsidRDefault="001832A0" w:rsidP="0086079E">
            <w:pPr>
              <w:pStyle w:val="NormalWeb"/>
              <w:jc w:val="center"/>
              <w:rPr>
                <w:sz w:val="18"/>
                <w:szCs w:val="18"/>
              </w:rPr>
            </w:pPr>
            <w:r w:rsidRPr="00E97403">
              <w:rPr>
                <w:sz w:val="18"/>
                <w:szCs w:val="18"/>
              </w:rPr>
              <w:t>(0.3)</w:t>
            </w:r>
          </w:p>
        </w:tc>
        <w:tc>
          <w:tcPr>
            <w:tcW w:w="1303" w:type="dxa"/>
            <w:hideMark/>
          </w:tcPr>
          <w:p w14:paraId="7E3F92F9"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67F64826"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6E3AD702" w14:textId="77777777" w:rsidR="001832A0" w:rsidRPr="00E97403" w:rsidRDefault="001832A0" w:rsidP="0086079E">
            <w:pPr>
              <w:pStyle w:val="NormalWeb"/>
              <w:jc w:val="center"/>
              <w:rPr>
                <w:sz w:val="18"/>
                <w:szCs w:val="18"/>
              </w:rPr>
            </w:pPr>
            <w:r w:rsidRPr="00E97403">
              <w:rPr>
                <w:sz w:val="18"/>
                <w:szCs w:val="18"/>
              </w:rPr>
              <w:t>1</w:t>
            </w:r>
          </w:p>
        </w:tc>
        <w:tc>
          <w:tcPr>
            <w:tcW w:w="1302" w:type="dxa"/>
            <w:hideMark/>
          </w:tcPr>
          <w:p w14:paraId="62575592" w14:textId="77777777" w:rsidR="001832A0" w:rsidRPr="00E97403" w:rsidRDefault="001832A0" w:rsidP="0086079E">
            <w:pPr>
              <w:pStyle w:val="NormalWeb"/>
              <w:jc w:val="center"/>
              <w:rPr>
                <w:sz w:val="18"/>
                <w:szCs w:val="18"/>
              </w:rPr>
            </w:pPr>
            <w:r w:rsidRPr="00E97403">
              <w:rPr>
                <w:sz w:val="18"/>
                <w:szCs w:val="18"/>
              </w:rPr>
              <w:t>(7.7)</w:t>
            </w:r>
          </w:p>
        </w:tc>
        <w:tc>
          <w:tcPr>
            <w:tcW w:w="1303" w:type="dxa"/>
            <w:hideMark/>
          </w:tcPr>
          <w:p w14:paraId="4B7AA6F8" w14:textId="77777777" w:rsidR="001832A0" w:rsidRPr="00E97403" w:rsidRDefault="001832A0" w:rsidP="0086079E">
            <w:pPr>
              <w:pStyle w:val="NormalWeb"/>
              <w:jc w:val="center"/>
              <w:rPr>
                <w:sz w:val="18"/>
                <w:szCs w:val="18"/>
              </w:rPr>
            </w:pPr>
            <w:r w:rsidRPr="00E97403">
              <w:rPr>
                <w:sz w:val="18"/>
                <w:szCs w:val="18"/>
              </w:rPr>
              <w:t>13</w:t>
            </w:r>
          </w:p>
        </w:tc>
        <w:tc>
          <w:tcPr>
            <w:tcW w:w="1303" w:type="dxa"/>
            <w:hideMark/>
          </w:tcPr>
          <w:p w14:paraId="3B644545" w14:textId="77777777" w:rsidR="001832A0" w:rsidRPr="00E97403" w:rsidRDefault="001832A0" w:rsidP="0086079E">
            <w:pPr>
              <w:pStyle w:val="NormalWeb"/>
              <w:jc w:val="center"/>
              <w:rPr>
                <w:sz w:val="18"/>
                <w:szCs w:val="18"/>
              </w:rPr>
            </w:pPr>
            <w:r w:rsidRPr="00E97403">
              <w:rPr>
                <w:sz w:val="18"/>
                <w:szCs w:val="18"/>
              </w:rPr>
              <w:t>(100.0)</w:t>
            </w:r>
          </w:p>
        </w:tc>
        <w:tc>
          <w:tcPr>
            <w:tcW w:w="1303" w:type="dxa"/>
            <w:hideMark/>
          </w:tcPr>
          <w:p w14:paraId="10C2455B"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07EB6D02" w14:textId="77777777" w:rsidR="001832A0" w:rsidRPr="00E97403" w:rsidRDefault="001832A0" w:rsidP="0086079E">
            <w:pPr>
              <w:pStyle w:val="NormalWeb"/>
              <w:jc w:val="center"/>
              <w:rPr>
                <w:sz w:val="18"/>
                <w:szCs w:val="18"/>
              </w:rPr>
            </w:pPr>
            <w:r w:rsidRPr="00E97403">
              <w:rPr>
                <w:sz w:val="18"/>
                <w:szCs w:val="18"/>
              </w:rPr>
              <w:t>(0.0)</w:t>
            </w:r>
          </w:p>
        </w:tc>
      </w:tr>
      <w:tr w:rsidR="00E97403" w:rsidRPr="00E97403" w14:paraId="403D843C"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37642E76" w14:textId="77777777" w:rsidR="001832A0" w:rsidRPr="00E97403" w:rsidRDefault="001832A0">
            <w:pPr>
              <w:pStyle w:val="NormalWeb"/>
              <w:rPr>
                <w:sz w:val="18"/>
                <w:szCs w:val="18"/>
              </w:rPr>
            </w:pPr>
            <w:r w:rsidRPr="00E97403">
              <w:rPr>
                <w:sz w:val="18"/>
                <w:szCs w:val="18"/>
              </w:rPr>
              <w:t>IPV</w:t>
            </w:r>
          </w:p>
        </w:tc>
        <w:tc>
          <w:tcPr>
            <w:tcW w:w="1302" w:type="dxa"/>
            <w:hideMark/>
          </w:tcPr>
          <w:p w14:paraId="1957283B" w14:textId="77777777" w:rsidR="001832A0" w:rsidRPr="00E97403" w:rsidRDefault="001832A0" w:rsidP="0086079E">
            <w:pPr>
              <w:pStyle w:val="NormalWeb"/>
              <w:jc w:val="center"/>
              <w:rPr>
                <w:sz w:val="18"/>
                <w:szCs w:val="18"/>
              </w:rPr>
            </w:pPr>
            <w:r w:rsidRPr="00E97403">
              <w:rPr>
                <w:sz w:val="18"/>
                <w:szCs w:val="18"/>
              </w:rPr>
              <w:t>9</w:t>
            </w:r>
          </w:p>
        </w:tc>
        <w:tc>
          <w:tcPr>
            <w:tcW w:w="1303" w:type="dxa"/>
            <w:hideMark/>
          </w:tcPr>
          <w:p w14:paraId="3FAF1E39" w14:textId="77777777" w:rsidR="001832A0" w:rsidRPr="00E97403" w:rsidRDefault="001832A0" w:rsidP="0086079E">
            <w:pPr>
              <w:pStyle w:val="NormalWeb"/>
              <w:jc w:val="center"/>
              <w:rPr>
                <w:sz w:val="18"/>
                <w:szCs w:val="18"/>
              </w:rPr>
            </w:pPr>
            <w:r w:rsidRPr="00E97403">
              <w:rPr>
                <w:sz w:val="18"/>
                <w:szCs w:val="18"/>
              </w:rPr>
              <w:t>(0.2)</w:t>
            </w:r>
          </w:p>
        </w:tc>
        <w:tc>
          <w:tcPr>
            <w:tcW w:w="1303" w:type="dxa"/>
            <w:hideMark/>
          </w:tcPr>
          <w:p w14:paraId="3C2752CA" w14:textId="77777777" w:rsidR="001832A0" w:rsidRPr="00E97403" w:rsidRDefault="001832A0" w:rsidP="0086079E">
            <w:pPr>
              <w:pStyle w:val="NormalWeb"/>
              <w:jc w:val="center"/>
              <w:rPr>
                <w:sz w:val="18"/>
                <w:szCs w:val="18"/>
              </w:rPr>
            </w:pPr>
            <w:r w:rsidRPr="00E97403">
              <w:rPr>
                <w:sz w:val="18"/>
                <w:szCs w:val="18"/>
              </w:rPr>
              <w:t>3</w:t>
            </w:r>
          </w:p>
        </w:tc>
        <w:tc>
          <w:tcPr>
            <w:tcW w:w="1303" w:type="dxa"/>
            <w:hideMark/>
          </w:tcPr>
          <w:p w14:paraId="4B9FE04E" w14:textId="77777777" w:rsidR="001832A0" w:rsidRPr="00E97403" w:rsidRDefault="001832A0" w:rsidP="0086079E">
            <w:pPr>
              <w:pStyle w:val="NormalWeb"/>
              <w:jc w:val="center"/>
              <w:rPr>
                <w:sz w:val="18"/>
                <w:szCs w:val="18"/>
              </w:rPr>
            </w:pPr>
            <w:r w:rsidRPr="00E97403">
              <w:rPr>
                <w:sz w:val="18"/>
                <w:szCs w:val="18"/>
              </w:rPr>
              <w:t>(33.3)</w:t>
            </w:r>
          </w:p>
        </w:tc>
        <w:tc>
          <w:tcPr>
            <w:tcW w:w="1303" w:type="dxa"/>
            <w:hideMark/>
          </w:tcPr>
          <w:p w14:paraId="4F6CF0C5" w14:textId="77777777" w:rsidR="001832A0" w:rsidRPr="00E97403" w:rsidRDefault="001832A0" w:rsidP="0086079E">
            <w:pPr>
              <w:pStyle w:val="NormalWeb"/>
              <w:jc w:val="center"/>
              <w:rPr>
                <w:sz w:val="18"/>
                <w:szCs w:val="18"/>
              </w:rPr>
            </w:pPr>
            <w:r w:rsidRPr="00E97403">
              <w:rPr>
                <w:sz w:val="18"/>
                <w:szCs w:val="18"/>
              </w:rPr>
              <w:t>0</w:t>
            </w:r>
          </w:p>
        </w:tc>
        <w:tc>
          <w:tcPr>
            <w:tcW w:w="1302" w:type="dxa"/>
            <w:hideMark/>
          </w:tcPr>
          <w:p w14:paraId="215D86A4"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1C030996" w14:textId="77777777" w:rsidR="001832A0" w:rsidRPr="00E97403" w:rsidRDefault="001832A0" w:rsidP="0086079E">
            <w:pPr>
              <w:pStyle w:val="NormalWeb"/>
              <w:jc w:val="center"/>
              <w:rPr>
                <w:sz w:val="18"/>
                <w:szCs w:val="18"/>
              </w:rPr>
            </w:pPr>
            <w:r w:rsidRPr="00E97403">
              <w:rPr>
                <w:sz w:val="18"/>
                <w:szCs w:val="18"/>
              </w:rPr>
              <w:t>2</w:t>
            </w:r>
          </w:p>
        </w:tc>
        <w:tc>
          <w:tcPr>
            <w:tcW w:w="1303" w:type="dxa"/>
            <w:hideMark/>
          </w:tcPr>
          <w:p w14:paraId="3B938853" w14:textId="77777777" w:rsidR="001832A0" w:rsidRPr="00E97403" w:rsidRDefault="001832A0" w:rsidP="0086079E">
            <w:pPr>
              <w:pStyle w:val="NormalWeb"/>
              <w:jc w:val="center"/>
              <w:rPr>
                <w:sz w:val="18"/>
                <w:szCs w:val="18"/>
              </w:rPr>
            </w:pPr>
            <w:r w:rsidRPr="00E97403">
              <w:rPr>
                <w:sz w:val="18"/>
                <w:szCs w:val="18"/>
              </w:rPr>
              <w:t>(22.2)</w:t>
            </w:r>
          </w:p>
        </w:tc>
        <w:tc>
          <w:tcPr>
            <w:tcW w:w="1303" w:type="dxa"/>
            <w:hideMark/>
          </w:tcPr>
          <w:p w14:paraId="25E1A0E9" w14:textId="77777777" w:rsidR="001832A0" w:rsidRPr="00E97403" w:rsidRDefault="001832A0" w:rsidP="0086079E">
            <w:pPr>
              <w:pStyle w:val="NormalWeb"/>
              <w:jc w:val="center"/>
              <w:rPr>
                <w:sz w:val="18"/>
                <w:szCs w:val="18"/>
              </w:rPr>
            </w:pPr>
            <w:r w:rsidRPr="00E97403">
              <w:rPr>
                <w:sz w:val="18"/>
                <w:szCs w:val="18"/>
              </w:rPr>
              <w:t>6</w:t>
            </w:r>
          </w:p>
        </w:tc>
        <w:tc>
          <w:tcPr>
            <w:tcW w:w="1303" w:type="dxa"/>
            <w:hideMark/>
          </w:tcPr>
          <w:p w14:paraId="5BE6CC6E" w14:textId="77777777" w:rsidR="001832A0" w:rsidRPr="00E97403" w:rsidRDefault="001832A0" w:rsidP="0086079E">
            <w:pPr>
              <w:pStyle w:val="NormalWeb"/>
              <w:jc w:val="center"/>
              <w:rPr>
                <w:sz w:val="18"/>
                <w:szCs w:val="18"/>
              </w:rPr>
            </w:pPr>
            <w:r w:rsidRPr="00E97403">
              <w:rPr>
                <w:sz w:val="18"/>
                <w:szCs w:val="18"/>
              </w:rPr>
              <w:t>(66.7)</w:t>
            </w:r>
          </w:p>
        </w:tc>
      </w:tr>
      <w:tr w:rsidR="00E97403" w:rsidRPr="00E97403" w14:paraId="4F8AFC19" w14:textId="77777777" w:rsidTr="0086079E">
        <w:tc>
          <w:tcPr>
            <w:tcW w:w="0" w:type="auto"/>
            <w:hideMark/>
          </w:tcPr>
          <w:p w14:paraId="1306B755" w14:textId="77777777" w:rsidR="001832A0" w:rsidRPr="00E97403" w:rsidRDefault="001832A0">
            <w:pPr>
              <w:pStyle w:val="NormalWeb"/>
              <w:rPr>
                <w:sz w:val="18"/>
                <w:szCs w:val="18"/>
              </w:rPr>
            </w:pPr>
            <w:r w:rsidRPr="00E97403">
              <w:rPr>
                <w:sz w:val="18"/>
                <w:szCs w:val="18"/>
              </w:rPr>
              <w:lastRenderedPageBreak/>
              <w:t>MenCCV</w:t>
            </w:r>
          </w:p>
        </w:tc>
        <w:tc>
          <w:tcPr>
            <w:tcW w:w="1302" w:type="dxa"/>
            <w:hideMark/>
          </w:tcPr>
          <w:p w14:paraId="03B400F0" w14:textId="77777777" w:rsidR="001832A0" w:rsidRPr="00E97403" w:rsidRDefault="001832A0" w:rsidP="0086079E">
            <w:pPr>
              <w:pStyle w:val="NormalWeb"/>
              <w:jc w:val="center"/>
              <w:rPr>
                <w:sz w:val="18"/>
                <w:szCs w:val="18"/>
              </w:rPr>
            </w:pPr>
            <w:r w:rsidRPr="00E97403">
              <w:rPr>
                <w:sz w:val="18"/>
                <w:szCs w:val="18"/>
              </w:rPr>
              <w:t>8</w:t>
            </w:r>
          </w:p>
        </w:tc>
        <w:tc>
          <w:tcPr>
            <w:tcW w:w="1303" w:type="dxa"/>
            <w:hideMark/>
          </w:tcPr>
          <w:p w14:paraId="2B94AE7C" w14:textId="77777777" w:rsidR="001832A0" w:rsidRPr="00E97403" w:rsidRDefault="001832A0" w:rsidP="0086079E">
            <w:pPr>
              <w:pStyle w:val="NormalWeb"/>
              <w:jc w:val="center"/>
              <w:rPr>
                <w:sz w:val="18"/>
                <w:szCs w:val="18"/>
              </w:rPr>
            </w:pPr>
            <w:r w:rsidRPr="00E97403">
              <w:rPr>
                <w:sz w:val="18"/>
                <w:szCs w:val="18"/>
              </w:rPr>
              <w:t>(0.2)</w:t>
            </w:r>
          </w:p>
        </w:tc>
        <w:tc>
          <w:tcPr>
            <w:tcW w:w="1303" w:type="dxa"/>
            <w:hideMark/>
          </w:tcPr>
          <w:p w14:paraId="01F6A6D7" w14:textId="77777777" w:rsidR="001832A0" w:rsidRPr="00E97403" w:rsidRDefault="001832A0" w:rsidP="0086079E">
            <w:pPr>
              <w:pStyle w:val="NormalWeb"/>
              <w:jc w:val="center"/>
              <w:rPr>
                <w:sz w:val="18"/>
                <w:szCs w:val="18"/>
              </w:rPr>
            </w:pPr>
            <w:r w:rsidRPr="00E97403">
              <w:rPr>
                <w:sz w:val="18"/>
                <w:szCs w:val="18"/>
              </w:rPr>
              <w:t>3</w:t>
            </w:r>
          </w:p>
        </w:tc>
        <w:tc>
          <w:tcPr>
            <w:tcW w:w="1303" w:type="dxa"/>
            <w:hideMark/>
          </w:tcPr>
          <w:p w14:paraId="6E6B26C6" w14:textId="77777777" w:rsidR="001832A0" w:rsidRPr="00E97403" w:rsidRDefault="001832A0" w:rsidP="0086079E">
            <w:pPr>
              <w:pStyle w:val="NormalWeb"/>
              <w:jc w:val="center"/>
              <w:rPr>
                <w:sz w:val="18"/>
                <w:szCs w:val="18"/>
              </w:rPr>
            </w:pPr>
            <w:r w:rsidRPr="00E97403">
              <w:rPr>
                <w:sz w:val="18"/>
                <w:szCs w:val="18"/>
              </w:rPr>
              <w:t>(37.5)</w:t>
            </w:r>
          </w:p>
        </w:tc>
        <w:tc>
          <w:tcPr>
            <w:tcW w:w="1303" w:type="dxa"/>
            <w:hideMark/>
          </w:tcPr>
          <w:p w14:paraId="1FBB5B44" w14:textId="77777777" w:rsidR="001832A0" w:rsidRPr="00E97403" w:rsidRDefault="001832A0" w:rsidP="0086079E">
            <w:pPr>
              <w:pStyle w:val="NormalWeb"/>
              <w:jc w:val="center"/>
              <w:rPr>
                <w:sz w:val="18"/>
                <w:szCs w:val="18"/>
              </w:rPr>
            </w:pPr>
            <w:r w:rsidRPr="00E97403">
              <w:rPr>
                <w:sz w:val="18"/>
                <w:szCs w:val="18"/>
              </w:rPr>
              <w:t>3</w:t>
            </w:r>
          </w:p>
        </w:tc>
        <w:tc>
          <w:tcPr>
            <w:tcW w:w="1302" w:type="dxa"/>
            <w:hideMark/>
          </w:tcPr>
          <w:p w14:paraId="71A9084E" w14:textId="77777777" w:rsidR="001832A0" w:rsidRPr="00E97403" w:rsidRDefault="001832A0" w:rsidP="0086079E">
            <w:pPr>
              <w:pStyle w:val="NormalWeb"/>
              <w:jc w:val="center"/>
              <w:rPr>
                <w:sz w:val="18"/>
                <w:szCs w:val="18"/>
              </w:rPr>
            </w:pPr>
            <w:r w:rsidRPr="00E97403">
              <w:rPr>
                <w:sz w:val="18"/>
                <w:szCs w:val="18"/>
              </w:rPr>
              <w:t>(37.5)</w:t>
            </w:r>
          </w:p>
        </w:tc>
        <w:tc>
          <w:tcPr>
            <w:tcW w:w="1303" w:type="dxa"/>
            <w:hideMark/>
          </w:tcPr>
          <w:p w14:paraId="7CB098E9" w14:textId="77777777" w:rsidR="001832A0" w:rsidRPr="00E97403" w:rsidRDefault="001832A0" w:rsidP="0086079E">
            <w:pPr>
              <w:pStyle w:val="NormalWeb"/>
              <w:jc w:val="center"/>
              <w:rPr>
                <w:sz w:val="18"/>
                <w:szCs w:val="18"/>
              </w:rPr>
            </w:pPr>
            <w:r w:rsidRPr="00E97403">
              <w:rPr>
                <w:sz w:val="18"/>
                <w:szCs w:val="18"/>
              </w:rPr>
              <w:t>2</w:t>
            </w:r>
          </w:p>
        </w:tc>
        <w:tc>
          <w:tcPr>
            <w:tcW w:w="1303" w:type="dxa"/>
            <w:hideMark/>
          </w:tcPr>
          <w:p w14:paraId="1DE71729" w14:textId="77777777" w:rsidR="001832A0" w:rsidRPr="00E97403" w:rsidRDefault="001832A0" w:rsidP="0086079E">
            <w:pPr>
              <w:pStyle w:val="NormalWeb"/>
              <w:jc w:val="center"/>
              <w:rPr>
                <w:sz w:val="18"/>
                <w:szCs w:val="18"/>
              </w:rPr>
            </w:pPr>
            <w:r w:rsidRPr="00E97403">
              <w:rPr>
                <w:sz w:val="18"/>
                <w:szCs w:val="18"/>
              </w:rPr>
              <w:t>(25.0)</w:t>
            </w:r>
          </w:p>
        </w:tc>
        <w:tc>
          <w:tcPr>
            <w:tcW w:w="1303" w:type="dxa"/>
            <w:hideMark/>
          </w:tcPr>
          <w:p w14:paraId="457044C1" w14:textId="77777777" w:rsidR="001832A0" w:rsidRPr="00E97403" w:rsidRDefault="001832A0" w:rsidP="0086079E">
            <w:pPr>
              <w:pStyle w:val="NormalWeb"/>
              <w:jc w:val="center"/>
              <w:rPr>
                <w:sz w:val="18"/>
                <w:szCs w:val="18"/>
              </w:rPr>
            </w:pPr>
            <w:r w:rsidRPr="00E97403">
              <w:rPr>
                <w:sz w:val="18"/>
                <w:szCs w:val="18"/>
              </w:rPr>
              <w:t>6</w:t>
            </w:r>
          </w:p>
        </w:tc>
        <w:tc>
          <w:tcPr>
            <w:tcW w:w="1303" w:type="dxa"/>
            <w:hideMark/>
          </w:tcPr>
          <w:p w14:paraId="7F0A772D" w14:textId="77777777" w:rsidR="001832A0" w:rsidRPr="00E97403" w:rsidRDefault="001832A0" w:rsidP="0086079E">
            <w:pPr>
              <w:pStyle w:val="NormalWeb"/>
              <w:jc w:val="center"/>
              <w:rPr>
                <w:sz w:val="18"/>
                <w:szCs w:val="18"/>
              </w:rPr>
            </w:pPr>
            <w:r w:rsidRPr="00E97403">
              <w:rPr>
                <w:sz w:val="18"/>
                <w:szCs w:val="18"/>
              </w:rPr>
              <w:t>(75.0)</w:t>
            </w:r>
          </w:p>
        </w:tc>
      </w:tr>
      <w:tr w:rsidR="00E97403" w:rsidRPr="00E97403" w14:paraId="0F607B6C"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21F62393" w14:textId="77777777" w:rsidR="001832A0" w:rsidRPr="00E97403" w:rsidRDefault="001832A0">
            <w:pPr>
              <w:pStyle w:val="NormalWeb"/>
              <w:rPr>
                <w:sz w:val="18"/>
                <w:szCs w:val="18"/>
              </w:rPr>
            </w:pPr>
            <w:r w:rsidRPr="00E97403">
              <w:rPr>
                <w:sz w:val="18"/>
                <w:szCs w:val="18"/>
              </w:rPr>
              <w:t>Yellow fever</w:t>
            </w:r>
          </w:p>
        </w:tc>
        <w:tc>
          <w:tcPr>
            <w:tcW w:w="1302" w:type="dxa"/>
            <w:hideMark/>
          </w:tcPr>
          <w:p w14:paraId="7ABF85BB" w14:textId="77777777" w:rsidR="001832A0" w:rsidRPr="00E97403" w:rsidRDefault="001832A0" w:rsidP="0086079E">
            <w:pPr>
              <w:pStyle w:val="NormalWeb"/>
              <w:jc w:val="center"/>
              <w:rPr>
                <w:sz w:val="18"/>
                <w:szCs w:val="18"/>
              </w:rPr>
            </w:pPr>
            <w:r w:rsidRPr="00E97403">
              <w:rPr>
                <w:sz w:val="18"/>
                <w:szCs w:val="18"/>
              </w:rPr>
              <w:t>7</w:t>
            </w:r>
          </w:p>
        </w:tc>
        <w:tc>
          <w:tcPr>
            <w:tcW w:w="1303" w:type="dxa"/>
            <w:hideMark/>
          </w:tcPr>
          <w:p w14:paraId="207A5424" w14:textId="77777777" w:rsidR="001832A0" w:rsidRPr="00E97403" w:rsidRDefault="001832A0" w:rsidP="0086079E">
            <w:pPr>
              <w:pStyle w:val="NormalWeb"/>
              <w:jc w:val="center"/>
              <w:rPr>
                <w:sz w:val="18"/>
                <w:szCs w:val="18"/>
              </w:rPr>
            </w:pPr>
            <w:r w:rsidRPr="00E97403">
              <w:rPr>
                <w:sz w:val="18"/>
                <w:szCs w:val="18"/>
              </w:rPr>
              <w:t>(0.2)</w:t>
            </w:r>
          </w:p>
        </w:tc>
        <w:tc>
          <w:tcPr>
            <w:tcW w:w="1303" w:type="dxa"/>
            <w:hideMark/>
          </w:tcPr>
          <w:p w14:paraId="0FFAB0A3" w14:textId="77777777" w:rsidR="001832A0" w:rsidRPr="00E97403" w:rsidRDefault="001832A0" w:rsidP="0086079E">
            <w:pPr>
              <w:pStyle w:val="NormalWeb"/>
              <w:jc w:val="center"/>
              <w:rPr>
                <w:sz w:val="18"/>
                <w:szCs w:val="18"/>
              </w:rPr>
            </w:pPr>
            <w:r w:rsidRPr="00E97403">
              <w:rPr>
                <w:sz w:val="18"/>
                <w:szCs w:val="18"/>
              </w:rPr>
              <w:t>3</w:t>
            </w:r>
          </w:p>
        </w:tc>
        <w:tc>
          <w:tcPr>
            <w:tcW w:w="1303" w:type="dxa"/>
            <w:hideMark/>
          </w:tcPr>
          <w:p w14:paraId="1F57229A" w14:textId="77777777" w:rsidR="001832A0" w:rsidRPr="00E97403" w:rsidRDefault="001832A0" w:rsidP="0086079E">
            <w:pPr>
              <w:pStyle w:val="NormalWeb"/>
              <w:jc w:val="center"/>
              <w:rPr>
                <w:sz w:val="18"/>
                <w:szCs w:val="18"/>
              </w:rPr>
            </w:pPr>
            <w:r w:rsidRPr="00E97403">
              <w:rPr>
                <w:sz w:val="18"/>
                <w:szCs w:val="18"/>
              </w:rPr>
              <w:t>(42.9)</w:t>
            </w:r>
          </w:p>
        </w:tc>
        <w:tc>
          <w:tcPr>
            <w:tcW w:w="1303" w:type="dxa"/>
            <w:hideMark/>
          </w:tcPr>
          <w:p w14:paraId="6CD72910" w14:textId="77777777" w:rsidR="001832A0" w:rsidRPr="00E97403" w:rsidRDefault="001832A0" w:rsidP="0086079E">
            <w:pPr>
              <w:pStyle w:val="NormalWeb"/>
              <w:jc w:val="center"/>
              <w:rPr>
                <w:sz w:val="18"/>
                <w:szCs w:val="18"/>
              </w:rPr>
            </w:pPr>
            <w:r w:rsidRPr="00E97403">
              <w:rPr>
                <w:sz w:val="18"/>
                <w:szCs w:val="18"/>
              </w:rPr>
              <w:t>2</w:t>
            </w:r>
          </w:p>
        </w:tc>
        <w:tc>
          <w:tcPr>
            <w:tcW w:w="1302" w:type="dxa"/>
            <w:hideMark/>
          </w:tcPr>
          <w:p w14:paraId="154F30B8" w14:textId="77777777" w:rsidR="001832A0" w:rsidRPr="00E97403" w:rsidRDefault="001832A0" w:rsidP="0086079E">
            <w:pPr>
              <w:pStyle w:val="NormalWeb"/>
              <w:jc w:val="center"/>
              <w:rPr>
                <w:sz w:val="18"/>
                <w:szCs w:val="18"/>
              </w:rPr>
            </w:pPr>
            <w:r w:rsidRPr="00E97403">
              <w:rPr>
                <w:sz w:val="18"/>
                <w:szCs w:val="18"/>
              </w:rPr>
              <w:t>(28.6)</w:t>
            </w:r>
          </w:p>
        </w:tc>
        <w:tc>
          <w:tcPr>
            <w:tcW w:w="1303" w:type="dxa"/>
            <w:hideMark/>
          </w:tcPr>
          <w:p w14:paraId="1A0CB785"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74E93764"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31FEDB82" w14:textId="77777777" w:rsidR="001832A0" w:rsidRPr="00E97403" w:rsidRDefault="001832A0" w:rsidP="0086079E">
            <w:pPr>
              <w:pStyle w:val="NormalWeb"/>
              <w:jc w:val="center"/>
              <w:rPr>
                <w:sz w:val="18"/>
                <w:szCs w:val="18"/>
              </w:rPr>
            </w:pPr>
            <w:r w:rsidRPr="00E97403">
              <w:rPr>
                <w:sz w:val="18"/>
                <w:szCs w:val="18"/>
              </w:rPr>
              <w:t>6</w:t>
            </w:r>
          </w:p>
        </w:tc>
        <w:tc>
          <w:tcPr>
            <w:tcW w:w="1303" w:type="dxa"/>
            <w:hideMark/>
          </w:tcPr>
          <w:p w14:paraId="1937DE86" w14:textId="77777777" w:rsidR="001832A0" w:rsidRPr="00E97403" w:rsidRDefault="001832A0" w:rsidP="0086079E">
            <w:pPr>
              <w:pStyle w:val="NormalWeb"/>
              <w:jc w:val="center"/>
              <w:rPr>
                <w:sz w:val="18"/>
                <w:szCs w:val="18"/>
              </w:rPr>
            </w:pPr>
            <w:r w:rsidRPr="00E97403">
              <w:rPr>
                <w:sz w:val="18"/>
                <w:szCs w:val="18"/>
              </w:rPr>
              <w:t>(85.7)</w:t>
            </w:r>
          </w:p>
        </w:tc>
      </w:tr>
      <w:tr w:rsidR="00E97403" w:rsidRPr="00E97403" w14:paraId="6FB69FD1" w14:textId="77777777" w:rsidTr="0086079E">
        <w:tc>
          <w:tcPr>
            <w:tcW w:w="0" w:type="auto"/>
            <w:hideMark/>
          </w:tcPr>
          <w:p w14:paraId="036B8F51" w14:textId="77777777" w:rsidR="001832A0" w:rsidRPr="00E97403" w:rsidRDefault="001832A0">
            <w:pPr>
              <w:pStyle w:val="NormalWeb"/>
              <w:rPr>
                <w:sz w:val="18"/>
                <w:szCs w:val="18"/>
              </w:rPr>
            </w:pPr>
            <w:r w:rsidRPr="00E97403">
              <w:rPr>
                <w:sz w:val="18"/>
                <w:szCs w:val="18"/>
              </w:rPr>
              <w:t>Q fever</w:t>
            </w:r>
          </w:p>
        </w:tc>
        <w:tc>
          <w:tcPr>
            <w:tcW w:w="1302" w:type="dxa"/>
            <w:hideMark/>
          </w:tcPr>
          <w:p w14:paraId="5065C8ED" w14:textId="77777777" w:rsidR="001832A0" w:rsidRPr="00E97403" w:rsidRDefault="001832A0" w:rsidP="0086079E">
            <w:pPr>
              <w:pStyle w:val="NormalWeb"/>
              <w:jc w:val="center"/>
              <w:rPr>
                <w:sz w:val="18"/>
                <w:szCs w:val="18"/>
              </w:rPr>
            </w:pPr>
            <w:r w:rsidRPr="00E97403">
              <w:rPr>
                <w:sz w:val="18"/>
                <w:szCs w:val="18"/>
              </w:rPr>
              <w:t>7</w:t>
            </w:r>
          </w:p>
        </w:tc>
        <w:tc>
          <w:tcPr>
            <w:tcW w:w="1303" w:type="dxa"/>
            <w:hideMark/>
          </w:tcPr>
          <w:p w14:paraId="6BDA1645" w14:textId="77777777" w:rsidR="001832A0" w:rsidRPr="00E97403" w:rsidRDefault="001832A0" w:rsidP="0086079E">
            <w:pPr>
              <w:pStyle w:val="NormalWeb"/>
              <w:jc w:val="center"/>
              <w:rPr>
                <w:sz w:val="18"/>
                <w:szCs w:val="18"/>
              </w:rPr>
            </w:pPr>
            <w:r w:rsidRPr="00E97403">
              <w:rPr>
                <w:sz w:val="18"/>
                <w:szCs w:val="18"/>
              </w:rPr>
              <w:t>(0.2)</w:t>
            </w:r>
          </w:p>
        </w:tc>
        <w:tc>
          <w:tcPr>
            <w:tcW w:w="1303" w:type="dxa"/>
            <w:hideMark/>
          </w:tcPr>
          <w:p w14:paraId="28953DAB" w14:textId="77777777" w:rsidR="001832A0" w:rsidRPr="00E97403" w:rsidRDefault="001832A0" w:rsidP="0086079E">
            <w:pPr>
              <w:pStyle w:val="NormalWeb"/>
              <w:jc w:val="center"/>
              <w:rPr>
                <w:sz w:val="18"/>
                <w:szCs w:val="18"/>
              </w:rPr>
            </w:pPr>
            <w:r w:rsidRPr="00E97403">
              <w:rPr>
                <w:sz w:val="18"/>
                <w:szCs w:val="18"/>
              </w:rPr>
              <w:t>7</w:t>
            </w:r>
          </w:p>
        </w:tc>
        <w:tc>
          <w:tcPr>
            <w:tcW w:w="1303" w:type="dxa"/>
            <w:hideMark/>
          </w:tcPr>
          <w:p w14:paraId="006B927B" w14:textId="77777777" w:rsidR="001832A0" w:rsidRPr="00E97403" w:rsidRDefault="001832A0" w:rsidP="0086079E">
            <w:pPr>
              <w:pStyle w:val="NormalWeb"/>
              <w:jc w:val="center"/>
              <w:rPr>
                <w:sz w:val="18"/>
                <w:szCs w:val="18"/>
              </w:rPr>
            </w:pPr>
            <w:r w:rsidRPr="00E97403">
              <w:rPr>
                <w:sz w:val="18"/>
                <w:szCs w:val="18"/>
              </w:rPr>
              <w:t>(100.0)</w:t>
            </w:r>
          </w:p>
        </w:tc>
        <w:tc>
          <w:tcPr>
            <w:tcW w:w="1303" w:type="dxa"/>
            <w:hideMark/>
          </w:tcPr>
          <w:p w14:paraId="39DF257E" w14:textId="77777777" w:rsidR="001832A0" w:rsidRPr="00E97403" w:rsidRDefault="001832A0" w:rsidP="0086079E">
            <w:pPr>
              <w:pStyle w:val="NormalWeb"/>
              <w:jc w:val="center"/>
              <w:rPr>
                <w:sz w:val="18"/>
                <w:szCs w:val="18"/>
              </w:rPr>
            </w:pPr>
            <w:r w:rsidRPr="00E97403">
              <w:rPr>
                <w:sz w:val="18"/>
                <w:szCs w:val="18"/>
              </w:rPr>
              <w:t>2</w:t>
            </w:r>
          </w:p>
        </w:tc>
        <w:tc>
          <w:tcPr>
            <w:tcW w:w="1302" w:type="dxa"/>
            <w:hideMark/>
          </w:tcPr>
          <w:p w14:paraId="40AE1E14" w14:textId="77777777" w:rsidR="001832A0" w:rsidRPr="00E97403" w:rsidRDefault="001832A0" w:rsidP="0086079E">
            <w:pPr>
              <w:pStyle w:val="NormalWeb"/>
              <w:jc w:val="center"/>
              <w:rPr>
                <w:sz w:val="18"/>
                <w:szCs w:val="18"/>
              </w:rPr>
            </w:pPr>
            <w:r w:rsidRPr="00E97403">
              <w:rPr>
                <w:sz w:val="18"/>
                <w:szCs w:val="18"/>
              </w:rPr>
              <w:t>(28.6)</w:t>
            </w:r>
          </w:p>
        </w:tc>
        <w:tc>
          <w:tcPr>
            <w:tcW w:w="1303" w:type="dxa"/>
            <w:hideMark/>
          </w:tcPr>
          <w:p w14:paraId="72C4B942"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00040A92"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3616449A" w14:textId="77777777" w:rsidR="001832A0" w:rsidRPr="00E97403" w:rsidRDefault="001832A0" w:rsidP="0086079E">
            <w:pPr>
              <w:pStyle w:val="NormalWeb"/>
              <w:jc w:val="center"/>
              <w:rPr>
                <w:sz w:val="18"/>
                <w:szCs w:val="18"/>
              </w:rPr>
            </w:pPr>
            <w:r w:rsidRPr="00E97403">
              <w:rPr>
                <w:sz w:val="18"/>
                <w:szCs w:val="18"/>
              </w:rPr>
              <w:t>6</w:t>
            </w:r>
          </w:p>
        </w:tc>
        <w:tc>
          <w:tcPr>
            <w:tcW w:w="1303" w:type="dxa"/>
            <w:hideMark/>
          </w:tcPr>
          <w:p w14:paraId="0F529F51" w14:textId="77777777" w:rsidR="001832A0" w:rsidRPr="00E97403" w:rsidRDefault="001832A0" w:rsidP="0086079E">
            <w:pPr>
              <w:pStyle w:val="NormalWeb"/>
              <w:jc w:val="center"/>
              <w:rPr>
                <w:sz w:val="18"/>
                <w:szCs w:val="18"/>
              </w:rPr>
            </w:pPr>
            <w:r w:rsidRPr="00E97403">
              <w:rPr>
                <w:sz w:val="18"/>
                <w:szCs w:val="18"/>
              </w:rPr>
              <w:t>(85.7)</w:t>
            </w:r>
          </w:p>
        </w:tc>
      </w:tr>
      <w:tr w:rsidR="00E97403" w:rsidRPr="00E97403" w14:paraId="0BD5739D" w14:textId="77777777" w:rsidTr="0086079E">
        <w:trPr>
          <w:cnfStyle w:val="000000010000" w:firstRow="0" w:lastRow="0" w:firstColumn="0" w:lastColumn="0" w:oddVBand="0" w:evenVBand="0" w:oddHBand="0" w:evenHBand="1" w:firstRowFirstColumn="0" w:firstRowLastColumn="0" w:lastRowFirstColumn="0" w:lastRowLastColumn="0"/>
        </w:trPr>
        <w:tc>
          <w:tcPr>
            <w:tcW w:w="0" w:type="auto"/>
            <w:hideMark/>
          </w:tcPr>
          <w:p w14:paraId="4C1E1A5F" w14:textId="77777777" w:rsidR="001832A0" w:rsidRPr="00E97403" w:rsidRDefault="001832A0">
            <w:pPr>
              <w:pStyle w:val="NormalWeb"/>
              <w:rPr>
                <w:sz w:val="18"/>
                <w:szCs w:val="18"/>
              </w:rPr>
            </w:pPr>
            <w:r w:rsidRPr="00E97403">
              <w:rPr>
                <w:sz w:val="18"/>
                <w:szCs w:val="18"/>
              </w:rPr>
              <w:t>Japanese encephalitis</w:t>
            </w:r>
          </w:p>
        </w:tc>
        <w:tc>
          <w:tcPr>
            <w:tcW w:w="1302" w:type="dxa"/>
            <w:hideMark/>
          </w:tcPr>
          <w:p w14:paraId="39E69BAF" w14:textId="77777777" w:rsidR="001832A0" w:rsidRPr="00E97403" w:rsidRDefault="001832A0" w:rsidP="0086079E">
            <w:pPr>
              <w:pStyle w:val="NormalWeb"/>
              <w:jc w:val="center"/>
              <w:rPr>
                <w:sz w:val="18"/>
                <w:szCs w:val="18"/>
              </w:rPr>
            </w:pPr>
            <w:r w:rsidRPr="00E97403">
              <w:rPr>
                <w:sz w:val="18"/>
                <w:szCs w:val="18"/>
              </w:rPr>
              <w:t>5</w:t>
            </w:r>
          </w:p>
        </w:tc>
        <w:tc>
          <w:tcPr>
            <w:tcW w:w="1303" w:type="dxa"/>
            <w:hideMark/>
          </w:tcPr>
          <w:p w14:paraId="5EEF5500" w14:textId="77777777" w:rsidR="001832A0" w:rsidRPr="00E97403" w:rsidRDefault="001832A0" w:rsidP="0086079E">
            <w:pPr>
              <w:pStyle w:val="NormalWeb"/>
              <w:jc w:val="center"/>
              <w:rPr>
                <w:sz w:val="18"/>
                <w:szCs w:val="18"/>
              </w:rPr>
            </w:pPr>
            <w:r w:rsidRPr="00E97403">
              <w:rPr>
                <w:sz w:val="18"/>
                <w:szCs w:val="18"/>
              </w:rPr>
              <w:t>(0.1)</w:t>
            </w:r>
          </w:p>
        </w:tc>
        <w:tc>
          <w:tcPr>
            <w:tcW w:w="1303" w:type="dxa"/>
            <w:hideMark/>
          </w:tcPr>
          <w:p w14:paraId="1E9CC555" w14:textId="77777777" w:rsidR="001832A0" w:rsidRPr="00E97403" w:rsidRDefault="001832A0" w:rsidP="0086079E">
            <w:pPr>
              <w:pStyle w:val="NormalWeb"/>
              <w:jc w:val="center"/>
              <w:rPr>
                <w:sz w:val="18"/>
                <w:szCs w:val="18"/>
              </w:rPr>
            </w:pPr>
            <w:r w:rsidRPr="00E97403">
              <w:rPr>
                <w:sz w:val="18"/>
                <w:szCs w:val="18"/>
              </w:rPr>
              <w:t>2</w:t>
            </w:r>
          </w:p>
        </w:tc>
        <w:tc>
          <w:tcPr>
            <w:tcW w:w="1303" w:type="dxa"/>
            <w:hideMark/>
          </w:tcPr>
          <w:p w14:paraId="7F4B09AB" w14:textId="77777777" w:rsidR="001832A0" w:rsidRPr="00E97403" w:rsidRDefault="001832A0" w:rsidP="0086079E">
            <w:pPr>
              <w:pStyle w:val="NormalWeb"/>
              <w:jc w:val="center"/>
              <w:rPr>
                <w:sz w:val="18"/>
                <w:szCs w:val="18"/>
              </w:rPr>
            </w:pPr>
            <w:r w:rsidRPr="00E97403">
              <w:rPr>
                <w:sz w:val="18"/>
                <w:szCs w:val="18"/>
              </w:rPr>
              <w:t>(40.0)</w:t>
            </w:r>
          </w:p>
        </w:tc>
        <w:tc>
          <w:tcPr>
            <w:tcW w:w="1303" w:type="dxa"/>
            <w:hideMark/>
          </w:tcPr>
          <w:p w14:paraId="7CBEE35F" w14:textId="77777777" w:rsidR="001832A0" w:rsidRPr="00E97403" w:rsidRDefault="001832A0" w:rsidP="0086079E">
            <w:pPr>
              <w:pStyle w:val="NormalWeb"/>
              <w:jc w:val="center"/>
              <w:rPr>
                <w:sz w:val="18"/>
                <w:szCs w:val="18"/>
              </w:rPr>
            </w:pPr>
            <w:r w:rsidRPr="00E97403">
              <w:rPr>
                <w:sz w:val="18"/>
                <w:szCs w:val="18"/>
              </w:rPr>
              <w:t>0</w:t>
            </w:r>
          </w:p>
        </w:tc>
        <w:tc>
          <w:tcPr>
            <w:tcW w:w="1302" w:type="dxa"/>
            <w:hideMark/>
          </w:tcPr>
          <w:p w14:paraId="4225B643"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3BCE00D5" w14:textId="77777777" w:rsidR="001832A0" w:rsidRPr="00E97403" w:rsidRDefault="001832A0" w:rsidP="0086079E">
            <w:pPr>
              <w:pStyle w:val="NormalWeb"/>
              <w:jc w:val="center"/>
              <w:rPr>
                <w:sz w:val="18"/>
                <w:szCs w:val="18"/>
              </w:rPr>
            </w:pPr>
            <w:r w:rsidRPr="00E97403">
              <w:rPr>
                <w:sz w:val="18"/>
                <w:szCs w:val="18"/>
              </w:rPr>
              <w:t>2</w:t>
            </w:r>
          </w:p>
        </w:tc>
        <w:tc>
          <w:tcPr>
            <w:tcW w:w="1303" w:type="dxa"/>
            <w:hideMark/>
          </w:tcPr>
          <w:p w14:paraId="6902B2B5" w14:textId="77777777" w:rsidR="001832A0" w:rsidRPr="00E97403" w:rsidRDefault="001832A0" w:rsidP="0086079E">
            <w:pPr>
              <w:pStyle w:val="NormalWeb"/>
              <w:jc w:val="center"/>
              <w:rPr>
                <w:sz w:val="18"/>
                <w:szCs w:val="18"/>
              </w:rPr>
            </w:pPr>
            <w:r w:rsidRPr="00E97403">
              <w:rPr>
                <w:sz w:val="18"/>
                <w:szCs w:val="18"/>
              </w:rPr>
              <w:t>(40.0)</w:t>
            </w:r>
          </w:p>
        </w:tc>
        <w:tc>
          <w:tcPr>
            <w:tcW w:w="1303" w:type="dxa"/>
            <w:hideMark/>
          </w:tcPr>
          <w:p w14:paraId="278EC6F6" w14:textId="77777777" w:rsidR="001832A0" w:rsidRPr="00E97403" w:rsidRDefault="001832A0" w:rsidP="0086079E">
            <w:pPr>
              <w:pStyle w:val="NormalWeb"/>
              <w:jc w:val="center"/>
              <w:rPr>
                <w:sz w:val="18"/>
                <w:szCs w:val="18"/>
              </w:rPr>
            </w:pPr>
            <w:r w:rsidRPr="00E97403">
              <w:rPr>
                <w:sz w:val="18"/>
                <w:szCs w:val="18"/>
              </w:rPr>
              <w:t>6</w:t>
            </w:r>
          </w:p>
        </w:tc>
        <w:tc>
          <w:tcPr>
            <w:tcW w:w="1303" w:type="dxa"/>
            <w:hideMark/>
          </w:tcPr>
          <w:p w14:paraId="2B7392DA" w14:textId="77777777" w:rsidR="001832A0" w:rsidRPr="00E97403" w:rsidRDefault="001832A0" w:rsidP="0086079E">
            <w:pPr>
              <w:pStyle w:val="NormalWeb"/>
              <w:jc w:val="center"/>
              <w:rPr>
                <w:sz w:val="18"/>
                <w:szCs w:val="18"/>
              </w:rPr>
            </w:pPr>
            <w:r w:rsidRPr="00E97403">
              <w:rPr>
                <w:sz w:val="18"/>
                <w:szCs w:val="18"/>
              </w:rPr>
              <w:t>(120.0)</w:t>
            </w:r>
          </w:p>
        </w:tc>
      </w:tr>
      <w:tr w:rsidR="00E97403" w:rsidRPr="00E97403" w14:paraId="5453E2AB" w14:textId="77777777" w:rsidTr="0086079E">
        <w:tc>
          <w:tcPr>
            <w:tcW w:w="0" w:type="auto"/>
            <w:hideMark/>
          </w:tcPr>
          <w:p w14:paraId="16C10D47" w14:textId="77777777" w:rsidR="001832A0" w:rsidRPr="00E97403" w:rsidRDefault="001832A0">
            <w:pPr>
              <w:pStyle w:val="NormalWeb"/>
              <w:rPr>
                <w:sz w:val="18"/>
                <w:szCs w:val="18"/>
              </w:rPr>
            </w:pPr>
            <w:r w:rsidRPr="00E97403">
              <w:rPr>
                <w:sz w:val="18"/>
                <w:szCs w:val="18"/>
              </w:rPr>
              <w:t>Tetanus</w:t>
            </w:r>
          </w:p>
        </w:tc>
        <w:tc>
          <w:tcPr>
            <w:tcW w:w="1302" w:type="dxa"/>
            <w:hideMark/>
          </w:tcPr>
          <w:p w14:paraId="07271BF6" w14:textId="77777777" w:rsidR="001832A0" w:rsidRPr="00E97403" w:rsidRDefault="001832A0" w:rsidP="0086079E">
            <w:pPr>
              <w:pStyle w:val="NormalWeb"/>
              <w:jc w:val="center"/>
              <w:rPr>
                <w:sz w:val="18"/>
                <w:szCs w:val="18"/>
              </w:rPr>
            </w:pPr>
            <w:r w:rsidRPr="00E97403">
              <w:rPr>
                <w:sz w:val="18"/>
                <w:szCs w:val="18"/>
              </w:rPr>
              <w:t>1</w:t>
            </w:r>
          </w:p>
        </w:tc>
        <w:tc>
          <w:tcPr>
            <w:tcW w:w="1303" w:type="dxa"/>
            <w:hideMark/>
          </w:tcPr>
          <w:p w14:paraId="02686491"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79E6CAFD" w14:textId="77777777" w:rsidR="001832A0" w:rsidRPr="00E97403" w:rsidRDefault="001832A0" w:rsidP="0086079E">
            <w:pPr>
              <w:pStyle w:val="NormalWeb"/>
              <w:jc w:val="center"/>
              <w:rPr>
                <w:sz w:val="18"/>
                <w:szCs w:val="18"/>
              </w:rPr>
            </w:pPr>
            <w:r w:rsidRPr="00E97403">
              <w:rPr>
                <w:sz w:val="18"/>
                <w:szCs w:val="18"/>
              </w:rPr>
              <w:t>1</w:t>
            </w:r>
          </w:p>
        </w:tc>
        <w:tc>
          <w:tcPr>
            <w:tcW w:w="1303" w:type="dxa"/>
            <w:hideMark/>
          </w:tcPr>
          <w:p w14:paraId="26065495" w14:textId="77777777" w:rsidR="001832A0" w:rsidRPr="00E97403" w:rsidRDefault="001832A0" w:rsidP="0086079E">
            <w:pPr>
              <w:pStyle w:val="NormalWeb"/>
              <w:jc w:val="center"/>
              <w:rPr>
                <w:sz w:val="18"/>
                <w:szCs w:val="18"/>
              </w:rPr>
            </w:pPr>
            <w:r w:rsidRPr="00E97403">
              <w:rPr>
                <w:sz w:val="18"/>
                <w:szCs w:val="18"/>
              </w:rPr>
              <w:t>(100.0)</w:t>
            </w:r>
          </w:p>
        </w:tc>
        <w:tc>
          <w:tcPr>
            <w:tcW w:w="1303" w:type="dxa"/>
            <w:hideMark/>
          </w:tcPr>
          <w:p w14:paraId="5BE7AEAB" w14:textId="77777777" w:rsidR="001832A0" w:rsidRPr="00E97403" w:rsidRDefault="001832A0" w:rsidP="0086079E">
            <w:pPr>
              <w:pStyle w:val="NormalWeb"/>
              <w:jc w:val="center"/>
              <w:rPr>
                <w:sz w:val="18"/>
                <w:szCs w:val="18"/>
              </w:rPr>
            </w:pPr>
            <w:r w:rsidRPr="00E97403">
              <w:rPr>
                <w:sz w:val="18"/>
                <w:szCs w:val="18"/>
              </w:rPr>
              <w:t>0</w:t>
            </w:r>
          </w:p>
        </w:tc>
        <w:tc>
          <w:tcPr>
            <w:tcW w:w="1302" w:type="dxa"/>
            <w:hideMark/>
          </w:tcPr>
          <w:p w14:paraId="6224CE74"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39112D67" w14:textId="77777777" w:rsidR="001832A0" w:rsidRPr="00E97403" w:rsidRDefault="001832A0" w:rsidP="0086079E">
            <w:pPr>
              <w:pStyle w:val="NormalWeb"/>
              <w:jc w:val="center"/>
              <w:rPr>
                <w:sz w:val="18"/>
                <w:szCs w:val="18"/>
              </w:rPr>
            </w:pPr>
            <w:r w:rsidRPr="00E97403">
              <w:rPr>
                <w:sz w:val="18"/>
                <w:szCs w:val="18"/>
              </w:rPr>
              <w:t>0</w:t>
            </w:r>
          </w:p>
        </w:tc>
        <w:tc>
          <w:tcPr>
            <w:tcW w:w="1303" w:type="dxa"/>
            <w:hideMark/>
          </w:tcPr>
          <w:p w14:paraId="6307AC85" w14:textId="77777777" w:rsidR="001832A0" w:rsidRPr="00E97403" w:rsidRDefault="001832A0" w:rsidP="0086079E">
            <w:pPr>
              <w:pStyle w:val="NormalWeb"/>
              <w:jc w:val="center"/>
              <w:rPr>
                <w:sz w:val="18"/>
                <w:szCs w:val="18"/>
              </w:rPr>
            </w:pPr>
            <w:r w:rsidRPr="00E97403">
              <w:rPr>
                <w:sz w:val="18"/>
                <w:szCs w:val="18"/>
              </w:rPr>
              <w:t>(0.0)</w:t>
            </w:r>
          </w:p>
        </w:tc>
        <w:tc>
          <w:tcPr>
            <w:tcW w:w="1303" w:type="dxa"/>
            <w:hideMark/>
          </w:tcPr>
          <w:p w14:paraId="38725DEE" w14:textId="77777777" w:rsidR="001832A0" w:rsidRPr="00E97403" w:rsidRDefault="001832A0" w:rsidP="0086079E">
            <w:pPr>
              <w:pStyle w:val="NormalWeb"/>
              <w:jc w:val="center"/>
              <w:rPr>
                <w:sz w:val="18"/>
                <w:szCs w:val="18"/>
              </w:rPr>
            </w:pPr>
            <w:r w:rsidRPr="00E97403">
              <w:rPr>
                <w:sz w:val="18"/>
                <w:szCs w:val="18"/>
              </w:rPr>
              <w:t>1</w:t>
            </w:r>
          </w:p>
        </w:tc>
        <w:tc>
          <w:tcPr>
            <w:tcW w:w="1303" w:type="dxa"/>
            <w:hideMark/>
          </w:tcPr>
          <w:p w14:paraId="168A57B8" w14:textId="77777777" w:rsidR="001832A0" w:rsidRPr="00E97403" w:rsidRDefault="001832A0" w:rsidP="0086079E">
            <w:pPr>
              <w:pStyle w:val="NormalWeb"/>
              <w:jc w:val="center"/>
              <w:rPr>
                <w:sz w:val="18"/>
                <w:szCs w:val="18"/>
              </w:rPr>
            </w:pPr>
            <w:r w:rsidRPr="00E97403">
              <w:rPr>
                <w:sz w:val="18"/>
                <w:szCs w:val="18"/>
              </w:rPr>
              <w:t>(100.0)</w:t>
            </w:r>
          </w:p>
        </w:tc>
      </w:tr>
    </w:tbl>
    <w:p w14:paraId="312B9622" w14:textId="77777777" w:rsidR="001832A0" w:rsidRDefault="001832A0" w:rsidP="004458EB">
      <w:pPr>
        <w:pStyle w:val="CDIfootnotes"/>
      </w:pPr>
      <w:r>
        <w:t xml:space="preserve">a </w:t>
      </w:r>
      <w:r>
        <w:tab/>
        <w:t>See appendix for abbreviations of vaccine names.</w:t>
      </w:r>
    </w:p>
    <w:p w14:paraId="702B7249" w14:textId="77777777" w:rsidR="001832A0" w:rsidRDefault="001832A0" w:rsidP="004458EB">
      <w:pPr>
        <w:pStyle w:val="CDIfootnotes"/>
      </w:pPr>
      <w:r>
        <w:t xml:space="preserve">b </w:t>
      </w:r>
      <w:r>
        <w:tab/>
        <w:t>AEFI records where only one vaccine was suspected of causal involvement in a reported adverse event.</w:t>
      </w:r>
    </w:p>
    <w:p w14:paraId="4DCC55DA" w14:textId="77777777" w:rsidR="001832A0" w:rsidRDefault="001832A0" w:rsidP="004458EB">
      <w:pPr>
        <w:pStyle w:val="CDIfootnotes"/>
      </w:pPr>
      <w:r>
        <w:t>c</w:t>
      </w:r>
      <w:r>
        <w:tab/>
        <w:t>‘Serious’ is defined in the Methods section.</w:t>
      </w:r>
    </w:p>
    <w:p w14:paraId="33066570" w14:textId="77777777" w:rsidR="001832A0" w:rsidRDefault="001832A0" w:rsidP="004458EB">
      <w:pPr>
        <w:pStyle w:val="CDIfootnotes"/>
      </w:pPr>
      <w:r>
        <w:t>d</w:t>
      </w:r>
      <w:r>
        <w:tab/>
        <w:t>Includes only AEFI records where an age or date of birth has been reported.</w:t>
      </w:r>
    </w:p>
    <w:p w14:paraId="176E39FB" w14:textId="77777777" w:rsidR="001832A0" w:rsidRDefault="001832A0" w:rsidP="004458EB">
      <w:pPr>
        <w:pStyle w:val="CDIfootnotes"/>
      </w:pPr>
      <w:r>
        <w:t>e</w:t>
      </w:r>
      <w:r>
        <w:tab/>
        <w:t>Percentages are calculated for the number of AEFI records where the vaccine was suspected of causal involvement in the event</w:t>
      </w:r>
      <w:r w:rsidR="00951557">
        <w:t>.</w:t>
      </w:r>
    </w:p>
    <w:p w14:paraId="7AB2FFD0" w14:textId="77777777" w:rsidR="00F62F7D" w:rsidRDefault="00F62F7D" w:rsidP="00F62F7D">
      <w:pPr>
        <w:pStyle w:val="CDIFigures"/>
        <w:sectPr w:rsidR="00F62F7D" w:rsidSect="00E97403">
          <w:pgSz w:w="16838" w:h="11906" w:orient="landscape"/>
          <w:pgMar w:top="720" w:right="720" w:bottom="720" w:left="1134" w:header="709" w:footer="284" w:gutter="0"/>
          <w:cols w:space="708"/>
          <w:titlePg/>
          <w:docGrid w:linePitch="360"/>
        </w:sectPr>
      </w:pPr>
    </w:p>
    <w:p w14:paraId="400CC027" w14:textId="77777777" w:rsidR="001832A0" w:rsidRDefault="001832A0" w:rsidP="00F62F7D">
      <w:pPr>
        <w:pStyle w:val="CDIFigures"/>
      </w:pPr>
      <w:r>
        <w:lastRenderedPageBreak/>
        <w:t>Table 5: Selected reported adverse events</w:t>
      </w:r>
      <w:r w:rsidRPr="004458EB">
        <w:rPr>
          <w:vertAlign w:val="superscript"/>
        </w:rPr>
        <w:t>a</w:t>
      </w:r>
      <w:r>
        <w:t xml:space="preserve"> classified by MedDRA Preferred Terms in records of adverse events following immunisation (AEFI), AEMS database,</w:t>
      </w:r>
      <w:r w:rsidR="00F62F7D">
        <w:t> </w:t>
      </w:r>
      <w:r>
        <w:t>2018</w:t>
      </w:r>
      <w:r w:rsidRPr="004458EB">
        <w:rPr>
          <w:vertAlign w:val="superscript"/>
        </w:rPr>
        <w:t>b</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5 shows selected reported adverse events and reactions of interest classified by MedDRA Preferred Terms in 2018."/>
      </w:tblPr>
      <w:tblGrid>
        <w:gridCol w:w="3318"/>
        <w:gridCol w:w="1644"/>
        <w:gridCol w:w="1134"/>
        <w:gridCol w:w="1134"/>
        <w:gridCol w:w="1134"/>
        <w:gridCol w:w="1225"/>
        <w:gridCol w:w="1326"/>
        <w:gridCol w:w="1418"/>
        <w:gridCol w:w="1275"/>
        <w:gridCol w:w="1307"/>
      </w:tblGrid>
      <w:tr w:rsidR="00717195" w:rsidRPr="00717195" w14:paraId="27DAE77B" w14:textId="77777777" w:rsidTr="00427EF4">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44348018" w14:textId="77777777" w:rsidR="001832A0" w:rsidRPr="00717195" w:rsidRDefault="001832A0">
            <w:pPr>
              <w:pStyle w:val="NormalWeb"/>
              <w:rPr>
                <w:color w:val="FFFFFF" w:themeColor="background1"/>
                <w:sz w:val="18"/>
                <w:szCs w:val="18"/>
              </w:rPr>
            </w:pPr>
            <w:r w:rsidRPr="00717195">
              <w:rPr>
                <w:color w:val="FFFFFF" w:themeColor="background1"/>
                <w:sz w:val="18"/>
                <w:szCs w:val="18"/>
              </w:rPr>
              <w:t>MedDRA Preferred Terms (adverse events)</w:t>
            </w:r>
          </w:p>
        </w:tc>
        <w:tc>
          <w:tcPr>
            <w:tcW w:w="1644"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2D22F016"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AEFI records</w:t>
            </w:r>
          </w:p>
        </w:tc>
        <w:tc>
          <w:tcPr>
            <w:tcW w:w="2268" w:type="dxa"/>
            <w:gridSpan w:val="2"/>
            <w:vMerge w:val="restart"/>
            <w:tcBorders>
              <w:left w:val="single" w:sz="2" w:space="0" w:color="FFFFFF" w:themeColor="background1"/>
              <w:bottom w:val="single" w:sz="2" w:space="0" w:color="FFFFFF" w:themeColor="background1"/>
              <w:right w:val="single" w:sz="2" w:space="0" w:color="FFFFFF" w:themeColor="background1"/>
            </w:tcBorders>
            <w:hideMark/>
          </w:tcPr>
          <w:p w14:paraId="30614DE4"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Only adverse event reported</w:t>
            </w:r>
            <w:r w:rsidRPr="00A2127D">
              <w:rPr>
                <w:color w:val="FFFFFF" w:themeColor="background1"/>
                <w:sz w:val="18"/>
                <w:szCs w:val="18"/>
                <w:vertAlign w:val="superscript"/>
              </w:rPr>
              <w:t>c</w:t>
            </w:r>
          </w:p>
        </w:tc>
        <w:tc>
          <w:tcPr>
            <w:tcW w:w="2359" w:type="dxa"/>
            <w:gridSpan w:val="2"/>
            <w:vMerge w:val="restart"/>
            <w:tcBorders>
              <w:left w:val="single" w:sz="2" w:space="0" w:color="FFFFFF" w:themeColor="background1"/>
              <w:bottom w:val="single" w:sz="2" w:space="0" w:color="FFFFFF" w:themeColor="background1"/>
              <w:right w:val="single" w:sz="2" w:space="0" w:color="FFFFFF" w:themeColor="background1"/>
            </w:tcBorders>
            <w:hideMark/>
          </w:tcPr>
          <w:p w14:paraId="1FF5EBC3"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‘Serious’</w:t>
            </w:r>
            <w:r w:rsidRPr="00A2127D">
              <w:rPr>
                <w:color w:val="FFFFFF" w:themeColor="background1"/>
                <w:sz w:val="18"/>
                <w:szCs w:val="18"/>
                <w:vertAlign w:val="superscript"/>
              </w:rPr>
              <w:t>d</w:t>
            </w:r>
          </w:p>
        </w:tc>
        <w:tc>
          <w:tcPr>
            <w:tcW w:w="2744" w:type="dxa"/>
            <w:gridSpan w:val="2"/>
            <w:tcBorders>
              <w:left w:val="single" w:sz="2" w:space="0" w:color="FFFFFF" w:themeColor="background1"/>
              <w:bottom w:val="single" w:sz="2" w:space="0" w:color="FFFFFF" w:themeColor="background1"/>
              <w:right w:val="single" w:sz="2" w:space="0" w:color="FFFFFF" w:themeColor="background1"/>
            </w:tcBorders>
            <w:hideMark/>
          </w:tcPr>
          <w:p w14:paraId="386259B4"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Age group</w:t>
            </w:r>
            <w:r w:rsidRPr="00A2127D">
              <w:rPr>
                <w:color w:val="FFFFFF" w:themeColor="background1"/>
                <w:sz w:val="18"/>
                <w:szCs w:val="18"/>
                <w:vertAlign w:val="superscript"/>
              </w:rPr>
              <w:t>e</w:t>
            </w:r>
          </w:p>
        </w:tc>
        <w:tc>
          <w:tcPr>
            <w:tcW w:w="2582" w:type="dxa"/>
            <w:gridSpan w:val="2"/>
            <w:tcBorders>
              <w:left w:val="single" w:sz="2" w:space="0" w:color="FFFFFF" w:themeColor="background1"/>
              <w:bottom w:val="single" w:sz="2" w:space="0" w:color="FFFFFF" w:themeColor="background1"/>
            </w:tcBorders>
            <w:hideMark/>
          </w:tcPr>
          <w:p w14:paraId="30181B45"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Age group</w:t>
            </w:r>
            <w:r w:rsidRPr="00A2127D">
              <w:rPr>
                <w:color w:val="FFFFFF" w:themeColor="background1"/>
                <w:sz w:val="18"/>
                <w:szCs w:val="18"/>
                <w:vertAlign w:val="superscript"/>
              </w:rPr>
              <w:t>e</w:t>
            </w:r>
          </w:p>
        </w:tc>
      </w:tr>
      <w:tr w:rsidR="00717195" w:rsidRPr="00717195" w14:paraId="39E98E82" w14:textId="77777777" w:rsidTr="00427EF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13EF231E" w14:textId="77777777" w:rsidR="001832A0" w:rsidRPr="00717195" w:rsidRDefault="001832A0">
            <w:pPr>
              <w:rPr>
                <w:color w:val="FFFFFF" w:themeColor="background1"/>
                <w:sz w:val="18"/>
                <w:szCs w:val="18"/>
              </w:rPr>
            </w:pPr>
          </w:p>
        </w:tc>
        <w:tc>
          <w:tcPr>
            <w:tcW w:w="1644"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822E9AC" w14:textId="77777777" w:rsidR="001832A0" w:rsidRPr="00717195" w:rsidRDefault="001832A0" w:rsidP="002D3963">
            <w:pPr>
              <w:jc w:val="center"/>
              <w:rPr>
                <w:color w:val="FFFFFF" w:themeColor="background1"/>
                <w:sz w:val="18"/>
                <w:szCs w:val="18"/>
              </w:rPr>
            </w:pPr>
          </w:p>
        </w:tc>
        <w:tc>
          <w:tcPr>
            <w:tcW w:w="2268" w:type="dxa"/>
            <w:gridSpan w:val="2"/>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E6B5907" w14:textId="77777777" w:rsidR="001832A0" w:rsidRPr="00717195" w:rsidRDefault="001832A0" w:rsidP="002D3963">
            <w:pPr>
              <w:jc w:val="center"/>
              <w:rPr>
                <w:color w:val="FFFFFF" w:themeColor="background1"/>
                <w:sz w:val="18"/>
                <w:szCs w:val="18"/>
              </w:rPr>
            </w:pPr>
          </w:p>
        </w:tc>
        <w:tc>
          <w:tcPr>
            <w:tcW w:w="2359" w:type="dxa"/>
            <w:gridSpan w:val="2"/>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74350D1" w14:textId="77777777" w:rsidR="001832A0" w:rsidRPr="00717195" w:rsidRDefault="001832A0" w:rsidP="002D3963">
            <w:pPr>
              <w:jc w:val="center"/>
              <w:rPr>
                <w:color w:val="FFFFFF" w:themeColor="background1"/>
                <w:sz w:val="18"/>
                <w:szCs w:val="18"/>
              </w:rPr>
            </w:pPr>
          </w:p>
        </w:tc>
        <w:tc>
          <w:tcPr>
            <w:tcW w:w="274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C800B49"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&lt;7 years</w:t>
            </w:r>
          </w:p>
        </w:tc>
        <w:tc>
          <w:tcPr>
            <w:tcW w:w="2582" w:type="dxa"/>
            <w:gridSpan w:val="2"/>
            <w:tcBorders>
              <w:top w:val="single" w:sz="2" w:space="0" w:color="FFFFFF" w:themeColor="background1"/>
              <w:left w:val="single" w:sz="2" w:space="0" w:color="FFFFFF" w:themeColor="background1"/>
              <w:bottom w:val="single" w:sz="2" w:space="0" w:color="FFFFFF" w:themeColor="background1"/>
            </w:tcBorders>
            <w:hideMark/>
          </w:tcPr>
          <w:p w14:paraId="173DD38D"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≥7 years</w:t>
            </w:r>
          </w:p>
        </w:tc>
      </w:tr>
      <w:tr w:rsidR="002D3963" w:rsidRPr="00717195" w14:paraId="4190E271" w14:textId="77777777" w:rsidTr="00C25476">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500CD33D" w14:textId="77777777" w:rsidR="001832A0" w:rsidRPr="00717195" w:rsidRDefault="001832A0">
            <w:pPr>
              <w:rPr>
                <w:color w:val="FFFFFF" w:themeColor="background1"/>
                <w:sz w:val="18"/>
                <w:szCs w:val="18"/>
              </w:rPr>
            </w:pPr>
          </w:p>
        </w:tc>
        <w:tc>
          <w:tcPr>
            <w:tcW w:w="1644" w:type="dxa"/>
            <w:tcBorders>
              <w:top w:val="single" w:sz="2" w:space="0" w:color="FFFFFF" w:themeColor="background1"/>
              <w:left w:val="single" w:sz="2" w:space="0" w:color="FFFFFF" w:themeColor="background1"/>
              <w:right w:val="single" w:sz="2" w:space="0" w:color="FFFFFF" w:themeColor="background1"/>
            </w:tcBorders>
            <w:hideMark/>
          </w:tcPr>
          <w:p w14:paraId="1710A5FA"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N</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74BC20FD"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n</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704A7A73"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w:t>
            </w:r>
            <w:r w:rsidRPr="00A2127D">
              <w:rPr>
                <w:color w:val="FFFFFF" w:themeColor="background1"/>
                <w:sz w:val="18"/>
                <w:szCs w:val="18"/>
                <w:vertAlign w:val="superscript"/>
              </w:rPr>
              <w:t>f</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74488762"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n</w:t>
            </w:r>
          </w:p>
        </w:tc>
        <w:tc>
          <w:tcPr>
            <w:tcW w:w="1225" w:type="dxa"/>
            <w:tcBorders>
              <w:top w:val="single" w:sz="2" w:space="0" w:color="FFFFFF" w:themeColor="background1"/>
              <w:left w:val="single" w:sz="2" w:space="0" w:color="FFFFFF" w:themeColor="background1"/>
              <w:right w:val="single" w:sz="2" w:space="0" w:color="FFFFFF" w:themeColor="background1"/>
            </w:tcBorders>
            <w:hideMark/>
          </w:tcPr>
          <w:p w14:paraId="1D7EB350"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w:t>
            </w:r>
            <w:r w:rsidRPr="00A2127D">
              <w:rPr>
                <w:color w:val="FFFFFF" w:themeColor="background1"/>
                <w:sz w:val="18"/>
                <w:szCs w:val="18"/>
                <w:vertAlign w:val="superscript"/>
              </w:rPr>
              <w:t>f</w:t>
            </w:r>
          </w:p>
        </w:tc>
        <w:tc>
          <w:tcPr>
            <w:tcW w:w="1326" w:type="dxa"/>
            <w:tcBorders>
              <w:top w:val="single" w:sz="2" w:space="0" w:color="FFFFFF" w:themeColor="background1"/>
              <w:left w:val="single" w:sz="2" w:space="0" w:color="FFFFFF" w:themeColor="background1"/>
              <w:right w:val="single" w:sz="2" w:space="0" w:color="FFFFFF" w:themeColor="background1"/>
            </w:tcBorders>
            <w:hideMark/>
          </w:tcPr>
          <w:p w14:paraId="20B1CF84"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n</w:t>
            </w:r>
          </w:p>
        </w:tc>
        <w:tc>
          <w:tcPr>
            <w:tcW w:w="1418" w:type="dxa"/>
            <w:tcBorders>
              <w:top w:val="single" w:sz="2" w:space="0" w:color="FFFFFF" w:themeColor="background1"/>
              <w:left w:val="single" w:sz="2" w:space="0" w:color="FFFFFF" w:themeColor="background1"/>
              <w:right w:val="single" w:sz="2" w:space="0" w:color="FFFFFF" w:themeColor="background1"/>
            </w:tcBorders>
            <w:hideMark/>
          </w:tcPr>
          <w:p w14:paraId="6072D16B"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w:t>
            </w:r>
            <w:r w:rsidRPr="00A2127D">
              <w:rPr>
                <w:color w:val="FFFFFF" w:themeColor="background1"/>
                <w:sz w:val="18"/>
                <w:szCs w:val="18"/>
                <w:vertAlign w:val="superscript"/>
              </w:rPr>
              <w:t>f</w:t>
            </w:r>
          </w:p>
        </w:tc>
        <w:tc>
          <w:tcPr>
            <w:tcW w:w="1275" w:type="dxa"/>
            <w:tcBorders>
              <w:top w:val="single" w:sz="2" w:space="0" w:color="FFFFFF" w:themeColor="background1"/>
              <w:left w:val="single" w:sz="2" w:space="0" w:color="FFFFFF" w:themeColor="background1"/>
              <w:right w:val="single" w:sz="2" w:space="0" w:color="FFFFFF" w:themeColor="background1"/>
            </w:tcBorders>
            <w:hideMark/>
          </w:tcPr>
          <w:p w14:paraId="2FD8E73D"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n</w:t>
            </w:r>
          </w:p>
        </w:tc>
        <w:tc>
          <w:tcPr>
            <w:tcW w:w="1307" w:type="dxa"/>
            <w:tcBorders>
              <w:top w:val="single" w:sz="2" w:space="0" w:color="FFFFFF" w:themeColor="background1"/>
              <w:left w:val="single" w:sz="2" w:space="0" w:color="FFFFFF" w:themeColor="background1"/>
            </w:tcBorders>
            <w:hideMark/>
          </w:tcPr>
          <w:p w14:paraId="2F2BE22F" w14:textId="77777777" w:rsidR="001832A0" w:rsidRPr="00717195" w:rsidRDefault="001832A0" w:rsidP="002D3963">
            <w:pPr>
              <w:pStyle w:val="NormalWeb"/>
              <w:jc w:val="center"/>
              <w:rPr>
                <w:color w:val="FFFFFF" w:themeColor="background1"/>
                <w:sz w:val="18"/>
                <w:szCs w:val="18"/>
              </w:rPr>
            </w:pPr>
            <w:r w:rsidRPr="00717195">
              <w:rPr>
                <w:color w:val="FFFFFF" w:themeColor="background1"/>
                <w:sz w:val="18"/>
                <w:szCs w:val="18"/>
              </w:rPr>
              <w:t>(%)</w:t>
            </w:r>
            <w:r w:rsidRPr="00A2127D">
              <w:rPr>
                <w:color w:val="FFFFFF" w:themeColor="background1"/>
                <w:sz w:val="18"/>
                <w:szCs w:val="18"/>
                <w:vertAlign w:val="superscript"/>
              </w:rPr>
              <w:t>f</w:t>
            </w:r>
          </w:p>
        </w:tc>
      </w:tr>
      <w:tr w:rsidR="00427EF4" w:rsidRPr="00717195" w14:paraId="31A94755" w14:textId="77777777" w:rsidTr="00C25476">
        <w:tc>
          <w:tcPr>
            <w:tcW w:w="0" w:type="auto"/>
            <w:hideMark/>
          </w:tcPr>
          <w:p w14:paraId="6E4BD9D2" w14:textId="77777777" w:rsidR="001832A0" w:rsidRPr="00717195" w:rsidRDefault="001832A0">
            <w:pPr>
              <w:pStyle w:val="NormalWeb"/>
              <w:rPr>
                <w:sz w:val="18"/>
                <w:szCs w:val="18"/>
              </w:rPr>
            </w:pPr>
            <w:r w:rsidRPr="00717195">
              <w:rPr>
                <w:sz w:val="18"/>
                <w:szCs w:val="18"/>
              </w:rPr>
              <w:t>Injection site reaction</w:t>
            </w:r>
            <w:r w:rsidRPr="008E3CB1">
              <w:rPr>
                <w:sz w:val="18"/>
                <w:szCs w:val="18"/>
                <w:vertAlign w:val="superscript"/>
              </w:rPr>
              <w:t>g</w:t>
            </w:r>
          </w:p>
        </w:tc>
        <w:tc>
          <w:tcPr>
            <w:tcW w:w="1644" w:type="dxa"/>
            <w:hideMark/>
          </w:tcPr>
          <w:p w14:paraId="6EF04625" w14:textId="77777777" w:rsidR="001832A0" w:rsidRPr="00717195" w:rsidRDefault="001832A0" w:rsidP="002D3963">
            <w:pPr>
              <w:pStyle w:val="NormalWeb"/>
              <w:jc w:val="center"/>
              <w:rPr>
                <w:sz w:val="18"/>
                <w:szCs w:val="18"/>
              </w:rPr>
            </w:pPr>
            <w:r w:rsidRPr="00717195">
              <w:rPr>
                <w:sz w:val="18"/>
                <w:szCs w:val="18"/>
              </w:rPr>
              <w:t>1,419</w:t>
            </w:r>
          </w:p>
        </w:tc>
        <w:tc>
          <w:tcPr>
            <w:tcW w:w="1134" w:type="dxa"/>
            <w:hideMark/>
          </w:tcPr>
          <w:p w14:paraId="12BFF932" w14:textId="77777777" w:rsidR="001832A0" w:rsidRPr="00717195" w:rsidRDefault="001832A0" w:rsidP="002D3963">
            <w:pPr>
              <w:pStyle w:val="NormalWeb"/>
              <w:jc w:val="center"/>
              <w:rPr>
                <w:sz w:val="18"/>
                <w:szCs w:val="18"/>
              </w:rPr>
            </w:pPr>
            <w:r w:rsidRPr="00717195">
              <w:rPr>
                <w:sz w:val="18"/>
                <w:szCs w:val="18"/>
              </w:rPr>
              <w:t>829</w:t>
            </w:r>
          </w:p>
        </w:tc>
        <w:tc>
          <w:tcPr>
            <w:tcW w:w="1134" w:type="dxa"/>
            <w:hideMark/>
          </w:tcPr>
          <w:p w14:paraId="69C7C176" w14:textId="77777777" w:rsidR="001832A0" w:rsidRPr="00717195" w:rsidRDefault="001832A0" w:rsidP="002D3963">
            <w:pPr>
              <w:pStyle w:val="NormalWeb"/>
              <w:jc w:val="center"/>
              <w:rPr>
                <w:sz w:val="18"/>
                <w:szCs w:val="18"/>
              </w:rPr>
            </w:pPr>
            <w:r w:rsidRPr="00717195">
              <w:rPr>
                <w:sz w:val="18"/>
                <w:szCs w:val="18"/>
              </w:rPr>
              <w:t>(58.4)</w:t>
            </w:r>
          </w:p>
        </w:tc>
        <w:tc>
          <w:tcPr>
            <w:tcW w:w="1134" w:type="dxa"/>
            <w:hideMark/>
          </w:tcPr>
          <w:p w14:paraId="2F55C4F4" w14:textId="77777777" w:rsidR="001832A0" w:rsidRPr="00717195" w:rsidRDefault="001832A0" w:rsidP="002D3963">
            <w:pPr>
              <w:pStyle w:val="NormalWeb"/>
              <w:jc w:val="center"/>
              <w:rPr>
                <w:sz w:val="18"/>
                <w:szCs w:val="18"/>
              </w:rPr>
            </w:pPr>
            <w:r w:rsidRPr="00717195">
              <w:rPr>
                <w:sz w:val="18"/>
                <w:szCs w:val="18"/>
              </w:rPr>
              <w:t>108</w:t>
            </w:r>
          </w:p>
        </w:tc>
        <w:tc>
          <w:tcPr>
            <w:tcW w:w="1225" w:type="dxa"/>
            <w:hideMark/>
          </w:tcPr>
          <w:p w14:paraId="08718C80" w14:textId="77777777" w:rsidR="001832A0" w:rsidRPr="00717195" w:rsidRDefault="001832A0" w:rsidP="002D3963">
            <w:pPr>
              <w:pStyle w:val="NormalWeb"/>
              <w:jc w:val="center"/>
              <w:rPr>
                <w:sz w:val="18"/>
                <w:szCs w:val="18"/>
              </w:rPr>
            </w:pPr>
            <w:r w:rsidRPr="00717195">
              <w:rPr>
                <w:sz w:val="18"/>
                <w:szCs w:val="18"/>
              </w:rPr>
              <w:t>(7.6)</w:t>
            </w:r>
          </w:p>
        </w:tc>
        <w:tc>
          <w:tcPr>
            <w:tcW w:w="1326" w:type="dxa"/>
            <w:hideMark/>
          </w:tcPr>
          <w:p w14:paraId="0727C566" w14:textId="77777777" w:rsidR="001832A0" w:rsidRPr="00717195" w:rsidRDefault="001832A0" w:rsidP="002D3963">
            <w:pPr>
              <w:pStyle w:val="NormalWeb"/>
              <w:jc w:val="center"/>
              <w:rPr>
                <w:sz w:val="18"/>
                <w:szCs w:val="18"/>
              </w:rPr>
            </w:pPr>
            <w:r w:rsidRPr="00717195">
              <w:rPr>
                <w:sz w:val="18"/>
                <w:szCs w:val="18"/>
              </w:rPr>
              <w:t>706</w:t>
            </w:r>
          </w:p>
        </w:tc>
        <w:tc>
          <w:tcPr>
            <w:tcW w:w="1418" w:type="dxa"/>
            <w:hideMark/>
          </w:tcPr>
          <w:p w14:paraId="1BCC84B1" w14:textId="77777777" w:rsidR="001832A0" w:rsidRPr="00717195" w:rsidRDefault="001832A0" w:rsidP="002D3963">
            <w:pPr>
              <w:pStyle w:val="NormalWeb"/>
              <w:jc w:val="center"/>
              <w:rPr>
                <w:sz w:val="18"/>
                <w:szCs w:val="18"/>
              </w:rPr>
            </w:pPr>
            <w:r w:rsidRPr="00717195">
              <w:rPr>
                <w:sz w:val="18"/>
                <w:szCs w:val="18"/>
              </w:rPr>
              <w:t>(49.8)</w:t>
            </w:r>
          </w:p>
        </w:tc>
        <w:tc>
          <w:tcPr>
            <w:tcW w:w="1275" w:type="dxa"/>
            <w:hideMark/>
          </w:tcPr>
          <w:p w14:paraId="100B3B57" w14:textId="77777777" w:rsidR="001832A0" w:rsidRPr="00717195" w:rsidRDefault="001832A0" w:rsidP="002D3963">
            <w:pPr>
              <w:pStyle w:val="NormalWeb"/>
              <w:jc w:val="center"/>
              <w:rPr>
                <w:sz w:val="18"/>
                <w:szCs w:val="18"/>
              </w:rPr>
            </w:pPr>
            <w:r w:rsidRPr="00717195">
              <w:rPr>
                <w:sz w:val="18"/>
                <w:szCs w:val="18"/>
              </w:rPr>
              <w:t>689</w:t>
            </w:r>
          </w:p>
        </w:tc>
        <w:tc>
          <w:tcPr>
            <w:tcW w:w="1307" w:type="dxa"/>
            <w:hideMark/>
          </w:tcPr>
          <w:p w14:paraId="19F0458F" w14:textId="77777777" w:rsidR="001832A0" w:rsidRPr="00717195" w:rsidRDefault="001832A0" w:rsidP="002D3963">
            <w:pPr>
              <w:pStyle w:val="NormalWeb"/>
              <w:jc w:val="center"/>
              <w:rPr>
                <w:sz w:val="18"/>
                <w:szCs w:val="18"/>
              </w:rPr>
            </w:pPr>
            <w:r w:rsidRPr="00717195">
              <w:rPr>
                <w:sz w:val="18"/>
                <w:szCs w:val="18"/>
              </w:rPr>
              <w:t>(48.6)</w:t>
            </w:r>
          </w:p>
        </w:tc>
      </w:tr>
      <w:tr w:rsidR="00DF1085" w:rsidRPr="00717195" w14:paraId="5BC9C39F"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46224D30" w14:textId="77777777" w:rsidR="001832A0" w:rsidRPr="00717195" w:rsidRDefault="001832A0">
            <w:pPr>
              <w:pStyle w:val="NormalWeb"/>
              <w:rPr>
                <w:sz w:val="18"/>
                <w:szCs w:val="18"/>
              </w:rPr>
            </w:pPr>
            <w:r w:rsidRPr="00717195">
              <w:rPr>
                <w:sz w:val="18"/>
                <w:szCs w:val="18"/>
              </w:rPr>
              <w:t>Pyrexia</w:t>
            </w:r>
          </w:p>
        </w:tc>
        <w:tc>
          <w:tcPr>
            <w:tcW w:w="1644" w:type="dxa"/>
            <w:hideMark/>
          </w:tcPr>
          <w:p w14:paraId="2CF804F4" w14:textId="77777777" w:rsidR="001832A0" w:rsidRPr="00717195" w:rsidRDefault="001832A0" w:rsidP="002D3963">
            <w:pPr>
              <w:pStyle w:val="NormalWeb"/>
              <w:jc w:val="center"/>
              <w:rPr>
                <w:sz w:val="18"/>
                <w:szCs w:val="18"/>
              </w:rPr>
            </w:pPr>
            <w:r w:rsidRPr="00717195">
              <w:rPr>
                <w:sz w:val="18"/>
                <w:szCs w:val="18"/>
              </w:rPr>
              <w:t>639</w:t>
            </w:r>
          </w:p>
        </w:tc>
        <w:tc>
          <w:tcPr>
            <w:tcW w:w="1134" w:type="dxa"/>
            <w:hideMark/>
          </w:tcPr>
          <w:p w14:paraId="41E2C84D" w14:textId="77777777" w:rsidR="001832A0" w:rsidRPr="00717195" w:rsidRDefault="001832A0" w:rsidP="002D3963">
            <w:pPr>
              <w:pStyle w:val="NormalWeb"/>
              <w:jc w:val="center"/>
              <w:rPr>
                <w:sz w:val="18"/>
                <w:szCs w:val="18"/>
              </w:rPr>
            </w:pPr>
            <w:r w:rsidRPr="00717195">
              <w:rPr>
                <w:sz w:val="18"/>
                <w:szCs w:val="18"/>
              </w:rPr>
              <w:t>37</w:t>
            </w:r>
          </w:p>
        </w:tc>
        <w:tc>
          <w:tcPr>
            <w:tcW w:w="1134" w:type="dxa"/>
            <w:hideMark/>
          </w:tcPr>
          <w:p w14:paraId="342B0CA3" w14:textId="77777777" w:rsidR="001832A0" w:rsidRPr="00717195" w:rsidRDefault="001832A0" w:rsidP="002D3963">
            <w:pPr>
              <w:pStyle w:val="NormalWeb"/>
              <w:jc w:val="center"/>
              <w:rPr>
                <w:sz w:val="18"/>
                <w:szCs w:val="18"/>
              </w:rPr>
            </w:pPr>
            <w:r w:rsidRPr="00717195">
              <w:rPr>
                <w:sz w:val="18"/>
                <w:szCs w:val="18"/>
              </w:rPr>
              <w:t>(5.8)</w:t>
            </w:r>
          </w:p>
        </w:tc>
        <w:tc>
          <w:tcPr>
            <w:tcW w:w="1134" w:type="dxa"/>
            <w:hideMark/>
          </w:tcPr>
          <w:p w14:paraId="72909ACF" w14:textId="77777777" w:rsidR="001832A0" w:rsidRPr="00717195" w:rsidRDefault="001832A0" w:rsidP="002D3963">
            <w:pPr>
              <w:pStyle w:val="NormalWeb"/>
              <w:jc w:val="center"/>
              <w:rPr>
                <w:sz w:val="18"/>
                <w:szCs w:val="18"/>
              </w:rPr>
            </w:pPr>
            <w:r w:rsidRPr="00717195">
              <w:rPr>
                <w:sz w:val="18"/>
                <w:szCs w:val="18"/>
              </w:rPr>
              <w:t>104</w:t>
            </w:r>
          </w:p>
        </w:tc>
        <w:tc>
          <w:tcPr>
            <w:tcW w:w="1225" w:type="dxa"/>
            <w:hideMark/>
          </w:tcPr>
          <w:p w14:paraId="308FEFFC" w14:textId="77777777" w:rsidR="001832A0" w:rsidRPr="00717195" w:rsidRDefault="001832A0" w:rsidP="002D3963">
            <w:pPr>
              <w:pStyle w:val="NormalWeb"/>
              <w:jc w:val="center"/>
              <w:rPr>
                <w:sz w:val="18"/>
                <w:szCs w:val="18"/>
              </w:rPr>
            </w:pPr>
            <w:r w:rsidRPr="00717195">
              <w:rPr>
                <w:sz w:val="18"/>
                <w:szCs w:val="18"/>
              </w:rPr>
              <w:t>(16.3)</w:t>
            </w:r>
          </w:p>
        </w:tc>
        <w:tc>
          <w:tcPr>
            <w:tcW w:w="1326" w:type="dxa"/>
            <w:hideMark/>
          </w:tcPr>
          <w:p w14:paraId="1CF668E5" w14:textId="77777777" w:rsidR="001832A0" w:rsidRPr="00717195" w:rsidRDefault="001832A0" w:rsidP="002D3963">
            <w:pPr>
              <w:pStyle w:val="NormalWeb"/>
              <w:jc w:val="center"/>
              <w:rPr>
                <w:sz w:val="18"/>
                <w:szCs w:val="18"/>
              </w:rPr>
            </w:pPr>
            <w:r w:rsidRPr="00717195">
              <w:rPr>
                <w:sz w:val="18"/>
                <w:szCs w:val="18"/>
              </w:rPr>
              <w:t>372</w:t>
            </w:r>
          </w:p>
        </w:tc>
        <w:tc>
          <w:tcPr>
            <w:tcW w:w="1418" w:type="dxa"/>
            <w:hideMark/>
          </w:tcPr>
          <w:p w14:paraId="3422E492" w14:textId="77777777" w:rsidR="001832A0" w:rsidRPr="00717195" w:rsidRDefault="001832A0" w:rsidP="002D3963">
            <w:pPr>
              <w:pStyle w:val="NormalWeb"/>
              <w:jc w:val="center"/>
              <w:rPr>
                <w:sz w:val="18"/>
                <w:szCs w:val="18"/>
              </w:rPr>
            </w:pPr>
            <w:r w:rsidRPr="00717195">
              <w:rPr>
                <w:sz w:val="18"/>
                <w:szCs w:val="18"/>
              </w:rPr>
              <w:t>(58.2)</w:t>
            </w:r>
          </w:p>
        </w:tc>
        <w:tc>
          <w:tcPr>
            <w:tcW w:w="1275" w:type="dxa"/>
            <w:hideMark/>
          </w:tcPr>
          <w:p w14:paraId="39A7848A" w14:textId="77777777" w:rsidR="001832A0" w:rsidRPr="00717195" w:rsidRDefault="001832A0" w:rsidP="002D3963">
            <w:pPr>
              <w:pStyle w:val="NormalWeb"/>
              <w:jc w:val="center"/>
              <w:rPr>
                <w:sz w:val="18"/>
                <w:szCs w:val="18"/>
              </w:rPr>
            </w:pPr>
            <w:r w:rsidRPr="00717195">
              <w:rPr>
                <w:sz w:val="18"/>
                <w:szCs w:val="18"/>
              </w:rPr>
              <w:t>256</w:t>
            </w:r>
          </w:p>
        </w:tc>
        <w:tc>
          <w:tcPr>
            <w:tcW w:w="1307" w:type="dxa"/>
            <w:hideMark/>
          </w:tcPr>
          <w:p w14:paraId="6A947141" w14:textId="77777777" w:rsidR="001832A0" w:rsidRPr="00717195" w:rsidRDefault="001832A0" w:rsidP="002D3963">
            <w:pPr>
              <w:pStyle w:val="NormalWeb"/>
              <w:jc w:val="center"/>
              <w:rPr>
                <w:sz w:val="18"/>
                <w:szCs w:val="18"/>
              </w:rPr>
            </w:pPr>
            <w:r w:rsidRPr="00717195">
              <w:rPr>
                <w:sz w:val="18"/>
                <w:szCs w:val="18"/>
              </w:rPr>
              <w:t>(40.1)</w:t>
            </w:r>
          </w:p>
        </w:tc>
      </w:tr>
      <w:tr w:rsidR="00427EF4" w:rsidRPr="00717195" w14:paraId="05E2A1ED" w14:textId="77777777" w:rsidTr="00C25476">
        <w:tc>
          <w:tcPr>
            <w:tcW w:w="0" w:type="auto"/>
            <w:hideMark/>
          </w:tcPr>
          <w:p w14:paraId="66629203" w14:textId="77777777" w:rsidR="001832A0" w:rsidRPr="00717195" w:rsidRDefault="001832A0">
            <w:pPr>
              <w:pStyle w:val="NormalWeb"/>
              <w:rPr>
                <w:sz w:val="18"/>
                <w:szCs w:val="18"/>
              </w:rPr>
            </w:pPr>
            <w:r w:rsidRPr="00717195">
              <w:rPr>
                <w:sz w:val="18"/>
                <w:szCs w:val="18"/>
              </w:rPr>
              <w:t>Rash</w:t>
            </w:r>
            <w:r w:rsidRPr="008E3CB1">
              <w:rPr>
                <w:sz w:val="18"/>
                <w:szCs w:val="18"/>
                <w:vertAlign w:val="superscript"/>
              </w:rPr>
              <w:t>h</w:t>
            </w:r>
          </w:p>
        </w:tc>
        <w:tc>
          <w:tcPr>
            <w:tcW w:w="1644" w:type="dxa"/>
            <w:hideMark/>
          </w:tcPr>
          <w:p w14:paraId="6E886277" w14:textId="77777777" w:rsidR="001832A0" w:rsidRPr="00717195" w:rsidRDefault="001832A0" w:rsidP="002D3963">
            <w:pPr>
              <w:pStyle w:val="NormalWeb"/>
              <w:jc w:val="center"/>
              <w:rPr>
                <w:sz w:val="18"/>
                <w:szCs w:val="18"/>
              </w:rPr>
            </w:pPr>
            <w:r w:rsidRPr="00717195">
              <w:rPr>
                <w:sz w:val="18"/>
                <w:szCs w:val="18"/>
              </w:rPr>
              <w:t>631</w:t>
            </w:r>
          </w:p>
        </w:tc>
        <w:tc>
          <w:tcPr>
            <w:tcW w:w="1134" w:type="dxa"/>
            <w:hideMark/>
          </w:tcPr>
          <w:p w14:paraId="01366639" w14:textId="77777777" w:rsidR="001832A0" w:rsidRPr="00717195" w:rsidRDefault="001832A0" w:rsidP="002D3963">
            <w:pPr>
              <w:pStyle w:val="NormalWeb"/>
              <w:jc w:val="center"/>
              <w:rPr>
                <w:sz w:val="18"/>
                <w:szCs w:val="18"/>
              </w:rPr>
            </w:pPr>
            <w:r w:rsidRPr="00717195">
              <w:rPr>
                <w:sz w:val="18"/>
                <w:szCs w:val="18"/>
              </w:rPr>
              <w:t>278</w:t>
            </w:r>
          </w:p>
        </w:tc>
        <w:tc>
          <w:tcPr>
            <w:tcW w:w="1134" w:type="dxa"/>
            <w:hideMark/>
          </w:tcPr>
          <w:p w14:paraId="1EFC36E8" w14:textId="77777777" w:rsidR="001832A0" w:rsidRPr="00717195" w:rsidRDefault="001832A0" w:rsidP="002D3963">
            <w:pPr>
              <w:pStyle w:val="NormalWeb"/>
              <w:jc w:val="center"/>
              <w:rPr>
                <w:sz w:val="18"/>
                <w:szCs w:val="18"/>
              </w:rPr>
            </w:pPr>
            <w:r w:rsidRPr="00717195">
              <w:rPr>
                <w:sz w:val="18"/>
                <w:szCs w:val="18"/>
              </w:rPr>
              <w:t>(44.1)</w:t>
            </w:r>
          </w:p>
        </w:tc>
        <w:tc>
          <w:tcPr>
            <w:tcW w:w="1134" w:type="dxa"/>
            <w:hideMark/>
          </w:tcPr>
          <w:p w14:paraId="4CD31D7A" w14:textId="77777777" w:rsidR="001832A0" w:rsidRPr="00717195" w:rsidRDefault="001832A0" w:rsidP="002D3963">
            <w:pPr>
              <w:pStyle w:val="NormalWeb"/>
              <w:jc w:val="center"/>
              <w:rPr>
                <w:sz w:val="18"/>
                <w:szCs w:val="18"/>
              </w:rPr>
            </w:pPr>
            <w:r w:rsidRPr="00717195">
              <w:rPr>
                <w:sz w:val="18"/>
                <w:szCs w:val="18"/>
              </w:rPr>
              <w:t>52</w:t>
            </w:r>
          </w:p>
        </w:tc>
        <w:tc>
          <w:tcPr>
            <w:tcW w:w="1225" w:type="dxa"/>
            <w:hideMark/>
          </w:tcPr>
          <w:p w14:paraId="5A1EA354" w14:textId="77777777" w:rsidR="001832A0" w:rsidRPr="00717195" w:rsidRDefault="001832A0" w:rsidP="002D3963">
            <w:pPr>
              <w:pStyle w:val="NormalWeb"/>
              <w:jc w:val="center"/>
              <w:rPr>
                <w:sz w:val="18"/>
                <w:szCs w:val="18"/>
              </w:rPr>
            </w:pPr>
            <w:r w:rsidRPr="00717195">
              <w:rPr>
                <w:sz w:val="18"/>
                <w:szCs w:val="18"/>
              </w:rPr>
              <w:t>(8.2)</w:t>
            </w:r>
          </w:p>
        </w:tc>
        <w:tc>
          <w:tcPr>
            <w:tcW w:w="1326" w:type="dxa"/>
            <w:hideMark/>
          </w:tcPr>
          <w:p w14:paraId="646CB31E" w14:textId="77777777" w:rsidR="001832A0" w:rsidRPr="00717195" w:rsidRDefault="001832A0" w:rsidP="002D3963">
            <w:pPr>
              <w:pStyle w:val="NormalWeb"/>
              <w:jc w:val="center"/>
              <w:rPr>
                <w:sz w:val="18"/>
                <w:szCs w:val="18"/>
              </w:rPr>
            </w:pPr>
            <w:r w:rsidRPr="00717195">
              <w:rPr>
                <w:sz w:val="18"/>
                <w:szCs w:val="18"/>
              </w:rPr>
              <w:t>395</w:t>
            </w:r>
          </w:p>
        </w:tc>
        <w:tc>
          <w:tcPr>
            <w:tcW w:w="1418" w:type="dxa"/>
            <w:hideMark/>
          </w:tcPr>
          <w:p w14:paraId="39206B6D" w14:textId="77777777" w:rsidR="001832A0" w:rsidRPr="00717195" w:rsidRDefault="001832A0" w:rsidP="002D3963">
            <w:pPr>
              <w:pStyle w:val="NormalWeb"/>
              <w:jc w:val="center"/>
              <w:rPr>
                <w:sz w:val="18"/>
                <w:szCs w:val="18"/>
              </w:rPr>
            </w:pPr>
            <w:r w:rsidRPr="00717195">
              <w:rPr>
                <w:sz w:val="18"/>
                <w:szCs w:val="18"/>
              </w:rPr>
              <w:t>(62.6)</w:t>
            </w:r>
          </w:p>
        </w:tc>
        <w:tc>
          <w:tcPr>
            <w:tcW w:w="1275" w:type="dxa"/>
            <w:hideMark/>
          </w:tcPr>
          <w:p w14:paraId="2BC61329" w14:textId="77777777" w:rsidR="001832A0" w:rsidRPr="00717195" w:rsidRDefault="001832A0" w:rsidP="002D3963">
            <w:pPr>
              <w:pStyle w:val="NormalWeb"/>
              <w:jc w:val="center"/>
              <w:rPr>
                <w:sz w:val="18"/>
                <w:szCs w:val="18"/>
              </w:rPr>
            </w:pPr>
            <w:r w:rsidRPr="00717195">
              <w:rPr>
                <w:sz w:val="18"/>
                <w:szCs w:val="18"/>
              </w:rPr>
              <w:t>228</w:t>
            </w:r>
          </w:p>
        </w:tc>
        <w:tc>
          <w:tcPr>
            <w:tcW w:w="1307" w:type="dxa"/>
            <w:hideMark/>
          </w:tcPr>
          <w:p w14:paraId="68D9C836" w14:textId="77777777" w:rsidR="001832A0" w:rsidRPr="00717195" w:rsidRDefault="001832A0" w:rsidP="002D3963">
            <w:pPr>
              <w:pStyle w:val="NormalWeb"/>
              <w:jc w:val="center"/>
              <w:rPr>
                <w:sz w:val="18"/>
                <w:szCs w:val="18"/>
              </w:rPr>
            </w:pPr>
            <w:r w:rsidRPr="00717195">
              <w:rPr>
                <w:sz w:val="18"/>
                <w:szCs w:val="18"/>
              </w:rPr>
              <w:t>(36.1)</w:t>
            </w:r>
          </w:p>
        </w:tc>
      </w:tr>
      <w:tr w:rsidR="00DF1085" w:rsidRPr="00717195" w14:paraId="502E851D"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626AC08F" w14:textId="77777777" w:rsidR="001832A0" w:rsidRPr="00717195" w:rsidRDefault="001832A0">
            <w:pPr>
              <w:pStyle w:val="NormalWeb"/>
              <w:rPr>
                <w:sz w:val="18"/>
                <w:szCs w:val="18"/>
              </w:rPr>
            </w:pPr>
            <w:r w:rsidRPr="00717195">
              <w:rPr>
                <w:sz w:val="18"/>
                <w:szCs w:val="18"/>
              </w:rPr>
              <w:t>Vomiting</w:t>
            </w:r>
          </w:p>
        </w:tc>
        <w:tc>
          <w:tcPr>
            <w:tcW w:w="1644" w:type="dxa"/>
            <w:hideMark/>
          </w:tcPr>
          <w:p w14:paraId="346A2862" w14:textId="77777777" w:rsidR="001832A0" w:rsidRPr="00717195" w:rsidRDefault="001832A0" w:rsidP="002D3963">
            <w:pPr>
              <w:pStyle w:val="NormalWeb"/>
              <w:jc w:val="center"/>
              <w:rPr>
                <w:sz w:val="18"/>
                <w:szCs w:val="18"/>
              </w:rPr>
            </w:pPr>
            <w:r w:rsidRPr="00717195">
              <w:rPr>
                <w:sz w:val="18"/>
                <w:szCs w:val="18"/>
              </w:rPr>
              <w:t>324</w:t>
            </w:r>
          </w:p>
        </w:tc>
        <w:tc>
          <w:tcPr>
            <w:tcW w:w="1134" w:type="dxa"/>
            <w:hideMark/>
          </w:tcPr>
          <w:p w14:paraId="679C09CC" w14:textId="77777777" w:rsidR="001832A0" w:rsidRPr="00717195" w:rsidRDefault="001832A0" w:rsidP="002D3963">
            <w:pPr>
              <w:pStyle w:val="NormalWeb"/>
              <w:jc w:val="center"/>
              <w:rPr>
                <w:sz w:val="18"/>
                <w:szCs w:val="18"/>
              </w:rPr>
            </w:pPr>
            <w:r w:rsidRPr="00717195">
              <w:rPr>
                <w:sz w:val="18"/>
                <w:szCs w:val="18"/>
              </w:rPr>
              <w:t>45</w:t>
            </w:r>
          </w:p>
        </w:tc>
        <w:tc>
          <w:tcPr>
            <w:tcW w:w="1134" w:type="dxa"/>
            <w:hideMark/>
          </w:tcPr>
          <w:p w14:paraId="6830BAE9" w14:textId="77777777" w:rsidR="001832A0" w:rsidRPr="00717195" w:rsidRDefault="001832A0" w:rsidP="002D3963">
            <w:pPr>
              <w:pStyle w:val="NormalWeb"/>
              <w:jc w:val="center"/>
              <w:rPr>
                <w:sz w:val="18"/>
                <w:szCs w:val="18"/>
              </w:rPr>
            </w:pPr>
            <w:r w:rsidRPr="00717195">
              <w:rPr>
                <w:sz w:val="18"/>
                <w:szCs w:val="18"/>
              </w:rPr>
              <w:t>(13.9)</w:t>
            </w:r>
          </w:p>
        </w:tc>
        <w:tc>
          <w:tcPr>
            <w:tcW w:w="1134" w:type="dxa"/>
            <w:hideMark/>
          </w:tcPr>
          <w:p w14:paraId="307F7AC0" w14:textId="77777777" w:rsidR="001832A0" w:rsidRPr="00717195" w:rsidRDefault="001832A0" w:rsidP="002D3963">
            <w:pPr>
              <w:pStyle w:val="NormalWeb"/>
              <w:jc w:val="center"/>
              <w:rPr>
                <w:sz w:val="18"/>
                <w:szCs w:val="18"/>
              </w:rPr>
            </w:pPr>
            <w:r w:rsidRPr="00717195">
              <w:rPr>
                <w:sz w:val="18"/>
                <w:szCs w:val="18"/>
              </w:rPr>
              <w:t>61</w:t>
            </w:r>
          </w:p>
        </w:tc>
        <w:tc>
          <w:tcPr>
            <w:tcW w:w="1225" w:type="dxa"/>
            <w:hideMark/>
          </w:tcPr>
          <w:p w14:paraId="2594E620" w14:textId="77777777" w:rsidR="001832A0" w:rsidRPr="00717195" w:rsidRDefault="001832A0" w:rsidP="002D3963">
            <w:pPr>
              <w:pStyle w:val="NormalWeb"/>
              <w:jc w:val="center"/>
              <w:rPr>
                <w:sz w:val="18"/>
                <w:szCs w:val="18"/>
              </w:rPr>
            </w:pPr>
            <w:r w:rsidRPr="00717195">
              <w:rPr>
                <w:sz w:val="18"/>
                <w:szCs w:val="18"/>
              </w:rPr>
              <w:t>(18.8)</w:t>
            </w:r>
          </w:p>
        </w:tc>
        <w:tc>
          <w:tcPr>
            <w:tcW w:w="1326" w:type="dxa"/>
            <w:hideMark/>
          </w:tcPr>
          <w:p w14:paraId="5C4D3350" w14:textId="77777777" w:rsidR="001832A0" w:rsidRPr="00717195" w:rsidRDefault="001832A0" w:rsidP="002D3963">
            <w:pPr>
              <w:pStyle w:val="NormalWeb"/>
              <w:jc w:val="center"/>
              <w:rPr>
                <w:sz w:val="18"/>
                <w:szCs w:val="18"/>
              </w:rPr>
            </w:pPr>
            <w:r w:rsidRPr="00717195">
              <w:rPr>
                <w:sz w:val="18"/>
                <w:szCs w:val="18"/>
              </w:rPr>
              <w:t>189</w:t>
            </w:r>
          </w:p>
        </w:tc>
        <w:tc>
          <w:tcPr>
            <w:tcW w:w="1418" w:type="dxa"/>
            <w:hideMark/>
          </w:tcPr>
          <w:p w14:paraId="18B66E2A" w14:textId="77777777" w:rsidR="001832A0" w:rsidRPr="00717195" w:rsidRDefault="001832A0" w:rsidP="002D3963">
            <w:pPr>
              <w:pStyle w:val="NormalWeb"/>
              <w:jc w:val="center"/>
              <w:rPr>
                <w:sz w:val="18"/>
                <w:szCs w:val="18"/>
              </w:rPr>
            </w:pPr>
            <w:r w:rsidRPr="00717195">
              <w:rPr>
                <w:sz w:val="18"/>
                <w:szCs w:val="18"/>
              </w:rPr>
              <w:t>(58.3)</w:t>
            </w:r>
          </w:p>
        </w:tc>
        <w:tc>
          <w:tcPr>
            <w:tcW w:w="1275" w:type="dxa"/>
            <w:hideMark/>
          </w:tcPr>
          <w:p w14:paraId="29ACFC87" w14:textId="77777777" w:rsidR="001832A0" w:rsidRPr="00717195" w:rsidRDefault="001832A0" w:rsidP="002D3963">
            <w:pPr>
              <w:pStyle w:val="NormalWeb"/>
              <w:jc w:val="center"/>
              <w:rPr>
                <w:sz w:val="18"/>
                <w:szCs w:val="18"/>
              </w:rPr>
            </w:pPr>
            <w:r w:rsidRPr="00717195">
              <w:rPr>
                <w:sz w:val="18"/>
                <w:szCs w:val="18"/>
              </w:rPr>
              <w:t>125</w:t>
            </w:r>
          </w:p>
        </w:tc>
        <w:tc>
          <w:tcPr>
            <w:tcW w:w="1307" w:type="dxa"/>
            <w:hideMark/>
          </w:tcPr>
          <w:p w14:paraId="6C609484" w14:textId="77777777" w:rsidR="001832A0" w:rsidRPr="00717195" w:rsidRDefault="001832A0" w:rsidP="002D3963">
            <w:pPr>
              <w:pStyle w:val="NormalWeb"/>
              <w:jc w:val="center"/>
              <w:rPr>
                <w:sz w:val="18"/>
                <w:szCs w:val="18"/>
              </w:rPr>
            </w:pPr>
            <w:r w:rsidRPr="00717195">
              <w:rPr>
                <w:sz w:val="18"/>
                <w:szCs w:val="18"/>
              </w:rPr>
              <w:t>(38.6)</w:t>
            </w:r>
          </w:p>
        </w:tc>
      </w:tr>
      <w:tr w:rsidR="00427EF4" w:rsidRPr="00717195" w14:paraId="13818A51" w14:textId="77777777" w:rsidTr="00C25476">
        <w:tc>
          <w:tcPr>
            <w:tcW w:w="0" w:type="auto"/>
            <w:hideMark/>
          </w:tcPr>
          <w:p w14:paraId="23B57870" w14:textId="77777777" w:rsidR="001832A0" w:rsidRPr="00717195" w:rsidRDefault="001832A0">
            <w:pPr>
              <w:pStyle w:val="NormalWeb"/>
              <w:rPr>
                <w:sz w:val="18"/>
                <w:szCs w:val="18"/>
              </w:rPr>
            </w:pPr>
            <w:r w:rsidRPr="00717195">
              <w:rPr>
                <w:sz w:val="18"/>
                <w:szCs w:val="18"/>
              </w:rPr>
              <w:t>Headache</w:t>
            </w:r>
          </w:p>
        </w:tc>
        <w:tc>
          <w:tcPr>
            <w:tcW w:w="1644" w:type="dxa"/>
            <w:hideMark/>
          </w:tcPr>
          <w:p w14:paraId="03DA1E6F" w14:textId="77777777" w:rsidR="001832A0" w:rsidRPr="00717195" w:rsidRDefault="001832A0" w:rsidP="002D3963">
            <w:pPr>
              <w:pStyle w:val="NormalWeb"/>
              <w:jc w:val="center"/>
              <w:rPr>
                <w:sz w:val="18"/>
                <w:szCs w:val="18"/>
              </w:rPr>
            </w:pPr>
            <w:r w:rsidRPr="00717195">
              <w:rPr>
                <w:sz w:val="18"/>
                <w:szCs w:val="18"/>
              </w:rPr>
              <w:t>274</w:t>
            </w:r>
          </w:p>
        </w:tc>
        <w:tc>
          <w:tcPr>
            <w:tcW w:w="1134" w:type="dxa"/>
            <w:hideMark/>
          </w:tcPr>
          <w:p w14:paraId="61CE2F36" w14:textId="77777777" w:rsidR="001832A0" w:rsidRPr="00717195" w:rsidRDefault="001832A0" w:rsidP="002D3963">
            <w:pPr>
              <w:pStyle w:val="NormalWeb"/>
              <w:jc w:val="center"/>
              <w:rPr>
                <w:sz w:val="18"/>
                <w:szCs w:val="18"/>
              </w:rPr>
            </w:pPr>
            <w:r w:rsidRPr="00717195">
              <w:rPr>
                <w:sz w:val="18"/>
                <w:szCs w:val="18"/>
              </w:rPr>
              <w:t>9</w:t>
            </w:r>
          </w:p>
        </w:tc>
        <w:tc>
          <w:tcPr>
            <w:tcW w:w="1134" w:type="dxa"/>
            <w:hideMark/>
          </w:tcPr>
          <w:p w14:paraId="3DF60EDF" w14:textId="77777777" w:rsidR="001832A0" w:rsidRPr="00717195" w:rsidRDefault="001832A0" w:rsidP="002D3963">
            <w:pPr>
              <w:pStyle w:val="NormalWeb"/>
              <w:jc w:val="center"/>
              <w:rPr>
                <w:sz w:val="18"/>
                <w:szCs w:val="18"/>
              </w:rPr>
            </w:pPr>
            <w:r w:rsidRPr="00717195">
              <w:rPr>
                <w:sz w:val="18"/>
                <w:szCs w:val="18"/>
              </w:rPr>
              <w:t>(3.3)</w:t>
            </w:r>
          </w:p>
        </w:tc>
        <w:tc>
          <w:tcPr>
            <w:tcW w:w="1134" w:type="dxa"/>
            <w:hideMark/>
          </w:tcPr>
          <w:p w14:paraId="23A55C34" w14:textId="77777777" w:rsidR="001832A0" w:rsidRPr="00717195" w:rsidRDefault="001832A0" w:rsidP="002D3963">
            <w:pPr>
              <w:pStyle w:val="NormalWeb"/>
              <w:jc w:val="center"/>
              <w:rPr>
                <w:sz w:val="18"/>
                <w:szCs w:val="18"/>
              </w:rPr>
            </w:pPr>
            <w:r w:rsidRPr="00717195">
              <w:rPr>
                <w:sz w:val="18"/>
                <w:szCs w:val="18"/>
              </w:rPr>
              <w:t>44</w:t>
            </w:r>
          </w:p>
        </w:tc>
        <w:tc>
          <w:tcPr>
            <w:tcW w:w="1225" w:type="dxa"/>
            <w:hideMark/>
          </w:tcPr>
          <w:p w14:paraId="19CEEC8B" w14:textId="77777777" w:rsidR="001832A0" w:rsidRPr="00717195" w:rsidRDefault="001832A0" w:rsidP="002D3963">
            <w:pPr>
              <w:pStyle w:val="NormalWeb"/>
              <w:jc w:val="center"/>
              <w:rPr>
                <w:sz w:val="18"/>
                <w:szCs w:val="18"/>
              </w:rPr>
            </w:pPr>
            <w:r w:rsidRPr="00717195">
              <w:rPr>
                <w:sz w:val="18"/>
                <w:szCs w:val="18"/>
              </w:rPr>
              <w:t>(16.1)</w:t>
            </w:r>
          </w:p>
        </w:tc>
        <w:tc>
          <w:tcPr>
            <w:tcW w:w="1326" w:type="dxa"/>
            <w:hideMark/>
          </w:tcPr>
          <w:p w14:paraId="32554612" w14:textId="77777777" w:rsidR="001832A0" w:rsidRPr="00717195" w:rsidRDefault="001832A0" w:rsidP="002D3963">
            <w:pPr>
              <w:pStyle w:val="NormalWeb"/>
              <w:jc w:val="center"/>
              <w:rPr>
                <w:sz w:val="18"/>
                <w:szCs w:val="18"/>
              </w:rPr>
            </w:pPr>
            <w:r w:rsidRPr="00717195">
              <w:rPr>
                <w:sz w:val="18"/>
                <w:szCs w:val="18"/>
              </w:rPr>
              <w:t>18</w:t>
            </w:r>
          </w:p>
        </w:tc>
        <w:tc>
          <w:tcPr>
            <w:tcW w:w="1418" w:type="dxa"/>
            <w:hideMark/>
          </w:tcPr>
          <w:p w14:paraId="0C6DF583" w14:textId="77777777" w:rsidR="001832A0" w:rsidRPr="00717195" w:rsidRDefault="001832A0" w:rsidP="002D3963">
            <w:pPr>
              <w:pStyle w:val="NormalWeb"/>
              <w:jc w:val="center"/>
              <w:rPr>
                <w:sz w:val="18"/>
                <w:szCs w:val="18"/>
              </w:rPr>
            </w:pPr>
            <w:r w:rsidRPr="00717195">
              <w:rPr>
                <w:sz w:val="18"/>
                <w:szCs w:val="18"/>
              </w:rPr>
              <w:t>(6.6)</w:t>
            </w:r>
          </w:p>
        </w:tc>
        <w:tc>
          <w:tcPr>
            <w:tcW w:w="1275" w:type="dxa"/>
            <w:hideMark/>
          </w:tcPr>
          <w:p w14:paraId="71705550" w14:textId="77777777" w:rsidR="001832A0" w:rsidRPr="00717195" w:rsidRDefault="001832A0" w:rsidP="002D3963">
            <w:pPr>
              <w:pStyle w:val="NormalWeb"/>
              <w:jc w:val="center"/>
              <w:rPr>
                <w:sz w:val="18"/>
                <w:szCs w:val="18"/>
              </w:rPr>
            </w:pPr>
            <w:r w:rsidRPr="00717195">
              <w:rPr>
                <w:sz w:val="18"/>
                <w:szCs w:val="18"/>
              </w:rPr>
              <w:t>223</w:t>
            </w:r>
          </w:p>
        </w:tc>
        <w:tc>
          <w:tcPr>
            <w:tcW w:w="1307" w:type="dxa"/>
            <w:hideMark/>
          </w:tcPr>
          <w:p w14:paraId="7D85DD23" w14:textId="77777777" w:rsidR="001832A0" w:rsidRPr="00717195" w:rsidRDefault="001832A0" w:rsidP="002D3963">
            <w:pPr>
              <w:pStyle w:val="NormalWeb"/>
              <w:jc w:val="center"/>
              <w:rPr>
                <w:sz w:val="18"/>
                <w:szCs w:val="18"/>
              </w:rPr>
            </w:pPr>
            <w:r w:rsidRPr="00717195">
              <w:rPr>
                <w:sz w:val="18"/>
                <w:szCs w:val="18"/>
              </w:rPr>
              <w:t>(81.4)</w:t>
            </w:r>
          </w:p>
        </w:tc>
      </w:tr>
      <w:tr w:rsidR="00DF1085" w:rsidRPr="00717195" w14:paraId="237D34DE"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6BA40FFA" w14:textId="77777777" w:rsidR="001832A0" w:rsidRPr="00717195" w:rsidRDefault="001832A0">
            <w:pPr>
              <w:pStyle w:val="NormalWeb"/>
              <w:rPr>
                <w:sz w:val="18"/>
                <w:szCs w:val="18"/>
              </w:rPr>
            </w:pPr>
            <w:r w:rsidRPr="00717195">
              <w:rPr>
                <w:sz w:val="18"/>
                <w:szCs w:val="18"/>
              </w:rPr>
              <w:t>Pain</w:t>
            </w:r>
          </w:p>
        </w:tc>
        <w:tc>
          <w:tcPr>
            <w:tcW w:w="1644" w:type="dxa"/>
            <w:hideMark/>
          </w:tcPr>
          <w:p w14:paraId="1005DFC3" w14:textId="77777777" w:rsidR="001832A0" w:rsidRPr="00717195" w:rsidRDefault="001832A0" w:rsidP="002D3963">
            <w:pPr>
              <w:pStyle w:val="NormalWeb"/>
              <w:jc w:val="center"/>
              <w:rPr>
                <w:sz w:val="18"/>
                <w:szCs w:val="18"/>
              </w:rPr>
            </w:pPr>
            <w:r w:rsidRPr="00717195">
              <w:rPr>
                <w:sz w:val="18"/>
                <w:szCs w:val="18"/>
              </w:rPr>
              <w:t>240</w:t>
            </w:r>
          </w:p>
        </w:tc>
        <w:tc>
          <w:tcPr>
            <w:tcW w:w="1134" w:type="dxa"/>
            <w:hideMark/>
          </w:tcPr>
          <w:p w14:paraId="4C65EBB8" w14:textId="77777777" w:rsidR="001832A0" w:rsidRPr="00717195" w:rsidRDefault="001832A0" w:rsidP="002D3963">
            <w:pPr>
              <w:pStyle w:val="NormalWeb"/>
              <w:jc w:val="center"/>
              <w:rPr>
                <w:sz w:val="18"/>
                <w:szCs w:val="18"/>
              </w:rPr>
            </w:pPr>
            <w:r w:rsidRPr="00717195">
              <w:rPr>
                <w:sz w:val="18"/>
                <w:szCs w:val="18"/>
              </w:rPr>
              <w:t>47</w:t>
            </w:r>
          </w:p>
        </w:tc>
        <w:tc>
          <w:tcPr>
            <w:tcW w:w="1134" w:type="dxa"/>
            <w:hideMark/>
          </w:tcPr>
          <w:p w14:paraId="7D10CE4D" w14:textId="77777777" w:rsidR="001832A0" w:rsidRPr="00717195" w:rsidRDefault="001832A0" w:rsidP="002D3963">
            <w:pPr>
              <w:pStyle w:val="NormalWeb"/>
              <w:jc w:val="center"/>
              <w:rPr>
                <w:sz w:val="18"/>
                <w:szCs w:val="18"/>
              </w:rPr>
            </w:pPr>
            <w:r w:rsidRPr="00717195">
              <w:rPr>
                <w:sz w:val="18"/>
                <w:szCs w:val="18"/>
              </w:rPr>
              <w:t>(19.6)</w:t>
            </w:r>
          </w:p>
        </w:tc>
        <w:tc>
          <w:tcPr>
            <w:tcW w:w="1134" w:type="dxa"/>
            <w:hideMark/>
          </w:tcPr>
          <w:p w14:paraId="08C765B9" w14:textId="77777777" w:rsidR="001832A0" w:rsidRPr="00717195" w:rsidRDefault="001832A0" w:rsidP="002D3963">
            <w:pPr>
              <w:pStyle w:val="NormalWeb"/>
              <w:jc w:val="center"/>
              <w:rPr>
                <w:sz w:val="18"/>
                <w:szCs w:val="18"/>
              </w:rPr>
            </w:pPr>
            <w:r w:rsidRPr="00717195">
              <w:rPr>
                <w:sz w:val="18"/>
                <w:szCs w:val="18"/>
              </w:rPr>
              <w:t>22</w:t>
            </w:r>
          </w:p>
        </w:tc>
        <w:tc>
          <w:tcPr>
            <w:tcW w:w="1225" w:type="dxa"/>
            <w:hideMark/>
          </w:tcPr>
          <w:p w14:paraId="64962686" w14:textId="77777777" w:rsidR="001832A0" w:rsidRPr="00717195" w:rsidRDefault="001832A0" w:rsidP="002D3963">
            <w:pPr>
              <w:pStyle w:val="NormalWeb"/>
              <w:jc w:val="center"/>
              <w:rPr>
                <w:sz w:val="18"/>
                <w:szCs w:val="18"/>
              </w:rPr>
            </w:pPr>
            <w:r w:rsidRPr="00717195">
              <w:rPr>
                <w:sz w:val="18"/>
                <w:szCs w:val="18"/>
              </w:rPr>
              <w:t>(9.2)</w:t>
            </w:r>
          </w:p>
        </w:tc>
        <w:tc>
          <w:tcPr>
            <w:tcW w:w="1326" w:type="dxa"/>
            <w:hideMark/>
          </w:tcPr>
          <w:p w14:paraId="6F50C4FC" w14:textId="77777777" w:rsidR="001832A0" w:rsidRPr="00717195" w:rsidRDefault="001832A0" w:rsidP="002D3963">
            <w:pPr>
              <w:pStyle w:val="NormalWeb"/>
              <w:jc w:val="center"/>
              <w:rPr>
                <w:sz w:val="18"/>
                <w:szCs w:val="18"/>
              </w:rPr>
            </w:pPr>
            <w:r w:rsidRPr="00717195">
              <w:rPr>
                <w:sz w:val="18"/>
                <w:szCs w:val="18"/>
              </w:rPr>
              <w:t>32</w:t>
            </w:r>
          </w:p>
        </w:tc>
        <w:tc>
          <w:tcPr>
            <w:tcW w:w="1418" w:type="dxa"/>
            <w:hideMark/>
          </w:tcPr>
          <w:p w14:paraId="08A1DD61" w14:textId="77777777" w:rsidR="001832A0" w:rsidRPr="00717195" w:rsidRDefault="001832A0" w:rsidP="002D3963">
            <w:pPr>
              <w:pStyle w:val="NormalWeb"/>
              <w:jc w:val="center"/>
              <w:rPr>
                <w:sz w:val="18"/>
                <w:szCs w:val="18"/>
              </w:rPr>
            </w:pPr>
            <w:r w:rsidRPr="00717195">
              <w:rPr>
                <w:sz w:val="18"/>
                <w:szCs w:val="18"/>
              </w:rPr>
              <w:t>(13.3)</w:t>
            </w:r>
          </w:p>
        </w:tc>
        <w:tc>
          <w:tcPr>
            <w:tcW w:w="1275" w:type="dxa"/>
            <w:hideMark/>
          </w:tcPr>
          <w:p w14:paraId="44B68005" w14:textId="77777777" w:rsidR="001832A0" w:rsidRPr="00717195" w:rsidRDefault="001832A0" w:rsidP="002D3963">
            <w:pPr>
              <w:pStyle w:val="NormalWeb"/>
              <w:jc w:val="center"/>
              <w:rPr>
                <w:sz w:val="18"/>
                <w:szCs w:val="18"/>
              </w:rPr>
            </w:pPr>
            <w:r w:rsidRPr="00717195">
              <w:rPr>
                <w:sz w:val="18"/>
                <w:szCs w:val="18"/>
              </w:rPr>
              <w:t>199</w:t>
            </w:r>
          </w:p>
        </w:tc>
        <w:tc>
          <w:tcPr>
            <w:tcW w:w="1307" w:type="dxa"/>
            <w:hideMark/>
          </w:tcPr>
          <w:p w14:paraId="285A18FC" w14:textId="77777777" w:rsidR="001832A0" w:rsidRPr="00717195" w:rsidRDefault="001832A0" w:rsidP="002D3963">
            <w:pPr>
              <w:pStyle w:val="NormalWeb"/>
              <w:jc w:val="center"/>
              <w:rPr>
                <w:sz w:val="18"/>
                <w:szCs w:val="18"/>
              </w:rPr>
            </w:pPr>
            <w:r w:rsidRPr="00717195">
              <w:rPr>
                <w:sz w:val="18"/>
                <w:szCs w:val="18"/>
              </w:rPr>
              <w:t>(82.9)</w:t>
            </w:r>
          </w:p>
        </w:tc>
      </w:tr>
      <w:tr w:rsidR="00427EF4" w:rsidRPr="00717195" w14:paraId="2752781B" w14:textId="77777777" w:rsidTr="00C25476">
        <w:tc>
          <w:tcPr>
            <w:tcW w:w="0" w:type="auto"/>
            <w:hideMark/>
          </w:tcPr>
          <w:p w14:paraId="156200C4" w14:textId="77777777" w:rsidR="001832A0" w:rsidRPr="00717195" w:rsidRDefault="001832A0">
            <w:pPr>
              <w:pStyle w:val="NormalWeb"/>
              <w:rPr>
                <w:sz w:val="18"/>
                <w:szCs w:val="18"/>
              </w:rPr>
            </w:pPr>
            <w:r w:rsidRPr="00717195">
              <w:rPr>
                <w:sz w:val="18"/>
                <w:szCs w:val="18"/>
              </w:rPr>
              <w:t>Nausea</w:t>
            </w:r>
          </w:p>
        </w:tc>
        <w:tc>
          <w:tcPr>
            <w:tcW w:w="1644" w:type="dxa"/>
            <w:hideMark/>
          </w:tcPr>
          <w:p w14:paraId="6BC42A0E" w14:textId="77777777" w:rsidR="001832A0" w:rsidRPr="00717195" w:rsidRDefault="001832A0" w:rsidP="002D3963">
            <w:pPr>
              <w:pStyle w:val="NormalWeb"/>
              <w:jc w:val="center"/>
              <w:rPr>
                <w:sz w:val="18"/>
                <w:szCs w:val="18"/>
              </w:rPr>
            </w:pPr>
            <w:r w:rsidRPr="00717195">
              <w:rPr>
                <w:sz w:val="18"/>
                <w:szCs w:val="18"/>
              </w:rPr>
              <w:t>225</w:t>
            </w:r>
          </w:p>
        </w:tc>
        <w:tc>
          <w:tcPr>
            <w:tcW w:w="1134" w:type="dxa"/>
            <w:hideMark/>
          </w:tcPr>
          <w:p w14:paraId="5F8E4688" w14:textId="77777777" w:rsidR="001832A0" w:rsidRPr="00717195" w:rsidRDefault="001832A0" w:rsidP="002D3963">
            <w:pPr>
              <w:pStyle w:val="NormalWeb"/>
              <w:jc w:val="center"/>
              <w:rPr>
                <w:sz w:val="18"/>
                <w:szCs w:val="18"/>
              </w:rPr>
            </w:pPr>
            <w:r w:rsidRPr="00717195">
              <w:rPr>
                <w:sz w:val="18"/>
                <w:szCs w:val="18"/>
              </w:rPr>
              <w:t>3</w:t>
            </w:r>
          </w:p>
        </w:tc>
        <w:tc>
          <w:tcPr>
            <w:tcW w:w="1134" w:type="dxa"/>
            <w:hideMark/>
          </w:tcPr>
          <w:p w14:paraId="7034BB86" w14:textId="77777777" w:rsidR="001832A0" w:rsidRPr="00717195" w:rsidRDefault="001832A0" w:rsidP="002D3963">
            <w:pPr>
              <w:pStyle w:val="NormalWeb"/>
              <w:jc w:val="center"/>
              <w:rPr>
                <w:sz w:val="18"/>
                <w:szCs w:val="18"/>
              </w:rPr>
            </w:pPr>
            <w:r w:rsidRPr="00717195">
              <w:rPr>
                <w:sz w:val="18"/>
                <w:szCs w:val="18"/>
              </w:rPr>
              <w:t>(1.3)</w:t>
            </w:r>
          </w:p>
        </w:tc>
        <w:tc>
          <w:tcPr>
            <w:tcW w:w="1134" w:type="dxa"/>
            <w:hideMark/>
          </w:tcPr>
          <w:p w14:paraId="320B0801" w14:textId="77777777" w:rsidR="001832A0" w:rsidRPr="00717195" w:rsidRDefault="001832A0" w:rsidP="002D3963">
            <w:pPr>
              <w:pStyle w:val="NormalWeb"/>
              <w:jc w:val="center"/>
              <w:rPr>
                <w:sz w:val="18"/>
                <w:szCs w:val="18"/>
              </w:rPr>
            </w:pPr>
            <w:r w:rsidRPr="00717195">
              <w:rPr>
                <w:sz w:val="18"/>
                <w:szCs w:val="18"/>
              </w:rPr>
              <w:t>41</w:t>
            </w:r>
          </w:p>
        </w:tc>
        <w:tc>
          <w:tcPr>
            <w:tcW w:w="1225" w:type="dxa"/>
            <w:hideMark/>
          </w:tcPr>
          <w:p w14:paraId="6C3EDFCF" w14:textId="77777777" w:rsidR="001832A0" w:rsidRPr="00717195" w:rsidRDefault="001832A0" w:rsidP="002D3963">
            <w:pPr>
              <w:pStyle w:val="NormalWeb"/>
              <w:jc w:val="center"/>
              <w:rPr>
                <w:sz w:val="18"/>
                <w:szCs w:val="18"/>
              </w:rPr>
            </w:pPr>
            <w:r w:rsidRPr="00717195">
              <w:rPr>
                <w:sz w:val="18"/>
                <w:szCs w:val="18"/>
              </w:rPr>
              <w:t>(18.2)</w:t>
            </w:r>
          </w:p>
        </w:tc>
        <w:tc>
          <w:tcPr>
            <w:tcW w:w="1326" w:type="dxa"/>
            <w:hideMark/>
          </w:tcPr>
          <w:p w14:paraId="431CF30C" w14:textId="77777777" w:rsidR="001832A0" w:rsidRPr="00717195" w:rsidRDefault="001832A0" w:rsidP="002D3963">
            <w:pPr>
              <w:pStyle w:val="NormalWeb"/>
              <w:jc w:val="center"/>
              <w:rPr>
                <w:sz w:val="18"/>
                <w:szCs w:val="18"/>
              </w:rPr>
            </w:pPr>
            <w:r w:rsidRPr="00717195">
              <w:rPr>
                <w:sz w:val="18"/>
                <w:szCs w:val="18"/>
              </w:rPr>
              <w:t>15</w:t>
            </w:r>
          </w:p>
        </w:tc>
        <w:tc>
          <w:tcPr>
            <w:tcW w:w="1418" w:type="dxa"/>
            <w:hideMark/>
          </w:tcPr>
          <w:p w14:paraId="48A4EE19" w14:textId="77777777" w:rsidR="001832A0" w:rsidRPr="00717195" w:rsidRDefault="001832A0" w:rsidP="002D3963">
            <w:pPr>
              <w:pStyle w:val="NormalWeb"/>
              <w:jc w:val="center"/>
              <w:rPr>
                <w:sz w:val="18"/>
                <w:szCs w:val="18"/>
              </w:rPr>
            </w:pPr>
            <w:r w:rsidRPr="00717195">
              <w:rPr>
                <w:sz w:val="18"/>
                <w:szCs w:val="18"/>
              </w:rPr>
              <w:t>(6.7)</w:t>
            </w:r>
          </w:p>
        </w:tc>
        <w:tc>
          <w:tcPr>
            <w:tcW w:w="1275" w:type="dxa"/>
            <w:hideMark/>
          </w:tcPr>
          <w:p w14:paraId="7A4F0DA5" w14:textId="77777777" w:rsidR="001832A0" w:rsidRPr="00717195" w:rsidRDefault="001832A0" w:rsidP="002D3963">
            <w:pPr>
              <w:pStyle w:val="NormalWeb"/>
              <w:jc w:val="center"/>
              <w:rPr>
                <w:sz w:val="18"/>
                <w:szCs w:val="18"/>
              </w:rPr>
            </w:pPr>
            <w:r w:rsidRPr="00717195">
              <w:rPr>
                <w:sz w:val="18"/>
                <w:szCs w:val="18"/>
              </w:rPr>
              <w:t>203</w:t>
            </w:r>
          </w:p>
        </w:tc>
        <w:tc>
          <w:tcPr>
            <w:tcW w:w="1307" w:type="dxa"/>
            <w:hideMark/>
          </w:tcPr>
          <w:p w14:paraId="45CB679B" w14:textId="77777777" w:rsidR="001832A0" w:rsidRPr="00717195" w:rsidRDefault="001832A0" w:rsidP="002D3963">
            <w:pPr>
              <w:pStyle w:val="NormalWeb"/>
              <w:jc w:val="center"/>
              <w:rPr>
                <w:sz w:val="18"/>
                <w:szCs w:val="18"/>
              </w:rPr>
            </w:pPr>
            <w:r w:rsidRPr="00717195">
              <w:rPr>
                <w:sz w:val="18"/>
                <w:szCs w:val="18"/>
              </w:rPr>
              <w:t>(90.2)</w:t>
            </w:r>
          </w:p>
        </w:tc>
      </w:tr>
      <w:tr w:rsidR="00DF1085" w:rsidRPr="00717195" w14:paraId="140A0A2E"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21D672A3" w14:textId="77777777" w:rsidR="001832A0" w:rsidRPr="00717195" w:rsidRDefault="001832A0">
            <w:pPr>
              <w:pStyle w:val="NormalWeb"/>
              <w:rPr>
                <w:sz w:val="18"/>
                <w:szCs w:val="18"/>
              </w:rPr>
            </w:pPr>
            <w:r w:rsidRPr="00717195">
              <w:rPr>
                <w:sz w:val="18"/>
                <w:szCs w:val="18"/>
              </w:rPr>
              <w:t>Urticaria</w:t>
            </w:r>
          </w:p>
        </w:tc>
        <w:tc>
          <w:tcPr>
            <w:tcW w:w="1644" w:type="dxa"/>
            <w:hideMark/>
          </w:tcPr>
          <w:p w14:paraId="3AF88DFD" w14:textId="77777777" w:rsidR="001832A0" w:rsidRPr="00717195" w:rsidRDefault="001832A0" w:rsidP="002D3963">
            <w:pPr>
              <w:pStyle w:val="NormalWeb"/>
              <w:jc w:val="center"/>
              <w:rPr>
                <w:sz w:val="18"/>
                <w:szCs w:val="18"/>
              </w:rPr>
            </w:pPr>
            <w:r w:rsidRPr="00717195">
              <w:rPr>
                <w:sz w:val="18"/>
                <w:szCs w:val="18"/>
              </w:rPr>
              <w:t>196</w:t>
            </w:r>
          </w:p>
        </w:tc>
        <w:tc>
          <w:tcPr>
            <w:tcW w:w="1134" w:type="dxa"/>
            <w:hideMark/>
          </w:tcPr>
          <w:p w14:paraId="6C6BF448" w14:textId="77777777" w:rsidR="001832A0" w:rsidRPr="00717195" w:rsidRDefault="001832A0" w:rsidP="002D3963">
            <w:pPr>
              <w:pStyle w:val="NormalWeb"/>
              <w:jc w:val="center"/>
              <w:rPr>
                <w:sz w:val="18"/>
                <w:szCs w:val="18"/>
              </w:rPr>
            </w:pPr>
            <w:r w:rsidRPr="00717195">
              <w:rPr>
                <w:sz w:val="18"/>
                <w:szCs w:val="18"/>
              </w:rPr>
              <w:t>112</w:t>
            </w:r>
          </w:p>
        </w:tc>
        <w:tc>
          <w:tcPr>
            <w:tcW w:w="1134" w:type="dxa"/>
            <w:hideMark/>
          </w:tcPr>
          <w:p w14:paraId="0487520A" w14:textId="77777777" w:rsidR="001832A0" w:rsidRPr="00717195" w:rsidRDefault="001832A0" w:rsidP="002D3963">
            <w:pPr>
              <w:pStyle w:val="NormalWeb"/>
              <w:jc w:val="center"/>
              <w:rPr>
                <w:sz w:val="18"/>
                <w:szCs w:val="18"/>
              </w:rPr>
            </w:pPr>
            <w:r w:rsidRPr="00717195">
              <w:rPr>
                <w:sz w:val="18"/>
                <w:szCs w:val="18"/>
              </w:rPr>
              <w:t>(57.1)</w:t>
            </w:r>
          </w:p>
        </w:tc>
        <w:tc>
          <w:tcPr>
            <w:tcW w:w="1134" w:type="dxa"/>
            <w:hideMark/>
          </w:tcPr>
          <w:p w14:paraId="5663020E" w14:textId="77777777" w:rsidR="001832A0" w:rsidRPr="00717195" w:rsidRDefault="001832A0" w:rsidP="002D3963">
            <w:pPr>
              <w:pStyle w:val="NormalWeb"/>
              <w:jc w:val="center"/>
              <w:rPr>
                <w:sz w:val="18"/>
                <w:szCs w:val="18"/>
              </w:rPr>
            </w:pPr>
            <w:r w:rsidRPr="00717195">
              <w:rPr>
                <w:sz w:val="18"/>
                <w:szCs w:val="18"/>
              </w:rPr>
              <w:t>24</w:t>
            </w:r>
          </w:p>
        </w:tc>
        <w:tc>
          <w:tcPr>
            <w:tcW w:w="1225" w:type="dxa"/>
            <w:hideMark/>
          </w:tcPr>
          <w:p w14:paraId="2F52A44F" w14:textId="77777777" w:rsidR="001832A0" w:rsidRPr="00717195" w:rsidRDefault="001832A0" w:rsidP="002D3963">
            <w:pPr>
              <w:pStyle w:val="NormalWeb"/>
              <w:jc w:val="center"/>
              <w:rPr>
                <w:sz w:val="18"/>
                <w:szCs w:val="18"/>
              </w:rPr>
            </w:pPr>
            <w:r w:rsidRPr="00717195">
              <w:rPr>
                <w:sz w:val="18"/>
                <w:szCs w:val="18"/>
              </w:rPr>
              <w:t>(12.2)</w:t>
            </w:r>
          </w:p>
        </w:tc>
        <w:tc>
          <w:tcPr>
            <w:tcW w:w="1326" w:type="dxa"/>
            <w:hideMark/>
          </w:tcPr>
          <w:p w14:paraId="107640A5" w14:textId="77777777" w:rsidR="001832A0" w:rsidRPr="00717195" w:rsidRDefault="001832A0" w:rsidP="002D3963">
            <w:pPr>
              <w:pStyle w:val="NormalWeb"/>
              <w:jc w:val="center"/>
              <w:rPr>
                <w:sz w:val="18"/>
                <w:szCs w:val="18"/>
              </w:rPr>
            </w:pPr>
            <w:r w:rsidRPr="00717195">
              <w:rPr>
                <w:sz w:val="18"/>
                <w:szCs w:val="18"/>
              </w:rPr>
              <w:t>115</w:t>
            </w:r>
          </w:p>
        </w:tc>
        <w:tc>
          <w:tcPr>
            <w:tcW w:w="1418" w:type="dxa"/>
            <w:hideMark/>
          </w:tcPr>
          <w:p w14:paraId="239ABA88" w14:textId="77777777" w:rsidR="001832A0" w:rsidRPr="00717195" w:rsidRDefault="001832A0" w:rsidP="002D3963">
            <w:pPr>
              <w:pStyle w:val="NormalWeb"/>
              <w:jc w:val="center"/>
              <w:rPr>
                <w:sz w:val="18"/>
                <w:szCs w:val="18"/>
              </w:rPr>
            </w:pPr>
            <w:r w:rsidRPr="00717195">
              <w:rPr>
                <w:sz w:val="18"/>
                <w:szCs w:val="18"/>
              </w:rPr>
              <w:t>(58.7)</w:t>
            </w:r>
          </w:p>
        </w:tc>
        <w:tc>
          <w:tcPr>
            <w:tcW w:w="1275" w:type="dxa"/>
            <w:hideMark/>
          </w:tcPr>
          <w:p w14:paraId="01F2BCEA" w14:textId="77777777" w:rsidR="001832A0" w:rsidRPr="00717195" w:rsidRDefault="001832A0" w:rsidP="002D3963">
            <w:pPr>
              <w:pStyle w:val="NormalWeb"/>
              <w:jc w:val="center"/>
              <w:rPr>
                <w:sz w:val="18"/>
                <w:szCs w:val="18"/>
              </w:rPr>
            </w:pPr>
            <w:r w:rsidRPr="00717195">
              <w:rPr>
                <w:sz w:val="18"/>
                <w:szCs w:val="18"/>
              </w:rPr>
              <w:t>76</w:t>
            </w:r>
          </w:p>
        </w:tc>
        <w:tc>
          <w:tcPr>
            <w:tcW w:w="1307" w:type="dxa"/>
            <w:hideMark/>
          </w:tcPr>
          <w:p w14:paraId="584617C0" w14:textId="77777777" w:rsidR="001832A0" w:rsidRPr="00717195" w:rsidRDefault="001832A0" w:rsidP="002D3963">
            <w:pPr>
              <w:pStyle w:val="NormalWeb"/>
              <w:jc w:val="center"/>
              <w:rPr>
                <w:sz w:val="18"/>
                <w:szCs w:val="18"/>
              </w:rPr>
            </w:pPr>
            <w:r w:rsidRPr="00717195">
              <w:rPr>
                <w:sz w:val="18"/>
                <w:szCs w:val="18"/>
              </w:rPr>
              <w:t>(38.8)</w:t>
            </w:r>
          </w:p>
        </w:tc>
      </w:tr>
      <w:tr w:rsidR="00427EF4" w:rsidRPr="00717195" w14:paraId="69F44868" w14:textId="77777777" w:rsidTr="00C25476">
        <w:tc>
          <w:tcPr>
            <w:tcW w:w="0" w:type="auto"/>
            <w:hideMark/>
          </w:tcPr>
          <w:p w14:paraId="603540A1" w14:textId="77777777" w:rsidR="001832A0" w:rsidRPr="00717195" w:rsidRDefault="001832A0">
            <w:pPr>
              <w:pStyle w:val="NormalWeb"/>
              <w:rPr>
                <w:sz w:val="18"/>
                <w:szCs w:val="18"/>
              </w:rPr>
            </w:pPr>
            <w:r w:rsidRPr="00717195">
              <w:rPr>
                <w:sz w:val="18"/>
                <w:szCs w:val="18"/>
              </w:rPr>
              <w:t>Dizziness</w:t>
            </w:r>
          </w:p>
        </w:tc>
        <w:tc>
          <w:tcPr>
            <w:tcW w:w="1644" w:type="dxa"/>
            <w:hideMark/>
          </w:tcPr>
          <w:p w14:paraId="75FD49FC" w14:textId="77777777" w:rsidR="001832A0" w:rsidRPr="00717195" w:rsidRDefault="001832A0" w:rsidP="002D3963">
            <w:pPr>
              <w:pStyle w:val="NormalWeb"/>
              <w:jc w:val="center"/>
              <w:rPr>
                <w:sz w:val="18"/>
                <w:szCs w:val="18"/>
              </w:rPr>
            </w:pPr>
            <w:r w:rsidRPr="00717195">
              <w:rPr>
                <w:sz w:val="18"/>
                <w:szCs w:val="18"/>
              </w:rPr>
              <w:t>184</w:t>
            </w:r>
          </w:p>
        </w:tc>
        <w:tc>
          <w:tcPr>
            <w:tcW w:w="1134" w:type="dxa"/>
            <w:hideMark/>
          </w:tcPr>
          <w:p w14:paraId="110C3F29" w14:textId="77777777" w:rsidR="001832A0" w:rsidRPr="00717195" w:rsidRDefault="001832A0" w:rsidP="002D3963">
            <w:pPr>
              <w:pStyle w:val="NormalWeb"/>
              <w:jc w:val="center"/>
              <w:rPr>
                <w:sz w:val="18"/>
                <w:szCs w:val="18"/>
              </w:rPr>
            </w:pPr>
            <w:r w:rsidRPr="00717195">
              <w:rPr>
                <w:sz w:val="18"/>
                <w:szCs w:val="18"/>
              </w:rPr>
              <w:t>12</w:t>
            </w:r>
          </w:p>
        </w:tc>
        <w:tc>
          <w:tcPr>
            <w:tcW w:w="1134" w:type="dxa"/>
            <w:hideMark/>
          </w:tcPr>
          <w:p w14:paraId="1DDFD00E" w14:textId="77777777" w:rsidR="001832A0" w:rsidRPr="00717195" w:rsidRDefault="001832A0" w:rsidP="002D3963">
            <w:pPr>
              <w:pStyle w:val="NormalWeb"/>
              <w:jc w:val="center"/>
              <w:rPr>
                <w:sz w:val="18"/>
                <w:szCs w:val="18"/>
              </w:rPr>
            </w:pPr>
            <w:r w:rsidRPr="00717195">
              <w:rPr>
                <w:sz w:val="18"/>
                <w:szCs w:val="18"/>
              </w:rPr>
              <w:t>(6.5)</w:t>
            </w:r>
          </w:p>
        </w:tc>
        <w:tc>
          <w:tcPr>
            <w:tcW w:w="1134" w:type="dxa"/>
            <w:hideMark/>
          </w:tcPr>
          <w:p w14:paraId="2E3D597E" w14:textId="77777777" w:rsidR="001832A0" w:rsidRPr="00717195" w:rsidRDefault="001832A0" w:rsidP="002D3963">
            <w:pPr>
              <w:pStyle w:val="NormalWeb"/>
              <w:jc w:val="center"/>
              <w:rPr>
                <w:sz w:val="18"/>
                <w:szCs w:val="18"/>
              </w:rPr>
            </w:pPr>
            <w:r w:rsidRPr="00717195">
              <w:rPr>
                <w:sz w:val="18"/>
                <w:szCs w:val="18"/>
              </w:rPr>
              <w:t>20</w:t>
            </w:r>
          </w:p>
        </w:tc>
        <w:tc>
          <w:tcPr>
            <w:tcW w:w="1225" w:type="dxa"/>
            <w:hideMark/>
          </w:tcPr>
          <w:p w14:paraId="029EF74A" w14:textId="77777777" w:rsidR="001832A0" w:rsidRPr="00717195" w:rsidRDefault="001832A0" w:rsidP="002D3963">
            <w:pPr>
              <w:pStyle w:val="NormalWeb"/>
              <w:jc w:val="center"/>
              <w:rPr>
                <w:sz w:val="18"/>
                <w:szCs w:val="18"/>
              </w:rPr>
            </w:pPr>
            <w:r w:rsidRPr="00717195">
              <w:rPr>
                <w:sz w:val="18"/>
                <w:szCs w:val="18"/>
              </w:rPr>
              <w:t>(10.9)</w:t>
            </w:r>
          </w:p>
        </w:tc>
        <w:tc>
          <w:tcPr>
            <w:tcW w:w="1326" w:type="dxa"/>
            <w:hideMark/>
          </w:tcPr>
          <w:p w14:paraId="2781946C" w14:textId="77777777" w:rsidR="001832A0" w:rsidRPr="00717195" w:rsidRDefault="001832A0" w:rsidP="002D3963">
            <w:pPr>
              <w:pStyle w:val="NormalWeb"/>
              <w:jc w:val="center"/>
              <w:rPr>
                <w:sz w:val="18"/>
                <w:szCs w:val="18"/>
              </w:rPr>
            </w:pPr>
            <w:r w:rsidRPr="00717195">
              <w:rPr>
                <w:sz w:val="18"/>
                <w:szCs w:val="18"/>
              </w:rPr>
              <w:t>8</w:t>
            </w:r>
          </w:p>
        </w:tc>
        <w:tc>
          <w:tcPr>
            <w:tcW w:w="1418" w:type="dxa"/>
            <w:hideMark/>
          </w:tcPr>
          <w:p w14:paraId="3127B21A" w14:textId="77777777" w:rsidR="001832A0" w:rsidRPr="00717195" w:rsidRDefault="001832A0" w:rsidP="002D3963">
            <w:pPr>
              <w:pStyle w:val="NormalWeb"/>
              <w:jc w:val="center"/>
              <w:rPr>
                <w:sz w:val="18"/>
                <w:szCs w:val="18"/>
              </w:rPr>
            </w:pPr>
            <w:r w:rsidRPr="00717195">
              <w:rPr>
                <w:sz w:val="18"/>
                <w:szCs w:val="18"/>
              </w:rPr>
              <w:t>(4.3)</w:t>
            </w:r>
          </w:p>
        </w:tc>
        <w:tc>
          <w:tcPr>
            <w:tcW w:w="1275" w:type="dxa"/>
            <w:hideMark/>
          </w:tcPr>
          <w:p w14:paraId="5AE86922" w14:textId="77777777" w:rsidR="001832A0" w:rsidRPr="00717195" w:rsidRDefault="001832A0" w:rsidP="002D3963">
            <w:pPr>
              <w:pStyle w:val="NormalWeb"/>
              <w:jc w:val="center"/>
              <w:rPr>
                <w:sz w:val="18"/>
                <w:szCs w:val="18"/>
              </w:rPr>
            </w:pPr>
            <w:r w:rsidRPr="00717195">
              <w:rPr>
                <w:sz w:val="18"/>
                <w:szCs w:val="18"/>
              </w:rPr>
              <w:t>170</w:t>
            </w:r>
          </w:p>
        </w:tc>
        <w:tc>
          <w:tcPr>
            <w:tcW w:w="1307" w:type="dxa"/>
            <w:hideMark/>
          </w:tcPr>
          <w:p w14:paraId="21162774" w14:textId="77777777" w:rsidR="001832A0" w:rsidRPr="00717195" w:rsidRDefault="001832A0" w:rsidP="002D3963">
            <w:pPr>
              <w:pStyle w:val="NormalWeb"/>
              <w:jc w:val="center"/>
              <w:rPr>
                <w:sz w:val="18"/>
                <w:szCs w:val="18"/>
              </w:rPr>
            </w:pPr>
            <w:r w:rsidRPr="00717195">
              <w:rPr>
                <w:sz w:val="18"/>
                <w:szCs w:val="18"/>
              </w:rPr>
              <w:t>(92.4)</w:t>
            </w:r>
          </w:p>
        </w:tc>
      </w:tr>
      <w:tr w:rsidR="00DF1085" w:rsidRPr="00717195" w14:paraId="48690D42"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5B8AB19E" w14:textId="77777777" w:rsidR="001832A0" w:rsidRPr="00717195" w:rsidRDefault="001832A0">
            <w:pPr>
              <w:pStyle w:val="NormalWeb"/>
              <w:rPr>
                <w:sz w:val="18"/>
                <w:szCs w:val="18"/>
              </w:rPr>
            </w:pPr>
            <w:r w:rsidRPr="00717195">
              <w:rPr>
                <w:sz w:val="18"/>
                <w:szCs w:val="18"/>
              </w:rPr>
              <w:t>Malaise</w:t>
            </w:r>
          </w:p>
        </w:tc>
        <w:tc>
          <w:tcPr>
            <w:tcW w:w="1644" w:type="dxa"/>
            <w:hideMark/>
          </w:tcPr>
          <w:p w14:paraId="72CCF38E" w14:textId="77777777" w:rsidR="001832A0" w:rsidRPr="00717195" w:rsidRDefault="001832A0" w:rsidP="002D3963">
            <w:pPr>
              <w:pStyle w:val="NormalWeb"/>
              <w:jc w:val="center"/>
              <w:rPr>
                <w:sz w:val="18"/>
                <w:szCs w:val="18"/>
              </w:rPr>
            </w:pPr>
            <w:r w:rsidRPr="00717195">
              <w:rPr>
                <w:sz w:val="18"/>
                <w:szCs w:val="18"/>
              </w:rPr>
              <w:t>171</w:t>
            </w:r>
          </w:p>
        </w:tc>
        <w:tc>
          <w:tcPr>
            <w:tcW w:w="1134" w:type="dxa"/>
            <w:hideMark/>
          </w:tcPr>
          <w:p w14:paraId="3BA883C6" w14:textId="77777777" w:rsidR="001832A0" w:rsidRPr="00717195" w:rsidRDefault="001832A0" w:rsidP="002D3963">
            <w:pPr>
              <w:pStyle w:val="NormalWeb"/>
              <w:jc w:val="center"/>
              <w:rPr>
                <w:sz w:val="18"/>
                <w:szCs w:val="18"/>
              </w:rPr>
            </w:pPr>
            <w:r w:rsidRPr="00717195">
              <w:rPr>
                <w:sz w:val="18"/>
                <w:szCs w:val="18"/>
              </w:rPr>
              <w:t>12</w:t>
            </w:r>
          </w:p>
        </w:tc>
        <w:tc>
          <w:tcPr>
            <w:tcW w:w="1134" w:type="dxa"/>
            <w:hideMark/>
          </w:tcPr>
          <w:p w14:paraId="4AD42011" w14:textId="77777777" w:rsidR="001832A0" w:rsidRPr="00717195" w:rsidRDefault="001832A0" w:rsidP="002D3963">
            <w:pPr>
              <w:pStyle w:val="NormalWeb"/>
              <w:jc w:val="center"/>
              <w:rPr>
                <w:sz w:val="18"/>
                <w:szCs w:val="18"/>
              </w:rPr>
            </w:pPr>
            <w:r w:rsidRPr="00717195">
              <w:rPr>
                <w:sz w:val="18"/>
                <w:szCs w:val="18"/>
              </w:rPr>
              <w:t>(7.0)</w:t>
            </w:r>
          </w:p>
        </w:tc>
        <w:tc>
          <w:tcPr>
            <w:tcW w:w="1134" w:type="dxa"/>
            <w:hideMark/>
          </w:tcPr>
          <w:p w14:paraId="46DEFD8C" w14:textId="77777777" w:rsidR="001832A0" w:rsidRPr="00717195" w:rsidRDefault="001832A0" w:rsidP="002D3963">
            <w:pPr>
              <w:pStyle w:val="NormalWeb"/>
              <w:jc w:val="center"/>
              <w:rPr>
                <w:sz w:val="18"/>
                <w:szCs w:val="18"/>
              </w:rPr>
            </w:pPr>
            <w:r w:rsidRPr="00717195">
              <w:rPr>
                <w:sz w:val="18"/>
                <w:szCs w:val="18"/>
              </w:rPr>
              <w:t>26</w:t>
            </w:r>
          </w:p>
        </w:tc>
        <w:tc>
          <w:tcPr>
            <w:tcW w:w="1225" w:type="dxa"/>
            <w:hideMark/>
          </w:tcPr>
          <w:p w14:paraId="73B1C7BC" w14:textId="77777777" w:rsidR="001832A0" w:rsidRPr="00717195" w:rsidRDefault="001832A0" w:rsidP="002D3963">
            <w:pPr>
              <w:pStyle w:val="NormalWeb"/>
              <w:jc w:val="center"/>
              <w:rPr>
                <w:sz w:val="18"/>
                <w:szCs w:val="18"/>
              </w:rPr>
            </w:pPr>
            <w:r w:rsidRPr="00717195">
              <w:rPr>
                <w:sz w:val="18"/>
                <w:szCs w:val="18"/>
              </w:rPr>
              <w:t>(15.2)</w:t>
            </w:r>
          </w:p>
        </w:tc>
        <w:tc>
          <w:tcPr>
            <w:tcW w:w="1326" w:type="dxa"/>
            <w:hideMark/>
          </w:tcPr>
          <w:p w14:paraId="06487C60" w14:textId="77777777" w:rsidR="001832A0" w:rsidRPr="00717195" w:rsidRDefault="001832A0" w:rsidP="002D3963">
            <w:pPr>
              <w:pStyle w:val="NormalWeb"/>
              <w:jc w:val="center"/>
              <w:rPr>
                <w:sz w:val="18"/>
                <w:szCs w:val="18"/>
              </w:rPr>
            </w:pPr>
            <w:r w:rsidRPr="00717195">
              <w:rPr>
                <w:sz w:val="18"/>
                <w:szCs w:val="18"/>
              </w:rPr>
              <w:t>18</w:t>
            </w:r>
          </w:p>
        </w:tc>
        <w:tc>
          <w:tcPr>
            <w:tcW w:w="1418" w:type="dxa"/>
            <w:hideMark/>
          </w:tcPr>
          <w:p w14:paraId="25D812C5" w14:textId="77777777" w:rsidR="001832A0" w:rsidRPr="00717195" w:rsidRDefault="001832A0" w:rsidP="002D3963">
            <w:pPr>
              <w:pStyle w:val="NormalWeb"/>
              <w:jc w:val="center"/>
              <w:rPr>
                <w:sz w:val="18"/>
                <w:szCs w:val="18"/>
              </w:rPr>
            </w:pPr>
            <w:r w:rsidRPr="00717195">
              <w:rPr>
                <w:sz w:val="18"/>
                <w:szCs w:val="18"/>
              </w:rPr>
              <w:t>(10.5)</w:t>
            </w:r>
          </w:p>
        </w:tc>
        <w:tc>
          <w:tcPr>
            <w:tcW w:w="1275" w:type="dxa"/>
            <w:hideMark/>
          </w:tcPr>
          <w:p w14:paraId="6D54C344" w14:textId="77777777" w:rsidR="001832A0" w:rsidRPr="00717195" w:rsidRDefault="001832A0" w:rsidP="002D3963">
            <w:pPr>
              <w:pStyle w:val="NormalWeb"/>
              <w:jc w:val="center"/>
              <w:rPr>
                <w:sz w:val="18"/>
                <w:szCs w:val="18"/>
              </w:rPr>
            </w:pPr>
            <w:r w:rsidRPr="00717195">
              <w:rPr>
                <w:sz w:val="18"/>
                <w:szCs w:val="18"/>
              </w:rPr>
              <w:t>149</w:t>
            </w:r>
          </w:p>
        </w:tc>
        <w:tc>
          <w:tcPr>
            <w:tcW w:w="1307" w:type="dxa"/>
            <w:hideMark/>
          </w:tcPr>
          <w:p w14:paraId="67D3EE47" w14:textId="77777777" w:rsidR="001832A0" w:rsidRPr="00717195" w:rsidRDefault="001832A0" w:rsidP="002D3963">
            <w:pPr>
              <w:pStyle w:val="NormalWeb"/>
              <w:jc w:val="center"/>
              <w:rPr>
                <w:sz w:val="18"/>
                <w:szCs w:val="18"/>
              </w:rPr>
            </w:pPr>
            <w:r w:rsidRPr="00717195">
              <w:rPr>
                <w:sz w:val="18"/>
                <w:szCs w:val="18"/>
              </w:rPr>
              <w:t>(87.1)</w:t>
            </w:r>
          </w:p>
        </w:tc>
      </w:tr>
      <w:tr w:rsidR="00427EF4" w:rsidRPr="00717195" w14:paraId="65804000" w14:textId="77777777" w:rsidTr="00C25476">
        <w:tc>
          <w:tcPr>
            <w:tcW w:w="0" w:type="auto"/>
            <w:hideMark/>
          </w:tcPr>
          <w:p w14:paraId="012E734C" w14:textId="77777777" w:rsidR="001832A0" w:rsidRPr="00717195" w:rsidRDefault="001832A0">
            <w:pPr>
              <w:pStyle w:val="NormalWeb"/>
              <w:rPr>
                <w:sz w:val="18"/>
                <w:szCs w:val="18"/>
              </w:rPr>
            </w:pPr>
            <w:r w:rsidRPr="00717195">
              <w:rPr>
                <w:sz w:val="18"/>
                <w:szCs w:val="18"/>
              </w:rPr>
              <w:t>Diarrhoea</w:t>
            </w:r>
          </w:p>
        </w:tc>
        <w:tc>
          <w:tcPr>
            <w:tcW w:w="1644" w:type="dxa"/>
            <w:hideMark/>
          </w:tcPr>
          <w:p w14:paraId="6E09E7AC" w14:textId="77777777" w:rsidR="001832A0" w:rsidRPr="00717195" w:rsidRDefault="001832A0" w:rsidP="002D3963">
            <w:pPr>
              <w:pStyle w:val="NormalWeb"/>
              <w:jc w:val="center"/>
              <w:rPr>
                <w:sz w:val="18"/>
                <w:szCs w:val="18"/>
              </w:rPr>
            </w:pPr>
            <w:r w:rsidRPr="00717195">
              <w:rPr>
                <w:sz w:val="18"/>
                <w:szCs w:val="18"/>
              </w:rPr>
              <w:t>164</w:t>
            </w:r>
          </w:p>
        </w:tc>
        <w:tc>
          <w:tcPr>
            <w:tcW w:w="1134" w:type="dxa"/>
            <w:hideMark/>
          </w:tcPr>
          <w:p w14:paraId="0D09B31D" w14:textId="77777777" w:rsidR="001832A0" w:rsidRPr="00717195" w:rsidRDefault="001832A0" w:rsidP="002D3963">
            <w:pPr>
              <w:pStyle w:val="NormalWeb"/>
              <w:jc w:val="center"/>
              <w:rPr>
                <w:sz w:val="18"/>
                <w:szCs w:val="18"/>
              </w:rPr>
            </w:pPr>
            <w:r w:rsidRPr="00717195">
              <w:rPr>
                <w:sz w:val="18"/>
                <w:szCs w:val="18"/>
              </w:rPr>
              <w:t>15</w:t>
            </w:r>
          </w:p>
        </w:tc>
        <w:tc>
          <w:tcPr>
            <w:tcW w:w="1134" w:type="dxa"/>
            <w:hideMark/>
          </w:tcPr>
          <w:p w14:paraId="482927B1" w14:textId="77777777" w:rsidR="001832A0" w:rsidRPr="00717195" w:rsidRDefault="001832A0" w:rsidP="002D3963">
            <w:pPr>
              <w:pStyle w:val="NormalWeb"/>
              <w:jc w:val="center"/>
              <w:rPr>
                <w:sz w:val="18"/>
                <w:szCs w:val="18"/>
              </w:rPr>
            </w:pPr>
            <w:r w:rsidRPr="00717195">
              <w:rPr>
                <w:sz w:val="18"/>
                <w:szCs w:val="18"/>
              </w:rPr>
              <w:t>(9.1)</w:t>
            </w:r>
          </w:p>
        </w:tc>
        <w:tc>
          <w:tcPr>
            <w:tcW w:w="1134" w:type="dxa"/>
            <w:hideMark/>
          </w:tcPr>
          <w:p w14:paraId="6DE48811" w14:textId="77777777" w:rsidR="001832A0" w:rsidRPr="00717195" w:rsidRDefault="001832A0" w:rsidP="002D3963">
            <w:pPr>
              <w:pStyle w:val="NormalWeb"/>
              <w:jc w:val="center"/>
              <w:rPr>
                <w:sz w:val="18"/>
                <w:szCs w:val="18"/>
              </w:rPr>
            </w:pPr>
            <w:r w:rsidRPr="00717195">
              <w:rPr>
                <w:sz w:val="18"/>
                <w:szCs w:val="18"/>
              </w:rPr>
              <w:t>28</w:t>
            </w:r>
          </w:p>
        </w:tc>
        <w:tc>
          <w:tcPr>
            <w:tcW w:w="1225" w:type="dxa"/>
            <w:hideMark/>
          </w:tcPr>
          <w:p w14:paraId="7344DB0D" w14:textId="77777777" w:rsidR="001832A0" w:rsidRPr="00717195" w:rsidRDefault="001832A0" w:rsidP="002D3963">
            <w:pPr>
              <w:pStyle w:val="NormalWeb"/>
              <w:jc w:val="center"/>
              <w:rPr>
                <w:sz w:val="18"/>
                <w:szCs w:val="18"/>
              </w:rPr>
            </w:pPr>
            <w:r w:rsidRPr="00717195">
              <w:rPr>
                <w:sz w:val="18"/>
                <w:szCs w:val="18"/>
              </w:rPr>
              <w:t>(17.1)</w:t>
            </w:r>
          </w:p>
        </w:tc>
        <w:tc>
          <w:tcPr>
            <w:tcW w:w="1326" w:type="dxa"/>
            <w:hideMark/>
          </w:tcPr>
          <w:p w14:paraId="33946AB3" w14:textId="77777777" w:rsidR="001832A0" w:rsidRPr="00717195" w:rsidRDefault="001832A0" w:rsidP="002D3963">
            <w:pPr>
              <w:pStyle w:val="NormalWeb"/>
              <w:jc w:val="center"/>
              <w:rPr>
                <w:sz w:val="18"/>
                <w:szCs w:val="18"/>
              </w:rPr>
            </w:pPr>
            <w:r w:rsidRPr="00717195">
              <w:rPr>
                <w:sz w:val="18"/>
                <w:szCs w:val="18"/>
              </w:rPr>
              <w:t>102</w:t>
            </w:r>
          </w:p>
        </w:tc>
        <w:tc>
          <w:tcPr>
            <w:tcW w:w="1418" w:type="dxa"/>
            <w:hideMark/>
          </w:tcPr>
          <w:p w14:paraId="5FCE1AEF" w14:textId="77777777" w:rsidR="001832A0" w:rsidRPr="00717195" w:rsidRDefault="001832A0" w:rsidP="002D3963">
            <w:pPr>
              <w:pStyle w:val="NormalWeb"/>
              <w:jc w:val="center"/>
              <w:rPr>
                <w:sz w:val="18"/>
                <w:szCs w:val="18"/>
              </w:rPr>
            </w:pPr>
            <w:r w:rsidRPr="00717195">
              <w:rPr>
                <w:sz w:val="18"/>
                <w:szCs w:val="18"/>
              </w:rPr>
              <w:t>(62.2)</w:t>
            </w:r>
          </w:p>
        </w:tc>
        <w:tc>
          <w:tcPr>
            <w:tcW w:w="1275" w:type="dxa"/>
            <w:hideMark/>
          </w:tcPr>
          <w:p w14:paraId="00EC2EBA" w14:textId="77777777" w:rsidR="001832A0" w:rsidRPr="00717195" w:rsidRDefault="001832A0" w:rsidP="002D3963">
            <w:pPr>
              <w:pStyle w:val="NormalWeb"/>
              <w:jc w:val="center"/>
              <w:rPr>
                <w:sz w:val="18"/>
                <w:szCs w:val="18"/>
              </w:rPr>
            </w:pPr>
            <w:r w:rsidRPr="00717195">
              <w:rPr>
                <w:sz w:val="18"/>
                <w:szCs w:val="18"/>
              </w:rPr>
              <w:t>55</w:t>
            </w:r>
          </w:p>
        </w:tc>
        <w:tc>
          <w:tcPr>
            <w:tcW w:w="1307" w:type="dxa"/>
            <w:hideMark/>
          </w:tcPr>
          <w:p w14:paraId="7FC93842" w14:textId="77777777" w:rsidR="001832A0" w:rsidRPr="00717195" w:rsidRDefault="001832A0" w:rsidP="002D3963">
            <w:pPr>
              <w:pStyle w:val="NormalWeb"/>
              <w:jc w:val="center"/>
              <w:rPr>
                <w:sz w:val="18"/>
                <w:szCs w:val="18"/>
              </w:rPr>
            </w:pPr>
            <w:r w:rsidRPr="00717195">
              <w:rPr>
                <w:sz w:val="18"/>
                <w:szCs w:val="18"/>
              </w:rPr>
              <w:t>(33.5)</w:t>
            </w:r>
          </w:p>
        </w:tc>
      </w:tr>
      <w:tr w:rsidR="00DF1085" w:rsidRPr="00717195" w14:paraId="3E6EF24A"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04242755" w14:textId="77777777" w:rsidR="001832A0" w:rsidRPr="00717195" w:rsidRDefault="001832A0">
            <w:pPr>
              <w:pStyle w:val="NormalWeb"/>
              <w:rPr>
                <w:sz w:val="18"/>
                <w:szCs w:val="18"/>
              </w:rPr>
            </w:pPr>
            <w:r w:rsidRPr="00717195">
              <w:rPr>
                <w:sz w:val="18"/>
                <w:szCs w:val="18"/>
              </w:rPr>
              <w:t>Myalgia</w:t>
            </w:r>
          </w:p>
        </w:tc>
        <w:tc>
          <w:tcPr>
            <w:tcW w:w="1644" w:type="dxa"/>
            <w:hideMark/>
          </w:tcPr>
          <w:p w14:paraId="7A05877F" w14:textId="77777777" w:rsidR="001832A0" w:rsidRPr="00717195" w:rsidRDefault="001832A0" w:rsidP="002D3963">
            <w:pPr>
              <w:pStyle w:val="NormalWeb"/>
              <w:jc w:val="center"/>
              <w:rPr>
                <w:sz w:val="18"/>
                <w:szCs w:val="18"/>
              </w:rPr>
            </w:pPr>
            <w:r w:rsidRPr="00717195">
              <w:rPr>
                <w:sz w:val="18"/>
                <w:szCs w:val="18"/>
              </w:rPr>
              <w:t>133</w:t>
            </w:r>
          </w:p>
        </w:tc>
        <w:tc>
          <w:tcPr>
            <w:tcW w:w="1134" w:type="dxa"/>
            <w:hideMark/>
          </w:tcPr>
          <w:p w14:paraId="412C0601" w14:textId="77777777" w:rsidR="001832A0" w:rsidRPr="00717195" w:rsidRDefault="001832A0" w:rsidP="002D3963">
            <w:pPr>
              <w:pStyle w:val="NormalWeb"/>
              <w:jc w:val="center"/>
              <w:rPr>
                <w:sz w:val="18"/>
                <w:szCs w:val="18"/>
              </w:rPr>
            </w:pPr>
            <w:r w:rsidRPr="00717195">
              <w:rPr>
                <w:sz w:val="18"/>
                <w:szCs w:val="18"/>
              </w:rPr>
              <w:t>7</w:t>
            </w:r>
          </w:p>
        </w:tc>
        <w:tc>
          <w:tcPr>
            <w:tcW w:w="1134" w:type="dxa"/>
            <w:hideMark/>
          </w:tcPr>
          <w:p w14:paraId="50EF195F" w14:textId="77777777" w:rsidR="001832A0" w:rsidRPr="00717195" w:rsidRDefault="001832A0" w:rsidP="002D3963">
            <w:pPr>
              <w:pStyle w:val="NormalWeb"/>
              <w:jc w:val="center"/>
              <w:rPr>
                <w:sz w:val="18"/>
                <w:szCs w:val="18"/>
              </w:rPr>
            </w:pPr>
            <w:r w:rsidRPr="00717195">
              <w:rPr>
                <w:sz w:val="18"/>
                <w:szCs w:val="18"/>
              </w:rPr>
              <w:t>(5.3)</w:t>
            </w:r>
          </w:p>
        </w:tc>
        <w:tc>
          <w:tcPr>
            <w:tcW w:w="1134" w:type="dxa"/>
            <w:hideMark/>
          </w:tcPr>
          <w:p w14:paraId="7FAD3683" w14:textId="77777777" w:rsidR="001832A0" w:rsidRPr="00717195" w:rsidRDefault="001832A0" w:rsidP="002D3963">
            <w:pPr>
              <w:pStyle w:val="NormalWeb"/>
              <w:jc w:val="center"/>
              <w:rPr>
                <w:sz w:val="18"/>
                <w:szCs w:val="18"/>
              </w:rPr>
            </w:pPr>
            <w:r w:rsidRPr="00717195">
              <w:rPr>
                <w:sz w:val="18"/>
                <w:szCs w:val="18"/>
              </w:rPr>
              <w:t>21</w:t>
            </w:r>
          </w:p>
        </w:tc>
        <w:tc>
          <w:tcPr>
            <w:tcW w:w="1225" w:type="dxa"/>
            <w:hideMark/>
          </w:tcPr>
          <w:p w14:paraId="33113A19" w14:textId="77777777" w:rsidR="001832A0" w:rsidRPr="00717195" w:rsidRDefault="001832A0" w:rsidP="002D3963">
            <w:pPr>
              <w:pStyle w:val="NormalWeb"/>
              <w:jc w:val="center"/>
              <w:rPr>
                <w:sz w:val="18"/>
                <w:szCs w:val="18"/>
              </w:rPr>
            </w:pPr>
            <w:r w:rsidRPr="00717195">
              <w:rPr>
                <w:sz w:val="18"/>
                <w:szCs w:val="18"/>
              </w:rPr>
              <w:t>(15.8)</w:t>
            </w:r>
          </w:p>
        </w:tc>
        <w:tc>
          <w:tcPr>
            <w:tcW w:w="1326" w:type="dxa"/>
            <w:hideMark/>
          </w:tcPr>
          <w:p w14:paraId="36EEAA53" w14:textId="77777777" w:rsidR="001832A0" w:rsidRPr="00717195" w:rsidRDefault="001832A0" w:rsidP="002D3963">
            <w:pPr>
              <w:pStyle w:val="NormalWeb"/>
              <w:jc w:val="center"/>
              <w:rPr>
                <w:sz w:val="18"/>
                <w:szCs w:val="18"/>
              </w:rPr>
            </w:pPr>
            <w:r w:rsidRPr="00717195">
              <w:rPr>
                <w:sz w:val="18"/>
                <w:szCs w:val="18"/>
              </w:rPr>
              <w:t>5</w:t>
            </w:r>
          </w:p>
        </w:tc>
        <w:tc>
          <w:tcPr>
            <w:tcW w:w="1418" w:type="dxa"/>
            <w:hideMark/>
          </w:tcPr>
          <w:p w14:paraId="7D08F270" w14:textId="77777777" w:rsidR="001832A0" w:rsidRPr="00717195" w:rsidRDefault="001832A0" w:rsidP="002D3963">
            <w:pPr>
              <w:pStyle w:val="NormalWeb"/>
              <w:jc w:val="center"/>
              <w:rPr>
                <w:sz w:val="18"/>
                <w:szCs w:val="18"/>
              </w:rPr>
            </w:pPr>
            <w:r w:rsidRPr="00717195">
              <w:rPr>
                <w:sz w:val="18"/>
                <w:szCs w:val="18"/>
              </w:rPr>
              <w:t>(3.8)</w:t>
            </w:r>
          </w:p>
        </w:tc>
        <w:tc>
          <w:tcPr>
            <w:tcW w:w="1275" w:type="dxa"/>
            <w:hideMark/>
          </w:tcPr>
          <w:p w14:paraId="5B49AD0B" w14:textId="77777777" w:rsidR="001832A0" w:rsidRPr="00717195" w:rsidRDefault="001832A0" w:rsidP="002D3963">
            <w:pPr>
              <w:pStyle w:val="NormalWeb"/>
              <w:jc w:val="center"/>
              <w:rPr>
                <w:sz w:val="18"/>
                <w:szCs w:val="18"/>
              </w:rPr>
            </w:pPr>
            <w:r w:rsidRPr="00717195">
              <w:rPr>
                <w:sz w:val="18"/>
                <w:szCs w:val="18"/>
              </w:rPr>
              <w:t>123</w:t>
            </w:r>
          </w:p>
        </w:tc>
        <w:tc>
          <w:tcPr>
            <w:tcW w:w="1307" w:type="dxa"/>
            <w:hideMark/>
          </w:tcPr>
          <w:p w14:paraId="348070AA" w14:textId="77777777" w:rsidR="001832A0" w:rsidRPr="00717195" w:rsidRDefault="001832A0" w:rsidP="002D3963">
            <w:pPr>
              <w:pStyle w:val="NormalWeb"/>
              <w:jc w:val="center"/>
              <w:rPr>
                <w:sz w:val="18"/>
                <w:szCs w:val="18"/>
              </w:rPr>
            </w:pPr>
            <w:r w:rsidRPr="00717195">
              <w:rPr>
                <w:sz w:val="18"/>
                <w:szCs w:val="18"/>
              </w:rPr>
              <w:t>(92.5)</w:t>
            </w:r>
          </w:p>
        </w:tc>
      </w:tr>
      <w:tr w:rsidR="00427EF4" w:rsidRPr="00717195" w14:paraId="43297041" w14:textId="77777777" w:rsidTr="00C25476">
        <w:tc>
          <w:tcPr>
            <w:tcW w:w="0" w:type="auto"/>
            <w:hideMark/>
          </w:tcPr>
          <w:p w14:paraId="4151D421" w14:textId="77777777" w:rsidR="001832A0" w:rsidRPr="00717195" w:rsidRDefault="001832A0">
            <w:pPr>
              <w:pStyle w:val="NormalWeb"/>
              <w:rPr>
                <w:sz w:val="18"/>
                <w:szCs w:val="18"/>
              </w:rPr>
            </w:pPr>
            <w:r w:rsidRPr="00717195">
              <w:rPr>
                <w:sz w:val="18"/>
                <w:szCs w:val="18"/>
              </w:rPr>
              <w:t>Lethargy</w:t>
            </w:r>
          </w:p>
        </w:tc>
        <w:tc>
          <w:tcPr>
            <w:tcW w:w="1644" w:type="dxa"/>
            <w:hideMark/>
          </w:tcPr>
          <w:p w14:paraId="7B43C842" w14:textId="77777777" w:rsidR="001832A0" w:rsidRPr="00717195" w:rsidRDefault="001832A0" w:rsidP="002D3963">
            <w:pPr>
              <w:pStyle w:val="NormalWeb"/>
              <w:jc w:val="center"/>
              <w:rPr>
                <w:sz w:val="18"/>
                <w:szCs w:val="18"/>
              </w:rPr>
            </w:pPr>
            <w:r w:rsidRPr="00717195">
              <w:rPr>
                <w:sz w:val="18"/>
                <w:szCs w:val="18"/>
              </w:rPr>
              <w:t>131</w:t>
            </w:r>
          </w:p>
        </w:tc>
        <w:tc>
          <w:tcPr>
            <w:tcW w:w="1134" w:type="dxa"/>
            <w:hideMark/>
          </w:tcPr>
          <w:p w14:paraId="726676BF" w14:textId="77777777" w:rsidR="001832A0" w:rsidRPr="00717195" w:rsidRDefault="001832A0" w:rsidP="002D3963">
            <w:pPr>
              <w:pStyle w:val="NormalWeb"/>
              <w:jc w:val="center"/>
              <w:rPr>
                <w:sz w:val="18"/>
                <w:szCs w:val="18"/>
              </w:rPr>
            </w:pPr>
            <w:r w:rsidRPr="00717195">
              <w:rPr>
                <w:sz w:val="18"/>
                <w:szCs w:val="18"/>
              </w:rPr>
              <w:t>1</w:t>
            </w:r>
          </w:p>
        </w:tc>
        <w:tc>
          <w:tcPr>
            <w:tcW w:w="1134" w:type="dxa"/>
            <w:hideMark/>
          </w:tcPr>
          <w:p w14:paraId="5FE67771" w14:textId="77777777" w:rsidR="001832A0" w:rsidRPr="00717195" w:rsidRDefault="001832A0" w:rsidP="002D3963">
            <w:pPr>
              <w:pStyle w:val="NormalWeb"/>
              <w:jc w:val="center"/>
              <w:rPr>
                <w:sz w:val="18"/>
                <w:szCs w:val="18"/>
              </w:rPr>
            </w:pPr>
            <w:r w:rsidRPr="00717195">
              <w:rPr>
                <w:sz w:val="18"/>
                <w:szCs w:val="18"/>
              </w:rPr>
              <w:t>(0.8)</w:t>
            </w:r>
          </w:p>
        </w:tc>
        <w:tc>
          <w:tcPr>
            <w:tcW w:w="1134" w:type="dxa"/>
            <w:hideMark/>
          </w:tcPr>
          <w:p w14:paraId="27812635" w14:textId="77777777" w:rsidR="001832A0" w:rsidRPr="00717195" w:rsidRDefault="001832A0" w:rsidP="002D3963">
            <w:pPr>
              <w:pStyle w:val="NormalWeb"/>
              <w:jc w:val="center"/>
              <w:rPr>
                <w:sz w:val="18"/>
                <w:szCs w:val="18"/>
              </w:rPr>
            </w:pPr>
            <w:r w:rsidRPr="00717195">
              <w:rPr>
                <w:sz w:val="18"/>
                <w:szCs w:val="18"/>
              </w:rPr>
              <w:t>27</w:t>
            </w:r>
          </w:p>
        </w:tc>
        <w:tc>
          <w:tcPr>
            <w:tcW w:w="1225" w:type="dxa"/>
            <w:hideMark/>
          </w:tcPr>
          <w:p w14:paraId="20A39845" w14:textId="77777777" w:rsidR="001832A0" w:rsidRPr="00717195" w:rsidRDefault="001832A0" w:rsidP="002D3963">
            <w:pPr>
              <w:pStyle w:val="NormalWeb"/>
              <w:jc w:val="center"/>
              <w:rPr>
                <w:sz w:val="18"/>
                <w:szCs w:val="18"/>
              </w:rPr>
            </w:pPr>
            <w:r w:rsidRPr="00717195">
              <w:rPr>
                <w:sz w:val="18"/>
                <w:szCs w:val="18"/>
              </w:rPr>
              <w:t>(20.6)</w:t>
            </w:r>
          </w:p>
        </w:tc>
        <w:tc>
          <w:tcPr>
            <w:tcW w:w="1326" w:type="dxa"/>
            <w:hideMark/>
          </w:tcPr>
          <w:p w14:paraId="3F1560D0" w14:textId="77777777" w:rsidR="001832A0" w:rsidRPr="00717195" w:rsidRDefault="001832A0" w:rsidP="002D3963">
            <w:pPr>
              <w:pStyle w:val="NormalWeb"/>
              <w:jc w:val="center"/>
              <w:rPr>
                <w:sz w:val="18"/>
                <w:szCs w:val="18"/>
              </w:rPr>
            </w:pPr>
            <w:r w:rsidRPr="00717195">
              <w:rPr>
                <w:sz w:val="18"/>
                <w:szCs w:val="18"/>
              </w:rPr>
              <w:t>47</w:t>
            </w:r>
          </w:p>
        </w:tc>
        <w:tc>
          <w:tcPr>
            <w:tcW w:w="1418" w:type="dxa"/>
            <w:hideMark/>
          </w:tcPr>
          <w:p w14:paraId="322FEBEC" w14:textId="77777777" w:rsidR="001832A0" w:rsidRPr="00717195" w:rsidRDefault="001832A0" w:rsidP="002D3963">
            <w:pPr>
              <w:pStyle w:val="NormalWeb"/>
              <w:jc w:val="center"/>
              <w:rPr>
                <w:sz w:val="18"/>
                <w:szCs w:val="18"/>
              </w:rPr>
            </w:pPr>
            <w:r w:rsidRPr="00717195">
              <w:rPr>
                <w:sz w:val="18"/>
                <w:szCs w:val="18"/>
              </w:rPr>
              <w:t>(35.9)</w:t>
            </w:r>
          </w:p>
        </w:tc>
        <w:tc>
          <w:tcPr>
            <w:tcW w:w="1275" w:type="dxa"/>
            <w:hideMark/>
          </w:tcPr>
          <w:p w14:paraId="737A86D6" w14:textId="77777777" w:rsidR="001832A0" w:rsidRPr="00717195" w:rsidRDefault="001832A0" w:rsidP="002D3963">
            <w:pPr>
              <w:pStyle w:val="NormalWeb"/>
              <w:jc w:val="center"/>
              <w:rPr>
                <w:sz w:val="18"/>
                <w:szCs w:val="18"/>
              </w:rPr>
            </w:pPr>
            <w:r w:rsidRPr="00717195">
              <w:rPr>
                <w:sz w:val="18"/>
                <w:szCs w:val="18"/>
              </w:rPr>
              <w:t>77</w:t>
            </w:r>
          </w:p>
        </w:tc>
        <w:tc>
          <w:tcPr>
            <w:tcW w:w="1307" w:type="dxa"/>
            <w:hideMark/>
          </w:tcPr>
          <w:p w14:paraId="3E93B23C" w14:textId="77777777" w:rsidR="001832A0" w:rsidRPr="00717195" w:rsidRDefault="001832A0" w:rsidP="002D3963">
            <w:pPr>
              <w:pStyle w:val="NormalWeb"/>
              <w:jc w:val="center"/>
              <w:rPr>
                <w:sz w:val="18"/>
                <w:szCs w:val="18"/>
              </w:rPr>
            </w:pPr>
            <w:r w:rsidRPr="00717195">
              <w:rPr>
                <w:sz w:val="18"/>
                <w:szCs w:val="18"/>
              </w:rPr>
              <w:t>(58.8)</w:t>
            </w:r>
          </w:p>
        </w:tc>
      </w:tr>
      <w:tr w:rsidR="00DF1085" w:rsidRPr="00717195" w14:paraId="2E564D1E"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27C439E4" w14:textId="77777777" w:rsidR="001832A0" w:rsidRPr="00717195" w:rsidRDefault="001832A0">
            <w:pPr>
              <w:pStyle w:val="NormalWeb"/>
              <w:rPr>
                <w:sz w:val="18"/>
                <w:szCs w:val="18"/>
              </w:rPr>
            </w:pPr>
            <w:r w:rsidRPr="00717195">
              <w:rPr>
                <w:sz w:val="18"/>
                <w:szCs w:val="18"/>
              </w:rPr>
              <w:t>Syncope</w:t>
            </w:r>
          </w:p>
        </w:tc>
        <w:tc>
          <w:tcPr>
            <w:tcW w:w="1644" w:type="dxa"/>
            <w:hideMark/>
          </w:tcPr>
          <w:p w14:paraId="2DEDB639" w14:textId="77777777" w:rsidR="001832A0" w:rsidRPr="00717195" w:rsidRDefault="001832A0" w:rsidP="002D3963">
            <w:pPr>
              <w:pStyle w:val="NormalWeb"/>
              <w:jc w:val="center"/>
              <w:rPr>
                <w:sz w:val="18"/>
                <w:szCs w:val="18"/>
              </w:rPr>
            </w:pPr>
            <w:r w:rsidRPr="00717195">
              <w:rPr>
                <w:sz w:val="18"/>
                <w:szCs w:val="18"/>
              </w:rPr>
              <w:t>129</w:t>
            </w:r>
          </w:p>
        </w:tc>
        <w:tc>
          <w:tcPr>
            <w:tcW w:w="1134" w:type="dxa"/>
            <w:hideMark/>
          </w:tcPr>
          <w:p w14:paraId="13746CBF" w14:textId="77777777" w:rsidR="001832A0" w:rsidRPr="00717195" w:rsidRDefault="001832A0" w:rsidP="002D3963">
            <w:pPr>
              <w:pStyle w:val="NormalWeb"/>
              <w:jc w:val="center"/>
              <w:rPr>
                <w:sz w:val="18"/>
                <w:szCs w:val="18"/>
              </w:rPr>
            </w:pPr>
            <w:r w:rsidRPr="00717195">
              <w:rPr>
                <w:sz w:val="18"/>
                <w:szCs w:val="18"/>
              </w:rPr>
              <w:t>55</w:t>
            </w:r>
          </w:p>
        </w:tc>
        <w:tc>
          <w:tcPr>
            <w:tcW w:w="1134" w:type="dxa"/>
            <w:hideMark/>
          </w:tcPr>
          <w:p w14:paraId="747C8C2A" w14:textId="77777777" w:rsidR="001832A0" w:rsidRPr="00717195" w:rsidRDefault="001832A0" w:rsidP="002D3963">
            <w:pPr>
              <w:pStyle w:val="NormalWeb"/>
              <w:jc w:val="center"/>
              <w:rPr>
                <w:sz w:val="18"/>
                <w:szCs w:val="18"/>
              </w:rPr>
            </w:pPr>
            <w:r w:rsidRPr="00717195">
              <w:rPr>
                <w:sz w:val="18"/>
                <w:szCs w:val="18"/>
              </w:rPr>
              <w:t>(42.6)</w:t>
            </w:r>
          </w:p>
        </w:tc>
        <w:tc>
          <w:tcPr>
            <w:tcW w:w="1134" w:type="dxa"/>
            <w:hideMark/>
          </w:tcPr>
          <w:p w14:paraId="691A0A9C" w14:textId="77777777" w:rsidR="001832A0" w:rsidRPr="00717195" w:rsidRDefault="001832A0" w:rsidP="002D3963">
            <w:pPr>
              <w:pStyle w:val="NormalWeb"/>
              <w:jc w:val="center"/>
              <w:rPr>
                <w:sz w:val="18"/>
                <w:szCs w:val="18"/>
              </w:rPr>
            </w:pPr>
            <w:r w:rsidRPr="00717195">
              <w:rPr>
                <w:sz w:val="18"/>
                <w:szCs w:val="18"/>
              </w:rPr>
              <w:t>15</w:t>
            </w:r>
          </w:p>
        </w:tc>
        <w:tc>
          <w:tcPr>
            <w:tcW w:w="1225" w:type="dxa"/>
            <w:hideMark/>
          </w:tcPr>
          <w:p w14:paraId="2715FD7B" w14:textId="77777777" w:rsidR="001832A0" w:rsidRPr="00717195" w:rsidRDefault="001832A0" w:rsidP="002D3963">
            <w:pPr>
              <w:pStyle w:val="NormalWeb"/>
              <w:jc w:val="center"/>
              <w:rPr>
                <w:sz w:val="18"/>
                <w:szCs w:val="18"/>
              </w:rPr>
            </w:pPr>
            <w:r w:rsidRPr="00717195">
              <w:rPr>
                <w:sz w:val="18"/>
                <w:szCs w:val="18"/>
              </w:rPr>
              <w:t>(11.6)</w:t>
            </w:r>
          </w:p>
        </w:tc>
        <w:tc>
          <w:tcPr>
            <w:tcW w:w="1326" w:type="dxa"/>
            <w:hideMark/>
          </w:tcPr>
          <w:p w14:paraId="11AA265D" w14:textId="77777777" w:rsidR="001832A0" w:rsidRPr="00717195" w:rsidRDefault="001832A0" w:rsidP="002D3963">
            <w:pPr>
              <w:pStyle w:val="NormalWeb"/>
              <w:jc w:val="center"/>
              <w:rPr>
                <w:sz w:val="18"/>
                <w:szCs w:val="18"/>
              </w:rPr>
            </w:pPr>
            <w:r w:rsidRPr="00717195">
              <w:rPr>
                <w:sz w:val="18"/>
                <w:szCs w:val="18"/>
              </w:rPr>
              <w:t>20</w:t>
            </w:r>
          </w:p>
        </w:tc>
        <w:tc>
          <w:tcPr>
            <w:tcW w:w="1418" w:type="dxa"/>
            <w:hideMark/>
          </w:tcPr>
          <w:p w14:paraId="478E669F" w14:textId="77777777" w:rsidR="001832A0" w:rsidRPr="00717195" w:rsidRDefault="001832A0" w:rsidP="002D3963">
            <w:pPr>
              <w:pStyle w:val="NormalWeb"/>
              <w:jc w:val="center"/>
              <w:rPr>
                <w:sz w:val="18"/>
                <w:szCs w:val="18"/>
              </w:rPr>
            </w:pPr>
            <w:r w:rsidRPr="00717195">
              <w:rPr>
                <w:sz w:val="18"/>
                <w:szCs w:val="18"/>
              </w:rPr>
              <w:t>(15.5)</w:t>
            </w:r>
          </w:p>
        </w:tc>
        <w:tc>
          <w:tcPr>
            <w:tcW w:w="1275" w:type="dxa"/>
            <w:hideMark/>
          </w:tcPr>
          <w:p w14:paraId="3D03BB60" w14:textId="77777777" w:rsidR="001832A0" w:rsidRPr="00717195" w:rsidRDefault="001832A0" w:rsidP="002D3963">
            <w:pPr>
              <w:pStyle w:val="NormalWeb"/>
              <w:jc w:val="center"/>
              <w:rPr>
                <w:sz w:val="18"/>
                <w:szCs w:val="18"/>
              </w:rPr>
            </w:pPr>
            <w:r w:rsidRPr="00717195">
              <w:rPr>
                <w:sz w:val="18"/>
                <w:szCs w:val="18"/>
              </w:rPr>
              <w:t>106</w:t>
            </w:r>
          </w:p>
        </w:tc>
        <w:tc>
          <w:tcPr>
            <w:tcW w:w="1307" w:type="dxa"/>
            <w:hideMark/>
          </w:tcPr>
          <w:p w14:paraId="53383501" w14:textId="77777777" w:rsidR="001832A0" w:rsidRPr="00717195" w:rsidRDefault="001832A0" w:rsidP="002D3963">
            <w:pPr>
              <w:pStyle w:val="NormalWeb"/>
              <w:jc w:val="center"/>
              <w:rPr>
                <w:sz w:val="18"/>
                <w:szCs w:val="18"/>
              </w:rPr>
            </w:pPr>
            <w:r w:rsidRPr="00717195">
              <w:rPr>
                <w:sz w:val="18"/>
                <w:szCs w:val="18"/>
              </w:rPr>
              <w:t>(82.2)</w:t>
            </w:r>
          </w:p>
        </w:tc>
      </w:tr>
      <w:tr w:rsidR="00427EF4" w:rsidRPr="00717195" w14:paraId="707DFD2E" w14:textId="77777777" w:rsidTr="00C25476">
        <w:tc>
          <w:tcPr>
            <w:tcW w:w="0" w:type="auto"/>
            <w:hideMark/>
          </w:tcPr>
          <w:p w14:paraId="3FD94500" w14:textId="77777777" w:rsidR="001832A0" w:rsidRPr="00717195" w:rsidRDefault="001832A0">
            <w:pPr>
              <w:pStyle w:val="NormalWeb"/>
              <w:rPr>
                <w:sz w:val="18"/>
                <w:szCs w:val="18"/>
              </w:rPr>
            </w:pPr>
            <w:r w:rsidRPr="00717195">
              <w:rPr>
                <w:sz w:val="18"/>
                <w:szCs w:val="18"/>
              </w:rPr>
              <w:t>Irritability</w:t>
            </w:r>
          </w:p>
        </w:tc>
        <w:tc>
          <w:tcPr>
            <w:tcW w:w="1644" w:type="dxa"/>
            <w:hideMark/>
          </w:tcPr>
          <w:p w14:paraId="0D38E752" w14:textId="77777777" w:rsidR="001832A0" w:rsidRPr="00717195" w:rsidRDefault="001832A0" w:rsidP="002D3963">
            <w:pPr>
              <w:pStyle w:val="NormalWeb"/>
              <w:jc w:val="center"/>
              <w:rPr>
                <w:sz w:val="18"/>
                <w:szCs w:val="18"/>
              </w:rPr>
            </w:pPr>
            <w:r w:rsidRPr="00717195">
              <w:rPr>
                <w:sz w:val="18"/>
                <w:szCs w:val="18"/>
              </w:rPr>
              <w:t>108</w:t>
            </w:r>
          </w:p>
        </w:tc>
        <w:tc>
          <w:tcPr>
            <w:tcW w:w="1134" w:type="dxa"/>
            <w:hideMark/>
          </w:tcPr>
          <w:p w14:paraId="5B0EF1DB" w14:textId="77777777" w:rsidR="001832A0" w:rsidRPr="00717195" w:rsidRDefault="001832A0" w:rsidP="002D3963">
            <w:pPr>
              <w:pStyle w:val="NormalWeb"/>
              <w:jc w:val="center"/>
              <w:rPr>
                <w:sz w:val="18"/>
                <w:szCs w:val="18"/>
              </w:rPr>
            </w:pPr>
            <w:r w:rsidRPr="00717195">
              <w:rPr>
                <w:sz w:val="18"/>
                <w:szCs w:val="18"/>
              </w:rPr>
              <w:t>5</w:t>
            </w:r>
          </w:p>
        </w:tc>
        <w:tc>
          <w:tcPr>
            <w:tcW w:w="1134" w:type="dxa"/>
            <w:hideMark/>
          </w:tcPr>
          <w:p w14:paraId="676139D2" w14:textId="77777777" w:rsidR="001832A0" w:rsidRPr="00717195" w:rsidRDefault="001832A0" w:rsidP="002D3963">
            <w:pPr>
              <w:pStyle w:val="NormalWeb"/>
              <w:jc w:val="center"/>
              <w:rPr>
                <w:sz w:val="18"/>
                <w:szCs w:val="18"/>
              </w:rPr>
            </w:pPr>
            <w:r w:rsidRPr="00717195">
              <w:rPr>
                <w:sz w:val="18"/>
                <w:szCs w:val="18"/>
              </w:rPr>
              <w:t>(4.6)</w:t>
            </w:r>
          </w:p>
        </w:tc>
        <w:tc>
          <w:tcPr>
            <w:tcW w:w="1134" w:type="dxa"/>
            <w:hideMark/>
          </w:tcPr>
          <w:p w14:paraId="17F41046" w14:textId="77777777" w:rsidR="001832A0" w:rsidRPr="00717195" w:rsidRDefault="001832A0" w:rsidP="002D3963">
            <w:pPr>
              <w:pStyle w:val="NormalWeb"/>
              <w:jc w:val="center"/>
              <w:rPr>
                <w:sz w:val="18"/>
                <w:szCs w:val="18"/>
              </w:rPr>
            </w:pPr>
            <w:r w:rsidRPr="00717195">
              <w:rPr>
                <w:sz w:val="18"/>
                <w:szCs w:val="18"/>
              </w:rPr>
              <w:t>11</w:t>
            </w:r>
          </w:p>
        </w:tc>
        <w:tc>
          <w:tcPr>
            <w:tcW w:w="1225" w:type="dxa"/>
            <w:hideMark/>
          </w:tcPr>
          <w:p w14:paraId="0920FEE3" w14:textId="77777777" w:rsidR="001832A0" w:rsidRPr="00717195" w:rsidRDefault="001832A0" w:rsidP="002D3963">
            <w:pPr>
              <w:pStyle w:val="NormalWeb"/>
              <w:jc w:val="center"/>
              <w:rPr>
                <w:sz w:val="18"/>
                <w:szCs w:val="18"/>
              </w:rPr>
            </w:pPr>
            <w:r w:rsidRPr="00717195">
              <w:rPr>
                <w:sz w:val="18"/>
                <w:szCs w:val="18"/>
              </w:rPr>
              <w:t>(10.2)</w:t>
            </w:r>
          </w:p>
        </w:tc>
        <w:tc>
          <w:tcPr>
            <w:tcW w:w="1326" w:type="dxa"/>
            <w:hideMark/>
          </w:tcPr>
          <w:p w14:paraId="51DEF972" w14:textId="77777777" w:rsidR="001832A0" w:rsidRPr="00717195" w:rsidRDefault="001832A0" w:rsidP="002D3963">
            <w:pPr>
              <w:pStyle w:val="NormalWeb"/>
              <w:jc w:val="center"/>
              <w:rPr>
                <w:sz w:val="18"/>
                <w:szCs w:val="18"/>
              </w:rPr>
            </w:pPr>
            <w:r w:rsidRPr="00717195">
              <w:rPr>
                <w:sz w:val="18"/>
                <w:szCs w:val="18"/>
              </w:rPr>
              <w:t>101</w:t>
            </w:r>
          </w:p>
        </w:tc>
        <w:tc>
          <w:tcPr>
            <w:tcW w:w="1418" w:type="dxa"/>
            <w:hideMark/>
          </w:tcPr>
          <w:p w14:paraId="72145FFB" w14:textId="77777777" w:rsidR="001832A0" w:rsidRPr="00717195" w:rsidRDefault="001832A0" w:rsidP="002D3963">
            <w:pPr>
              <w:pStyle w:val="NormalWeb"/>
              <w:jc w:val="center"/>
              <w:rPr>
                <w:sz w:val="18"/>
                <w:szCs w:val="18"/>
              </w:rPr>
            </w:pPr>
            <w:r w:rsidRPr="00717195">
              <w:rPr>
                <w:sz w:val="18"/>
                <w:szCs w:val="18"/>
              </w:rPr>
              <w:t>(93.5)</w:t>
            </w:r>
          </w:p>
        </w:tc>
        <w:tc>
          <w:tcPr>
            <w:tcW w:w="1275" w:type="dxa"/>
            <w:hideMark/>
          </w:tcPr>
          <w:p w14:paraId="12B30AA9" w14:textId="77777777" w:rsidR="001832A0" w:rsidRPr="00717195" w:rsidRDefault="001832A0" w:rsidP="002D3963">
            <w:pPr>
              <w:pStyle w:val="NormalWeb"/>
              <w:jc w:val="center"/>
              <w:rPr>
                <w:sz w:val="18"/>
                <w:szCs w:val="18"/>
              </w:rPr>
            </w:pPr>
            <w:r w:rsidRPr="00717195">
              <w:rPr>
                <w:sz w:val="18"/>
                <w:szCs w:val="18"/>
              </w:rPr>
              <w:t>3</w:t>
            </w:r>
          </w:p>
        </w:tc>
        <w:tc>
          <w:tcPr>
            <w:tcW w:w="1307" w:type="dxa"/>
            <w:hideMark/>
          </w:tcPr>
          <w:p w14:paraId="79ACAD37" w14:textId="77777777" w:rsidR="001832A0" w:rsidRPr="00717195" w:rsidRDefault="001832A0" w:rsidP="002D3963">
            <w:pPr>
              <w:pStyle w:val="NormalWeb"/>
              <w:jc w:val="center"/>
              <w:rPr>
                <w:sz w:val="18"/>
                <w:szCs w:val="18"/>
              </w:rPr>
            </w:pPr>
            <w:r w:rsidRPr="00717195">
              <w:rPr>
                <w:sz w:val="18"/>
                <w:szCs w:val="18"/>
              </w:rPr>
              <w:t>(2.8)</w:t>
            </w:r>
          </w:p>
        </w:tc>
      </w:tr>
      <w:tr w:rsidR="00DF1085" w:rsidRPr="00717195" w14:paraId="6E4EE75F"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2C66C4A0" w14:textId="77777777" w:rsidR="001832A0" w:rsidRPr="00717195" w:rsidRDefault="001832A0">
            <w:pPr>
              <w:pStyle w:val="NormalWeb"/>
              <w:rPr>
                <w:sz w:val="18"/>
                <w:szCs w:val="18"/>
              </w:rPr>
            </w:pPr>
            <w:r w:rsidRPr="00717195">
              <w:rPr>
                <w:sz w:val="18"/>
                <w:szCs w:val="18"/>
              </w:rPr>
              <w:t>Angioedema</w:t>
            </w:r>
          </w:p>
        </w:tc>
        <w:tc>
          <w:tcPr>
            <w:tcW w:w="1644" w:type="dxa"/>
            <w:hideMark/>
          </w:tcPr>
          <w:p w14:paraId="7D91EBCA" w14:textId="77777777" w:rsidR="001832A0" w:rsidRPr="00717195" w:rsidRDefault="001832A0" w:rsidP="002D3963">
            <w:pPr>
              <w:pStyle w:val="NormalWeb"/>
              <w:jc w:val="center"/>
              <w:rPr>
                <w:sz w:val="18"/>
                <w:szCs w:val="18"/>
              </w:rPr>
            </w:pPr>
            <w:r w:rsidRPr="00717195">
              <w:rPr>
                <w:sz w:val="18"/>
                <w:szCs w:val="18"/>
              </w:rPr>
              <w:t>98</w:t>
            </w:r>
          </w:p>
        </w:tc>
        <w:tc>
          <w:tcPr>
            <w:tcW w:w="1134" w:type="dxa"/>
            <w:hideMark/>
          </w:tcPr>
          <w:p w14:paraId="620F9107" w14:textId="77777777" w:rsidR="001832A0" w:rsidRPr="00717195" w:rsidRDefault="001832A0" w:rsidP="002D3963">
            <w:pPr>
              <w:pStyle w:val="NormalWeb"/>
              <w:jc w:val="center"/>
              <w:rPr>
                <w:sz w:val="18"/>
                <w:szCs w:val="18"/>
              </w:rPr>
            </w:pPr>
            <w:r w:rsidRPr="00717195">
              <w:rPr>
                <w:sz w:val="18"/>
                <w:szCs w:val="18"/>
              </w:rPr>
              <w:t>11</w:t>
            </w:r>
          </w:p>
        </w:tc>
        <w:tc>
          <w:tcPr>
            <w:tcW w:w="1134" w:type="dxa"/>
            <w:hideMark/>
          </w:tcPr>
          <w:p w14:paraId="0A3BA212" w14:textId="77777777" w:rsidR="001832A0" w:rsidRPr="00717195" w:rsidRDefault="001832A0" w:rsidP="002D3963">
            <w:pPr>
              <w:pStyle w:val="NormalWeb"/>
              <w:jc w:val="center"/>
              <w:rPr>
                <w:sz w:val="18"/>
                <w:szCs w:val="18"/>
              </w:rPr>
            </w:pPr>
            <w:r w:rsidRPr="00717195">
              <w:rPr>
                <w:sz w:val="18"/>
                <w:szCs w:val="18"/>
              </w:rPr>
              <w:t>(11.2)</w:t>
            </w:r>
          </w:p>
        </w:tc>
        <w:tc>
          <w:tcPr>
            <w:tcW w:w="1134" w:type="dxa"/>
            <w:hideMark/>
          </w:tcPr>
          <w:p w14:paraId="2CC54EED" w14:textId="77777777" w:rsidR="001832A0" w:rsidRPr="00717195" w:rsidRDefault="001832A0" w:rsidP="002D3963">
            <w:pPr>
              <w:pStyle w:val="NormalWeb"/>
              <w:jc w:val="center"/>
              <w:rPr>
                <w:sz w:val="18"/>
                <w:szCs w:val="18"/>
              </w:rPr>
            </w:pPr>
            <w:r w:rsidRPr="00717195">
              <w:rPr>
                <w:sz w:val="18"/>
                <w:szCs w:val="18"/>
              </w:rPr>
              <w:t>24</w:t>
            </w:r>
          </w:p>
        </w:tc>
        <w:tc>
          <w:tcPr>
            <w:tcW w:w="1225" w:type="dxa"/>
            <w:hideMark/>
          </w:tcPr>
          <w:p w14:paraId="2871B164" w14:textId="77777777" w:rsidR="001832A0" w:rsidRPr="00717195" w:rsidRDefault="001832A0" w:rsidP="002D3963">
            <w:pPr>
              <w:pStyle w:val="NormalWeb"/>
              <w:jc w:val="center"/>
              <w:rPr>
                <w:sz w:val="18"/>
                <w:szCs w:val="18"/>
              </w:rPr>
            </w:pPr>
            <w:r w:rsidRPr="00717195">
              <w:rPr>
                <w:sz w:val="18"/>
                <w:szCs w:val="18"/>
              </w:rPr>
              <w:t>(24.5)</w:t>
            </w:r>
          </w:p>
        </w:tc>
        <w:tc>
          <w:tcPr>
            <w:tcW w:w="1326" w:type="dxa"/>
            <w:hideMark/>
          </w:tcPr>
          <w:p w14:paraId="2CAF1442" w14:textId="77777777" w:rsidR="001832A0" w:rsidRPr="00717195" w:rsidRDefault="001832A0" w:rsidP="002D3963">
            <w:pPr>
              <w:pStyle w:val="NormalWeb"/>
              <w:jc w:val="center"/>
              <w:rPr>
                <w:sz w:val="18"/>
                <w:szCs w:val="18"/>
              </w:rPr>
            </w:pPr>
            <w:r w:rsidRPr="00717195">
              <w:rPr>
                <w:sz w:val="18"/>
                <w:szCs w:val="18"/>
              </w:rPr>
              <w:t>31</w:t>
            </w:r>
          </w:p>
        </w:tc>
        <w:tc>
          <w:tcPr>
            <w:tcW w:w="1418" w:type="dxa"/>
            <w:hideMark/>
          </w:tcPr>
          <w:p w14:paraId="53A8F407" w14:textId="77777777" w:rsidR="001832A0" w:rsidRPr="00717195" w:rsidRDefault="001832A0" w:rsidP="002D3963">
            <w:pPr>
              <w:pStyle w:val="NormalWeb"/>
              <w:jc w:val="center"/>
              <w:rPr>
                <w:sz w:val="18"/>
                <w:szCs w:val="18"/>
              </w:rPr>
            </w:pPr>
            <w:r w:rsidRPr="00717195">
              <w:rPr>
                <w:sz w:val="18"/>
                <w:szCs w:val="18"/>
              </w:rPr>
              <w:t>(31.6)</w:t>
            </w:r>
          </w:p>
        </w:tc>
        <w:tc>
          <w:tcPr>
            <w:tcW w:w="1275" w:type="dxa"/>
            <w:hideMark/>
          </w:tcPr>
          <w:p w14:paraId="13A69866" w14:textId="77777777" w:rsidR="001832A0" w:rsidRPr="00717195" w:rsidRDefault="001832A0" w:rsidP="002D3963">
            <w:pPr>
              <w:pStyle w:val="NormalWeb"/>
              <w:jc w:val="center"/>
              <w:rPr>
                <w:sz w:val="18"/>
                <w:szCs w:val="18"/>
              </w:rPr>
            </w:pPr>
            <w:r w:rsidRPr="00717195">
              <w:rPr>
                <w:sz w:val="18"/>
                <w:szCs w:val="18"/>
              </w:rPr>
              <w:t>67</w:t>
            </w:r>
          </w:p>
        </w:tc>
        <w:tc>
          <w:tcPr>
            <w:tcW w:w="1307" w:type="dxa"/>
            <w:hideMark/>
          </w:tcPr>
          <w:p w14:paraId="79312B16" w14:textId="77777777" w:rsidR="001832A0" w:rsidRPr="00717195" w:rsidRDefault="001832A0" w:rsidP="002D3963">
            <w:pPr>
              <w:pStyle w:val="NormalWeb"/>
              <w:jc w:val="center"/>
              <w:rPr>
                <w:sz w:val="18"/>
                <w:szCs w:val="18"/>
              </w:rPr>
            </w:pPr>
            <w:r w:rsidRPr="00717195">
              <w:rPr>
                <w:sz w:val="18"/>
                <w:szCs w:val="18"/>
              </w:rPr>
              <w:t>(68.4)</w:t>
            </w:r>
          </w:p>
        </w:tc>
      </w:tr>
      <w:tr w:rsidR="00427EF4" w:rsidRPr="00717195" w14:paraId="762040DE" w14:textId="77777777" w:rsidTr="00C25476">
        <w:tc>
          <w:tcPr>
            <w:tcW w:w="0" w:type="auto"/>
            <w:hideMark/>
          </w:tcPr>
          <w:p w14:paraId="640F156E" w14:textId="77777777" w:rsidR="001832A0" w:rsidRPr="00717195" w:rsidRDefault="001832A0">
            <w:pPr>
              <w:pStyle w:val="NormalWeb"/>
              <w:rPr>
                <w:sz w:val="18"/>
                <w:szCs w:val="18"/>
              </w:rPr>
            </w:pPr>
            <w:r w:rsidRPr="00717195">
              <w:rPr>
                <w:sz w:val="18"/>
                <w:szCs w:val="18"/>
              </w:rPr>
              <w:t>Pallor</w:t>
            </w:r>
          </w:p>
        </w:tc>
        <w:tc>
          <w:tcPr>
            <w:tcW w:w="1644" w:type="dxa"/>
            <w:hideMark/>
          </w:tcPr>
          <w:p w14:paraId="31B608C9" w14:textId="77777777" w:rsidR="001832A0" w:rsidRPr="00717195" w:rsidRDefault="001832A0" w:rsidP="002D3963">
            <w:pPr>
              <w:pStyle w:val="NormalWeb"/>
              <w:jc w:val="center"/>
              <w:rPr>
                <w:sz w:val="18"/>
                <w:szCs w:val="18"/>
              </w:rPr>
            </w:pPr>
            <w:r w:rsidRPr="00717195">
              <w:rPr>
                <w:sz w:val="18"/>
                <w:szCs w:val="18"/>
              </w:rPr>
              <w:t>92</w:t>
            </w:r>
          </w:p>
        </w:tc>
        <w:tc>
          <w:tcPr>
            <w:tcW w:w="1134" w:type="dxa"/>
            <w:hideMark/>
          </w:tcPr>
          <w:p w14:paraId="2F7BC91C" w14:textId="77777777" w:rsidR="001832A0" w:rsidRPr="00717195" w:rsidRDefault="001832A0" w:rsidP="002D3963">
            <w:pPr>
              <w:pStyle w:val="NormalWeb"/>
              <w:jc w:val="center"/>
              <w:rPr>
                <w:sz w:val="18"/>
                <w:szCs w:val="18"/>
              </w:rPr>
            </w:pPr>
            <w:r w:rsidRPr="00717195">
              <w:rPr>
                <w:sz w:val="18"/>
                <w:szCs w:val="18"/>
              </w:rPr>
              <w:t>6</w:t>
            </w:r>
          </w:p>
        </w:tc>
        <w:tc>
          <w:tcPr>
            <w:tcW w:w="1134" w:type="dxa"/>
            <w:hideMark/>
          </w:tcPr>
          <w:p w14:paraId="3ADEF297" w14:textId="77777777" w:rsidR="001832A0" w:rsidRPr="00717195" w:rsidRDefault="001832A0" w:rsidP="002D3963">
            <w:pPr>
              <w:pStyle w:val="NormalWeb"/>
              <w:jc w:val="center"/>
              <w:rPr>
                <w:sz w:val="18"/>
                <w:szCs w:val="18"/>
              </w:rPr>
            </w:pPr>
            <w:r w:rsidRPr="00717195">
              <w:rPr>
                <w:sz w:val="18"/>
                <w:szCs w:val="18"/>
              </w:rPr>
              <w:t>(6.5)</w:t>
            </w:r>
          </w:p>
        </w:tc>
        <w:tc>
          <w:tcPr>
            <w:tcW w:w="1134" w:type="dxa"/>
            <w:hideMark/>
          </w:tcPr>
          <w:p w14:paraId="160D6645" w14:textId="77777777" w:rsidR="001832A0" w:rsidRPr="00717195" w:rsidRDefault="001832A0" w:rsidP="002D3963">
            <w:pPr>
              <w:pStyle w:val="NormalWeb"/>
              <w:jc w:val="center"/>
              <w:rPr>
                <w:sz w:val="18"/>
                <w:szCs w:val="18"/>
              </w:rPr>
            </w:pPr>
            <w:r w:rsidRPr="00717195">
              <w:rPr>
                <w:sz w:val="18"/>
                <w:szCs w:val="18"/>
              </w:rPr>
              <w:t>14</w:t>
            </w:r>
          </w:p>
        </w:tc>
        <w:tc>
          <w:tcPr>
            <w:tcW w:w="1225" w:type="dxa"/>
            <w:hideMark/>
          </w:tcPr>
          <w:p w14:paraId="1B192F9F" w14:textId="77777777" w:rsidR="001832A0" w:rsidRPr="00717195" w:rsidRDefault="001832A0" w:rsidP="002D3963">
            <w:pPr>
              <w:pStyle w:val="NormalWeb"/>
              <w:jc w:val="center"/>
              <w:rPr>
                <w:sz w:val="18"/>
                <w:szCs w:val="18"/>
              </w:rPr>
            </w:pPr>
            <w:r w:rsidRPr="00717195">
              <w:rPr>
                <w:sz w:val="18"/>
                <w:szCs w:val="18"/>
              </w:rPr>
              <w:t>(15.2)</w:t>
            </w:r>
          </w:p>
        </w:tc>
        <w:tc>
          <w:tcPr>
            <w:tcW w:w="1326" w:type="dxa"/>
            <w:hideMark/>
          </w:tcPr>
          <w:p w14:paraId="3044B656" w14:textId="77777777" w:rsidR="001832A0" w:rsidRPr="00717195" w:rsidRDefault="001832A0" w:rsidP="002D3963">
            <w:pPr>
              <w:pStyle w:val="NormalWeb"/>
              <w:jc w:val="center"/>
              <w:rPr>
                <w:sz w:val="18"/>
                <w:szCs w:val="18"/>
              </w:rPr>
            </w:pPr>
            <w:r w:rsidRPr="00717195">
              <w:rPr>
                <w:sz w:val="18"/>
                <w:szCs w:val="18"/>
              </w:rPr>
              <w:t>53</w:t>
            </w:r>
          </w:p>
        </w:tc>
        <w:tc>
          <w:tcPr>
            <w:tcW w:w="1418" w:type="dxa"/>
            <w:hideMark/>
          </w:tcPr>
          <w:p w14:paraId="5713D755" w14:textId="77777777" w:rsidR="001832A0" w:rsidRPr="00717195" w:rsidRDefault="001832A0" w:rsidP="002D3963">
            <w:pPr>
              <w:pStyle w:val="NormalWeb"/>
              <w:jc w:val="center"/>
              <w:rPr>
                <w:sz w:val="18"/>
                <w:szCs w:val="18"/>
              </w:rPr>
            </w:pPr>
            <w:r w:rsidRPr="00717195">
              <w:rPr>
                <w:sz w:val="18"/>
                <w:szCs w:val="18"/>
              </w:rPr>
              <w:t>(57.6)</w:t>
            </w:r>
          </w:p>
        </w:tc>
        <w:tc>
          <w:tcPr>
            <w:tcW w:w="1275" w:type="dxa"/>
            <w:hideMark/>
          </w:tcPr>
          <w:p w14:paraId="2F38CCC5" w14:textId="77777777" w:rsidR="001832A0" w:rsidRPr="00717195" w:rsidRDefault="001832A0" w:rsidP="002D3963">
            <w:pPr>
              <w:pStyle w:val="NormalWeb"/>
              <w:jc w:val="center"/>
              <w:rPr>
                <w:sz w:val="18"/>
                <w:szCs w:val="18"/>
              </w:rPr>
            </w:pPr>
            <w:r w:rsidRPr="00717195">
              <w:rPr>
                <w:sz w:val="18"/>
                <w:szCs w:val="18"/>
              </w:rPr>
              <w:t>37</w:t>
            </w:r>
          </w:p>
        </w:tc>
        <w:tc>
          <w:tcPr>
            <w:tcW w:w="1307" w:type="dxa"/>
            <w:hideMark/>
          </w:tcPr>
          <w:p w14:paraId="311462D5" w14:textId="77777777" w:rsidR="001832A0" w:rsidRPr="00717195" w:rsidRDefault="001832A0" w:rsidP="002D3963">
            <w:pPr>
              <w:pStyle w:val="NormalWeb"/>
              <w:jc w:val="center"/>
              <w:rPr>
                <w:sz w:val="18"/>
                <w:szCs w:val="18"/>
              </w:rPr>
            </w:pPr>
            <w:r w:rsidRPr="00717195">
              <w:rPr>
                <w:sz w:val="18"/>
                <w:szCs w:val="18"/>
              </w:rPr>
              <w:t>(40.2)</w:t>
            </w:r>
          </w:p>
        </w:tc>
      </w:tr>
      <w:tr w:rsidR="00DF1085" w:rsidRPr="00717195" w14:paraId="318B256D"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4E658D64" w14:textId="77777777" w:rsidR="001832A0" w:rsidRPr="00717195" w:rsidRDefault="001832A0">
            <w:pPr>
              <w:pStyle w:val="NormalWeb"/>
              <w:rPr>
                <w:sz w:val="18"/>
                <w:szCs w:val="18"/>
              </w:rPr>
            </w:pPr>
            <w:r w:rsidRPr="00717195">
              <w:rPr>
                <w:sz w:val="18"/>
                <w:szCs w:val="18"/>
              </w:rPr>
              <w:t>Pruritus</w:t>
            </w:r>
          </w:p>
        </w:tc>
        <w:tc>
          <w:tcPr>
            <w:tcW w:w="1644" w:type="dxa"/>
            <w:hideMark/>
          </w:tcPr>
          <w:p w14:paraId="28EE2233" w14:textId="77777777" w:rsidR="001832A0" w:rsidRPr="00717195" w:rsidRDefault="001832A0" w:rsidP="002D3963">
            <w:pPr>
              <w:pStyle w:val="NormalWeb"/>
              <w:jc w:val="center"/>
              <w:rPr>
                <w:sz w:val="18"/>
                <w:szCs w:val="18"/>
              </w:rPr>
            </w:pPr>
            <w:r w:rsidRPr="00717195">
              <w:rPr>
                <w:sz w:val="18"/>
                <w:szCs w:val="18"/>
              </w:rPr>
              <w:t>82</w:t>
            </w:r>
          </w:p>
        </w:tc>
        <w:tc>
          <w:tcPr>
            <w:tcW w:w="1134" w:type="dxa"/>
            <w:hideMark/>
          </w:tcPr>
          <w:p w14:paraId="52A2D571" w14:textId="77777777" w:rsidR="001832A0" w:rsidRPr="00717195" w:rsidRDefault="001832A0" w:rsidP="002D3963">
            <w:pPr>
              <w:pStyle w:val="NormalWeb"/>
              <w:jc w:val="center"/>
              <w:rPr>
                <w:sz w:val="18"/>
                <w:szCs w:val="18"/>
              </w:rPr>
            </w:pPr>
            <w:r w:rsidRPr="00717195">
              <w:rPr>
                <w:sz w:val="18"/>
                <w:szCs w:val="18"/>
              </w:rPr>
              <w:t>7</w:t>
            </w:r>
          </w:p>
        </w:tc>
        <w:tc>
          <w:tcPr>
            <w:tcW w:w="1134" w:type="dxa"/>
            <w:hideMark/>
          </w:tcPr>
          <w:p w14:paraId="4BE344DD" w14:textId="77777777" w:rsidR="001832A0" w:rsidRPr="00717195" w:rsidRDefault="001832A0" w:rsidP="002D3963">
            <w:pPr>
              <w:pStyle w:val="NormalWeb"/>
              <w:jc w:val="center"/>
              <w:rPr>
                <w:sz w:val="18"/>
                <w:szCs w:val="18"/>
              </w:rPr>
            </w:pPr>
            <w:r w:rsidRPr="00717195">
              <w:rPr>
                <w:sz w:val="18"/>
                <w:szCs w:val="18"/>
              </w:rPr>
              <w:t>(8.5)</w:t>
            </w:r>
          </w:p>
        </w:tc>
        <w:tc>
          <w:tcPr>
            <w:tcW w:w="1134" w:type="dxa"/>
            <w:hideMark/>
          </w:tcPr>
          <w:p w14:paraId="68D5B2F1" w14:textId="77777777" w:rsidR="001832A0" w:rsidRPr="00717195" w:rsidRDefault="001832A0" w:rsidP="002D3963">
            <w:pPr>
              <w:pStyle w:val="NormalWeb"/>
              <w:jc w:val="center"/>
              <w:rPr>
                <w:sz w:val="18"/>
                <w:szCs w:val="18"/>
              </w:rPr>
            </w:pPr>
            <w:r w:rsidRPr="00717195">
              <w:rPr>
                <w:sz w:val="18"/>
                <w:szCs w:val="18"/>
              </w:rPr>
              <w:t>10</w:t>
            </w:r>
          </w:p>
        </w:tc>
        <w:tc>
          <w:tcPr>
            <w:tcW w:w="1225" w:type="dxa"/>
            <w:hideMark/>
          </w:tcPr>
          <w:p w14:paraId="693EAD87" w14:textId="77777777" w:rsidR="001832A0" w:rsidRPr="00717195" w:rsidRDefault="001832A0" w:rsidP="002D3963">
            <w:pPr>
              <w:pStyle w:val="NormalWeb"/>
              <w:jc w:val="center"/>
              <w:rPr>
                <w:sz w:val="18"/>
                <w:szCs w:val="18"/>
              </w:rPr>
            </w:pPr>
            <w:r w:rsidRPr="00717195">
              <w:rPr>
                <w:sz w:val="18"/>
                <w:szCs w:val="18"/>
              </w:rPr>
              <w:t>(12.2)</w:t>
            </w:r>
          </w:p>
        </w:tc>
        <w:tc>
          <w:tcPr>
            <w:tcW w:w="1326" w:type="dxa"/>
            <w:hideMark/>
          </w:tcPr>
          <w:p w14:paraId="2493F60D" w14:textId="77777777" w:rsidR="001832A0" w:rsidRPr="00717195" w:rsidRDefault="001832A0" w:rsidP="002D3963">
            <w:pPr>
              <w:pStyle w:val="NormalWeb"/>
              <w:jc w:val="center"/>
              <w:rPr>
                <w:sz w:val="18"/>
                <w:szCs w:val="18"/>
              </w:rPr>
            </w:pPr>
            <w:r w:rsidRPr="00717195">
              <w:rPr>
                <w:sz w:val="18"/>
                <w:szCs w:val="18"/>
              </w:rPr>
              <w:t>19</w:t>
            </w:r>
          </w:p>
        </w:tc>
        <w:tc>
          <w:tcPr>
            <w:tcW w:w="1418" w:type="dxa"/>
            <w:hideMark/>
          </w:tcPr>
          <w:p w14:paraId="5B531AAD" w14:textId="77777777" w:rsidR="001832A0" w:rsidRPr="00717195" w:rsidRDefault="001832A0" w:rsidP="002D3963">
            <w:pPr>
              <w:pStyle w:val="NormalWeb"/>
              <w:jc w:val="center"/>
              <w:rPr>
                <w:sz w:val="18"/>
                <w:szCs w:val="18"/>
              </w:rPr>
            </w:pPr>
            <w:r w:rsidRPr="00717195">
              <w:rPr>
                <w:sz w:val="18"/>
                <w:szCs w:val="18"/>
              </w:rPr>
              <w:t>(23.2)</w:t>
            </w:r>
          </w:p>
        </w:tc>
        <w:tc>
          <w:tcPr>
            <w:tcW w:w="1275" w:type="dxa"/>
            <w:hideMark/>
          </w:tcPr>
          <w:p w14:paraId="1E334367" w14:textId="77777777" w:rsidR="001832A0" w:rsidRPr="00717195" w:rsidRDefault="001832A0" w:rsidP="002D3963">
            <w:pPr>
              <w:pStyle w:val="NormalWeb"/>
              <w:jc w:val="center"/>
              <w:rPr>
                <w:sz w:val="18"/>
                <w:szCs w:val="18"/>
              </w:rPr>
            </w:pPr>
            <w:r w:rsidRPr="00717195">
              <w:rPr>
                <w:sz w:val="18"/>
                <w:szCs w:val="18"/>
              </w:rPr>
              <w:t>62</w:t>
            </w:r>
          </w:p>
        </w:tc>
        <w:tc>
          <w:tcPr>
            <w:tcW w:w="1307" w:type="dxa"/>
            <w:hideMark/>
          </w:tcPr>
          <w:p w14:paraId="2FAD971E" w14:textId="77777777" w:rsidR="001832A0" w:rsidRPr="00717195" w:rsidRDefault="001832A0" w:rsidP="002D3963">
            <w:pPr>
              <w:pStyle w:val="NormalWeb"/>
              <w:jc w:val="center"/>
              <w:rPr>
                <w:sz w:val="18"/>
                <w:szCs w:val="18"/>
              </w:rPr>
            </w:pPr>
            <w:r w:rsidRPr="00717195">
              <w:rPr>
                <w:sz w:val="18"/>
                <w:szCs w:val="18"/>
              </w:rPr>
              <w:t>(75.6)</w:t>
            </w:r>
          </w:p>
        </w:tc>
      </w:tr>
      <w:tr w:rsidR="00427EF4" w:rsidRPr="00717195" w14:paraId="4BC1915E" w14:textId="77777777" w:rsidTr="00C25476">
        <w:tc>
          <w:tcPr>
            <w:tcW w:w="0" w:type="auto"/>
            <w:hideMark/>
          </w:tcPr>
          <w:p w14:paraId="4227A409" w14:textId="77777777" w:rsidR="001832A0" w:rsidRPr="00717195" w:rsidRDefault="001832A0">
            <w:pPr>
              <w:pStyle w:val="NormalWeb"/>
              <w:rPr>
                <w:sz w:val="18"/>
                <w:szCs w:val="18"/>
              </w:rPr>
            </w:pPr>
            <w:r w:rsidRPr="00717195">
              <w:rPr>
                <w:sz w:val="18"/>
                <w:szCs w:val="18"/>
              </w:rPr>
              <w:t>Paraesthesia</w:t>
            </w:r>
          </w:p>
        </w:tc>
        <w:tc>
          <w:tcPr>
            <w:tcW w:w="1644" w:type="dxa"/>
            <w:hideMark/>
          </w:tcPr>
          <w:p w14:paraId="05CCB428" w14:textId="77777777" w:rsidR="001832A0" w:rsidRPr="00717195" w:rsidRDefault="001832A0" w:rsidP="002D3963">
            <w:pPr>
              <w:pStyle w:val="NormalWeb"/>
              <w:jc w:val="center"/>
              <w:rPr>
                <w:sz w:val="18"/>
                <w:szCs w:val="18"/>
              </w:rPr>
            </w:pPr>
            <w:r w:rsidRPr="00717195">
              <w:rPr>
                <w:sz w:val="18"/>
                <w:szCs w:val="18"/>
              </w:rPr>
              <w:t>79</w:t>
            </w:r>
          </w:p>
        </w:tc>
        <w:tc>
          <w:tcPr>
            <w:tcW w:w="1134" w:type="dxa"/>
            <w:hideMark/>
          </w:tcPr>
          <w:p w14:paraId="19280F91" w14:textId="77777777" w:rsidR="001832A0" w:rsidRPr="00717195" w:rsidRDefault="001832A0" w:rsidP="002D3963">
            <w:pPr>
              <w:pStyle w:val="NormalWeb"/>
              <w:jc w:val="center"/>
              <w:rPr>
                <w:sz w:val="18"/>
                <w:szCs w:val="18"/>
              </w:rPr>
            </w:pPr>
            <w:r w:rsidRPr="00717195">
              <w:rPr>
                <w:sz w:val="18"/>
                <w:szCs w:val="18"/>
              </w:rPr>
              <w:t>8</w:t>
            </w:r>
          </w:p>
        </w:tc>
        <w:tc>
          <w:tcPr>
            <w:tcW w:w="1134" w:type="dxa"/>
            <w:hideMark/>
          </w:tcPr>
          <w:p w14:paraId="30E9E786" w14:textId="77777777" w:rsidR="001832A0" w:rsidRPr="00717195" w:rsidRDefault="001832A0" w:rsidP="002D3963">
            <w:pPr>
              <w:pStyle w:val="NormalWeb"/>
              <w:jc w:val="center"/>
              <w:rPr>
                <w:sz w:val="18"/>
                <w:szCs w:val="18"/>
              </w:rPr>
            </w:pPr>
            <w:r w:rsidRPr="00717195">
              <w:rPr>
                <w:sz w:val="18"/>
                <w:szCs w:val="18"/>
              </w:rPr>
              <w:t>(10.1)</w:t>
            </w:r>
          </w:p>
        </w:tc>
        <w:tc>
          <w:tcPr>
            <w:tcW w:w="1134" w:type="dxa"/>
            <w:hideMark/>
          </w:tcPr>
          <w:p w14:paraId="1863BBDA" w14:textId="77777777" w:rsidR="001832A0" w:rsidRPr="00717195" w:rsidRDefault="001832A0" w:rsidP="002D3963">
            <w:pPr>
              <w:pStyle w:val="NormalWeb"/>
              <w:jc w:val="center"/>
              <w:rPr>
                <w:sz w:val="18"/>
                <w:szCs w:val="18"/>
              </w:rPr>
            </w:pPr>
            <w:r w:rsidRPr="00717195">
              <w:rPr>
                <w:sz w:val="18"/>
                <w:szCs w:val="18"/>
              </w:rPr>
              <w:t>17</w:t>
            </w:r>
          </w:p>
        </w:tc>
        <w:tc>
          <w:tcPr>
            <w:tcW w:w="1225" w:type="dxa"/>
            <w:hideMark/>
          </w:tcPr>
          <w:p w14:paraId="452A4834" w14:textId="77777777" w:rsidR="001832A0" w:rsidRPr="00717195" w:rsidRDefault="001832A0" w:rsidP="002D3963">
            <w:pPr>
              <w:pStyle w:val="NormalWeb"/>
              <w:jc w:val="center"/>
              <w:rPr>
                <w:sz w:val="18"/>
                <w:szCs w:val="18"/>
              </w:rPr>
            </w:pPr>
            <w:r w:rsidRPr="00717195">
              <w:rPr>
                <w:sz w:val="18"/>
                <w:szCs w:val="18"/>
              </w:rPr>
              <w:t>(21.5)</w:t>
            </w:r>
          </w:p>
        </w:tc>
        <w:tc>
          <w:tcPr>
            <w:tcW w:w="1326" w:type="dxa"/>
            <w:hideMark/>
          </w:tcPr>
          <w:p w14:paraId="0220BA9A" w14:textId="77777777" w:rsidR="001832A0" w:rsidRPr="00717195" w:rsidRDefault="001832A0" w:rsidP="002D3963">
            <w:pPr>
              <w:pStyle w:val="NormalWeb"/>
              <w:jc w:val="center"/>
              <w:rPr>
                <w:sz w:val="18"/>
                <w:szCs w:val="18"/>
              </w:rPr>
            </w:pPr>
            <w:r w:rsidRPr="00717195">
              <w:rPr>
                <w:sz w:val="18"/>
                <w:szCs w:val="18"/>
              </w:rPr>
              <w:t>3</w:t>
            </w:r>
          </w:p>
        </w:tc>
        <w:tc>
          <w:tcPr>
            <w:tcW w:w="1418" w:type="dxa"/>
            <w:hideMark/>
          </w:tcPr>
          <w:p w14:paraId="3CA352E7" w14:textId="77777777" w:rsidR="001832A0" w:rsidRPr="00717195" w:rsidRDefault="001832A0" w:rsidP="002D3963">
            <w:pPr>
              <w:pStyle w:val="NormalWeb"/>
              <w:jc w:val="center"/>
              <w:rPr>
                <w:sz w:val="18"/>
                <w:szCs w:val="18"/>
              </w:rPr>
            </w:pPr>
            <w:r w:rsidRPr="00717195">
              <w:rPr>
                <w:sz w:val="18"/>
                <w:szCs w:val="18"/>
              </w:rPr>
              <w:t>(3.8)</w:t>
            </w:r>
          </w:p>
        </w:tc>
        <w:tc>
          <w:tcPr>
            <w:tcW w:w="1275" w:type="dxa"/>
            <w:hideMark/>
          </w:tcPr>
          <w:p w14:paraId="60B04129" w14:textId="77777777" w:rsidR="001832A0" w:rsidRPr="00717195" w:rsidRDefault="001832A0" w:rsidP="002D3963">
            <w:pPr>
              <w:pStyle w:val="NormalWeb"/>
              <w:jc w:val="center"/>
              <w:rPr>
                <w:sz w:val="18"/>
                <w:szCs w:val="18"/>
              </w:rPr>
            </w:pPr>
            <w:r w:rsidRPr="00717195">
              <w:rPr>
                <w:sz w:val="18"/>
                <w:szCs w:val="18"/>
              </w:rPr>
              <w:t>74</w:t>
            </w:r>
          </w:p>
        </w:tc>
        <w:tc>
          <w:tcPr>
            <w:tcW w:w="1307" w:type="dxa"/>
            <w:hideMark/>
          </w:tcPr>
          <w:p w14:paraId="64C0992F" w14:textId="77777777" w:rsidR="001832A0" w:rsidRPr="00717195" w:rsidRDefault="001832A0" w:rsidP="002D3963">
            <w:pPr>
              <w:pStyle w:val="NormalWeb"/>
              <w:jc w:val="center"/>
              <w:rPr>
                <w:sz w:val="18"/>
                <w:szCs w:val="18"/>
              </w:rPr>
            </w:pPr>
            <w:r w:rsidRPr="00717195">
              <w:rPr>
                <w:sz w:val="18"/>
                <w:szCs w:val="18"/>
              </w:rPr>
              <w:t>(93.7)</w:t>
            </w:r>
          </w:p>
        </w:tc>
      </w:tr>
      <w:tr w:rsidR="00DF1085" w:rsidRPr="00717195" w14:paraId="4279DC7A"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5BF28F33" w14:textId="77777777" w:rsidR="001832A0" w:rsidRPr="00717195" w:rsidRDefault="001832A0">
            <w:pPr>
              <w:pStyle w:val="NormalWeb"/>
              <w:rPr>
                <w:sz w:val="18"/>
                <w:szCs w:val="18"/>
              </w:rPr>
            </w:pPr>
            <w:r w:rsidRPr="00717195">
              <w:rPr>
                <w:sz w:val="18"/>
                <w:szCs w:val="18"/>
              </w:rPr>
              <w:t>Erythema</w:t>
            </w:r>
          </w:p>
        </w:tc>
        <w:tc>
          <w:tcPr>
            <w:tcW w:w="1644" w:type="dxa"/>
            <w:hideMark/>
          </w:tcPr>
          <w:p w14:paraId="036C7F62" w14:textId="77777777" w:rsidR="001832A0" w:rsidRPr="00717195" w:rsidRDefault="001832A0" w:rsidP="002D3963">
            <w:pPr>
              <w:pStyle w:val="NormalWeb"/>
              <w:jc w:val="center"/>
              <w:rPr>
                <w:sz w:val="18"/>
                <w:szCs w:val="18"/>
              </w:rPr>
            </w:pPr>
            <w:r w:rsidRPr="00717195">
              <w:rPr>
                <w:sz w:val="18"/>
                <w:szCs w:val="18"/>
              </w:rPr>
              <w:t>78</w:t>
            </w:r>
          </w:p>
        </w:tc>
        <w:tc>
          <w:tcPr>
            <w:tcW w:w="1134" w:type="dxa"/>
            <w:hideMark/>
          </w:tcPr>
          <w:p w14:paraId="745F7CA2" w14:textId="77777777" w:rsidR="001832A0" w:rsidRPr="00717195" w:rsidRDefault="001832A0" w:rsidP="002D3963">
            <w:pPr>
              <w:pStyle w:val="NormalWeb"/>
              <w:jc w:val="center"/>
              <w:rPr>
                <w:sz w:val="18"/>
                <w:szCs w:val="18"/>
              </w:rPr>
            </w:pPr>
            <w:r w:rsidRPr="00717195">
              <w:rPr>
                <w:sz w:val="18"/>
                <w:szCs w:val="18"/>
              </w:rPr>
              <w:t>12</w:t>
            </w:r>
          </w:p>
        </w:tc>
        <w:tc>
          <w:tcPr>
            <w:tcW w:w="1134" w:type="dxa"/>
            <w:hideMark/>
          </w:tcPr>
          <w:p w14:paraId="0E3D4F3C" w14:textId="77777777" w:rsidR="001832A0" w:rsidRPr="00717195" w:rsidRDefault="001832A0" w:rsidP="002D3963">
            <w:pPr>
              <w:pStyle w:val="NormalWeb"/>
              <w:jc w:val="center"/>
              <w:rPr>
                <w:sz w:val="18"/>
                <w:szCs w:val="18"/>
              </w:rPr>
            </w:pPr>
            <w:r w:rsidRPr="00717195">
              <w:rPr>
                <w:sz w:val="18"/>
                <w:szCs w:val="18"/>
              </w:rPr>
              <w:t>(15.4)</w:t>
            </w:r>
          </w:p>
        </w:tc>
        <w:tc>
          <w:tcPr>
            <w:tcW w:w="1134" w:type="dxa"/>
            <w:hideMark/>
          </w:tcPr>
          <w:p w14:paraId="6115785A" w14:textId="77777777" w:rsidR="001832A0" w:rsidRPr="00717195" w:rsidRDefault="001832A0" w:rsidP="002D3963">
            <w:pPr>
              <w:pStyle w:val="NormalWeb"/>
              <w:jc w:val="center"/>
              <w:rPr>
                <w:sz w:val="18"/>
                <w:szCs w:val="18"/>
              </w:rPr>
            </w:pPr>
            <w:r w:rsidRPr="00717195">
              <w:rPr>
                <w:sz w:val="18"/>
                <w:szCs w:val="18"/>
              </w:rPr>
              <w:t>11</w:t>
            </w:r>
          </w:p>
        </w:tc>
        <w:tc>
          <w:tcPr>
            <w:tcW w:w="1225" w:type="dxa"/>
            <w:hideMark/>
          </w:tcPr>
          <w:p w14:paraId="0FB70072" w14:textId="77777777" w:rsidR="001832A0" w:rsidRPr="00717195" w:rsidRDefault="001832A0" w:rsidP="002D3963">
            <w:pPr>
              <w:pStyle w:val="NormalWeb"/>
              <w:jc w:val="center"/>
              <w:rPr>
                <w:sz w:val="18"/>
                <w:szCs w:val="18"/>
              </w:rPr>
            </w:pPr>
            <w:r w:rsidRPr="00717195">
              <w:rPr>
                <w:sz w:val="18"/>
                <w:szCs w:val="18"/>
              </w:rPr>
              <w:t>(14.1)</w:t>
            </w:r>
          </w:p>
        </w:tc>
        <w:tc>
          <w:tcPr>
            <w:tcW w:w="1326" w:type="dxa"/>
            <w:hideMark/>
          </w:tcPr>
          <w:p w14:paraId="7A98D087" w14:textId="77777777" w:rsidR="001832A0" w:rsidRPr="00717195" w:rsidRDefault="001832A0" w:rsidP="002D3963">
            <w:pPr>
              <w:pStyle w:val="NormalWeb"/>
              <w:jc w:val="center"/>
              <w:rPr>
                <w:sz w:val="18"/>
                <w:szCs w:val="18"/>
              </w:rPr>
            </w:pPr>
            <w:r w:rsidRPr="00717195">
              <w:rPr>
                <w:sz w:val="18"/>
                <w:szCs w:val="18"/>
              </w:rPr>
              <w:t>39</w:t>
            </w:r>
          </w:p>
        </w:tc>
        <w:tc>
          <w:tcPr>
            <w:tcW w:w="1418" w:type="dxa"/>
            <w:hideMark/>
          </w:tcPr>
          <w:p w14:paraId="5384D74F" w14:textId="77777777" w:rsidR="001832A0" w:rsidRPr="00717195" w:rsidRDefault="001832A0" w:rsidP="002D3963">
            <w:pPr>
              <w:pStyle w:val="NormalWeb"/>
              <w:jc w:val="center"/>
              <w:rPr>
                <w:sz w:val="18"/>
                <w:szCs w:val="18"/>
              </w:rPr>
            </w:pPr>
            <w:r w:rsidRPr="00717195">
              <w:rPr>
                <w:sz w:val="18"/>
                <w:szCs w:val="18"/>
              </w:rPr>
              <w:t>(50.0)</w:t>
            </w:r>
          </w:p>
        </w:tc>
        <w:tc>
          <w:tcPr>
            <w:tcW w:w="1275" w:type="dxa"/>
            <w:hideMark/>
          </w:tcPr>
          <w:p w14:paraId="2A44CCBD" w14:textId="77777777" w:rsidR="001832A0" w:rsidRPr="00717195" w:rsidRDefault="001832A0" w:rsidP="002D3963">
            <w:pPr>
              <w:pStyle w:val="NormalWeb"/>
              <w:jc w:val="center"/>
              <w:rPr>
                <w:sz w:val="18"/>
                <w:szCs w:val="18"/>
              </w:rPr>
            </w:pPr>
            <w:r w:rsidRPr="00717195">
              <w:rPr>
                <w:sz w:val="18"/>
                <w:szCs w:val="18"/>
              </w:rPr>
              <w:t>38</w:t>
            </w:r>
          </w:p>
        </w:tc>
        <w:tc>
          <w:tcPr>
            <w:tcW w:w="1307" w:type="dxa"/>
            <w:hideMark/>
          </w:tcPr>
          <w:p w14:paraId="2C6F3CBD" w14:textId="77777777" w:rsidR="001832A0" w:rsidRPr="00717195" w:rsidRDefault="001832A0" w:rsidP="002D3963">
            <w:pPr>
              <w:pStyle w:val="NormalWeb"/>
              <w:jc w:val="center"/>
              <w:rPr>
                <w:sz w:val="18"/>
                <w:szCs w:val="18"/>
              </w:rPr>
            </w:pPr>
            <w:r w:rsidRPr="00717195">
              <w:rPr>
                <w:sz w:val="18"/>
                <w:szCs w:val="18"/>
              </w:rPr>
              <w:t>(48.7)</w:t>
            </w:r>
          </w:p>
        </w:tc>
      </w:tr>
      <w:tr w:rsidR="00427EF4" w:rsidRPr="00717195" w14:paraId="7DF764FF" w14:textId="77777777" w:rsidTr="00C25476">
        <w:tc>
          <w:tcPr>
            <w:tcW w:w="0" w:type="auto"/>
            <w:hideMark/>
          </w:tcPr>
          <w:p w14:paraId="580C088A" w14:textId="77777777" w:rsidR="001832A0" w:rsidRPr="00717195" w:rsidRDefault="001832A0">
            <w:pPr>
              <w:pStyle w:val="NormalWeb"/>
              <w:rPr>
                <w:sz w:val="18"/>
                <w:szCs w:val="18"/>
              </w:rPr>
            </w:pPr>
            <w:r w:rsidRPr="00717195">
              <w:rPr>
                <w:sz w:val="18"/>
                <w:szCs w:val="18"/>
              </w:rPr>
              <w:t>Extensive limb swelling</w:t>
            </w:r>
          </w:p>
        </w:tc>
        <w:tc>
          <w:tcPr>
            <w:tcW w:w="1644" w:type="dxa"/>
            <w:hideMark/>
          </w:tcPr>
          <w:p w14:paraId="60B07644" w14:textId="77777777" w:rsidR="001832A0" w:rsidRPr="00717195" w:rsidRDefault="001832A0" w:rsidP="002D3963">
            <w:pPr>
              <w:pStyle w:val="NormalWeb"/>
              <w:jc w:val="center"/>
              <w:rPr>
                <w:sz w:val="18"/>
                <w:szCs w:val="18"/>
              </w:rPr>
            </w:pPr>
            <w:r w:rsidRPr="00717195">
              <w:rPr>
                <w:sz w:val="18"/>
                <w:szCs w:val="18"/>
              </w:rPr>
              <w:t>74</w:t>
            </w:r>
          </w:p>
        </w:tc>
        <w:tc>
          <w:tcPr>
            <w:tcW w:w="1134" w:type="dxa"/>
            <w:hideMark/>
          </w:tcPr>
          <w:p w14:paraId="6CB5EA43" w14:textId="77777777" w:rsidR="001832A0" w:rsidRPr="00717195" w:rsidRDefault="001832A0" w:rsidP="002D3963">
            <w:pPr>
              <w:pStyle w:val="NormalWeb"/>
              <w:jc w:val="center"/>
              <w:rPr>
                <w:sz w:val="18"/>
                <w:szCs w:val="18"/>
              </w:rPr>
            </w:pPr>
            <w:r w:rsidRPr="00717195">
              <w:rPr>
                <w:sz w:val="18"/>
                <w:szCs w:val="18"/>
              </w:rPr>
              <w:t>52</w:t>
            </w:r>
          </w:p>
        </w:tc>
        <w:tc>
          <w:tcPr>
            <w:tcW w:w="1134" w:type="dxa"/>
            <w:hideMark/>
          </w:tcPr>
          <w:p w14:paraId="19E90B32" w14:textId="77777777" w:rsidR="001832A0" w:rsidRPr="00717195" w:rsidRDefault="001832A0" w:rsidP="002D3963">
            <w:pPr>
              <w:pStyle w:val="NormalWeb"/>
              <w:jc w:val="center"/>
              <w:rPr>
                <w:sz w:val="18"/>
                <w:szCs w:val="18"/>
              </w:rPr>
            </w:pPr>
            <w:r w:rsidRPr="00717195">
              <w:rPr>
                <w:sz w:val="18"/>
                <w:szCs w:val="18"/>
              </w:rPr>
              <w:t>(70.3)</w:t>
            </w:r>
          </w:p>
        </w:tc>
        <w:tc>
          <w:tcPr>
            <w:tcW w:w="1134" w:type="dxa"/>
            <w:hideMark/>
          </w:tcPr>
          <w:p w14:paraId="1C5F4493" w14:textId="77777777" w:rsidR="001832A0" w:rsidRPr="00717195" w:rsidRDefault="001832A0" w:rsidP="002D3963">
            <w:pPr>
              <w:pStyle w:val="NormalWeb"/>
              <w:jc w:val="center"/>
              <w:rPr>
                <w:sz w:val="18"/>
                <w:szCs w:val="18"/>
              </w:rPr>
            </w:pPr>
            <w:r w:rsidRPr="00717195">
              <w:rPr>
                <w:sz w:val="18"/>
                <w:szCs w:val="18"/>
              </w:rPr>
              <w:t>27</w:t>
            </w:r>
          </w:p>
        </w:tc>
        <w:tc>
          <w:tcPr>
            <w:tcW w:w="1225" w:type="dxa"/>
            <w:hideMark/>
          </w:tcPr>
          <w:p w14:paraId="0DD672DA" w14:textId="77777777" w:rsidR="001832A0" w:rsidRPr="00717195" w:rsidRDefault="001832A0" w:rsidP="002D3963">
            <w:pPr>
              <w:pStyle w:val="NormalWeb"/>
              <w:jc w:val="center"/>
              <w:rPr>
                <w:sz w:val="18"/>
                <w:szCs w:val="18"/>
              </w:rPr>
            </w:pPr>
            <w:r w:rsidRPr="00717195">
              <w:rPr>
                <w:sz w:val="18"/>
                <w:szCs w:val="18"/>
              </w:rPr>
              <w:t>(36.5)</w:t>
            </w:r>
          </w:p>
        </w:tc>
        <w:tc>
          <w:tcPr>
            <w:tcW w:w="1326" w:type="dxa"/>
            <w:hideMark/>
          </w:tcPr>
          <w:p w14:paraId="7700D88E" w14:textId="77777777" w:rsidR="001832A0" w:rsidRPr="00717195" w:rsidRDefault="001832A0" w:rsidP="002D3963">
            <w:pPr>
              <w:pStyle w:val="NormalWeb"/>
              <w:jc w:val="center"/>
              <w:rPr>
                <w:sz w:val="18"/>
                <w:szCs w:val="18"/>
              </w:rPr>
            </w:pPr>
            <w:r w:rsidRPr="00717195">
              <w:rPr>
                <w:sz w:val="18"/>
                <w:szCs w:val="18"/>
              </w:rPr>
              <w:t>54</w:t>
            </w:r>
          </w:p>
        </w:tc>
        <w:tc>
          <w:tcPr>
            <w:tcW w:w="1418" w:type="dxa"/>
            <w:hideMark/>
          </w:tcPr>
          <w:p w14:paraId="7680A4BC" w14:textId="77777777" w:rsidR="001832A0" w:rsidRPr="00717195" w:rsidRDefault="001832A0" w:rsidP="002D3963">
            <w:pPr>
              <w:pStyle w:val="NormalWeb"/>
              <w:jc w:val="center"/>
              <w:rPr>
                <w:sz w:val="18"/>
                <w:szCs w:val="18"/>
              </w:rPr>
            </w:pPr>
            <w:r w:rsidRPr="00717195">
              <w:rPr>
                <w:sz w:val="18"/>
                <w:szCs w:val="18"/>
              </w:rPr>
              <w:t>(73.0)</w:t>
            </w:r>
          </w:p>
        </w:tc>
        <w:tc>
          <w:tcPr>
            <w:tcW w:w="1275" w:type="dxa"/>
            <w:hideMark/>
          </w:tcPr>
          <w:p w14:paraId="403CC8E4" w14:textId="77777777" w:rsidR="001832A0" w:rsidRPr="00717195" w:rsidRDefault="001832A0" w:rsidP="002D3963">
            <w:pPr>
              <w:pStyle w:val="NormalWeb"/>
              <w:jc w:val="center"/>
              <w:rPr>
                <w:sz w:val="18"/>
                <w:szCs w:val="18"/>
              </w:rPr>
            </w:pPr>
            <w:r w:rsidRPr="00717195">
              <w:rPr>
                <w:sz w:val="18"/>
                <w:szCs w:val="18"/>
              </w:rPr>
              <w:t>19</w:t>
            </w:r>
          </w:p>
        </w:tc>
        <w:tc>
          <w:tcPr>
            <w:tcW w:w="1307" w:type="dxa"/>
            <w:hideMark/>
          </w:tcPr>
          <w:p w14:paraId="76F3B1C2" w14:textId="77777777" w:rsidR="001832A0" w:rsidRPr="00717195" w:rsidRDefault="001832A0" w:rsidP="002D3963">
            <w:pPr>
              <w:pStyle w:val="NormalWeb"/>
              <w:jc w:val="center"/>
              <w:rPr>
                <w:sz w:val="18"/>
                <w:szCs w:val="18"/>
              </w:rPr>
            </w:pPr>
            <w:r w:rsidRPr="00717195">
              <w:rPr>
                <w:sz w:val="18"/>
                <w:szCs w:val="18"/>
              </w:rPr>
              <w:t>(25.7)</w:t>
            </w:r>
          </w:p>
        </w:tc>
      </w:tr>
      <w:tr w:rsidR="00DF1085" w:rsidRPr="00717195" w14:paraId="1A71C996"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16EA7EDA" w14:textId="77777777" w:rsidR="001832A0" w:rsidRPr="00717195" w:rsidRDefault="001832A0">
            <w:pPr>
              <w:pStyle w:val="NormalWeb"/>
              <w:rPr>
                <w:sz w:val="18"/>
                <w:szCs w:val="18"/>
              </w:rPr>
            </w:pPr>
            <w:r w:rsidRPr="00717195">
              <w:rPr>
                <w:sz w:val="18"/>
                <w:szCs w:val="18"/>
              </w:rPr>
              <w:t>Fatigue</w:t>
            </w:r>
          </w:p>
        </w:tc>
        <w:tc>
          <w:tcPr>
            <w:tcW w:w="1644" w:type="dxa"/>
            <w:hideMark/>
          </w:tcPr>
          <w:p w14:paraId="3D11408B" w14:textId="77777777" w:rsidR="001832A0" w:rsidRPr="00717195" w:rsidRDefault="001832A0" w:rsidP="002D3963">
            <w:pPr>
              <w:pStyle w:val="NormalWeb"/>
              <w:jc w:val="center"/>
              <w:rPr>
                <w:sz w:val="18"/>
                <w:szCs w:val="18"/>
              </w:rPr>
            </w:pPr>
            <w:r w:rsidRPr="00717195">
              <w:rPr>
                <w:sz w:val="18"/>
                <w:szCs w:val="18"/>
              </w:rPr>
              <w:t>74</w:t>
            </w:r>
          </w:p>
        </w:tc>
        <w:tc>
          <w:tcPr>
            <w:tcW w:w="1134" w:type="dxa"/>
            <w:hideMark/>
          </w:tcPr>
          <w:p w14:paraId="59E5FC0C" w14:textId="77777777" w:rsidR="001832A0" w:rsidRPr="00717195" w:rsidRDefault="001832A0" w:rsidP="002D3963">
            <w:pPr>
              <w:pStyle w:val="NormalWeb"/>
              <w:jc w:val="center"/>
              <w:rPr>
                <w:sz w:val="18"/>
                <w:szCs w:val="18"/>
              </w:rPr>
            </w:pPr>
            <w:r w:rsidRPr="00717195">
              <w:rPr>
                <w:sz w:val="18"/>
                <w:szCs w:val="18"/>
              </w:rPr>
              <w:t>0</w:t>
            </w:r>
          </w:p>
        </w:tc>
        <w:tc>
          <w:tcPr>
            <w:tcW w:w="1134" w:type="dxa"/>
            <w:hideMark/>
          </w:tcPr>
          <w:p w14:paraId="6703333F" w14:textId="77777777" w:rsidR="001832A0" w:rsidRPr="00717195" w:rsidRDefault="001832A0" w:rsidP="002D3963">
            <w:pPr>
              <w:pStyle w:val="NormalWeb"/>
              <w:jc w:val="center"/>
              <w:rPr>
                <w:sz w:val="18"/>
                <w:szCs w:val="18"/>
              </w:rPr>
            </w:pPr>
            <w:r w:rsidRPr="00717195">
              <w:rPr>
                <w:sz w:val="18"/>
                <w:szCs w:val="18"/>
              </w:rPr>
              <w:t>(0.0)</w:t>
            </w:r>
          </w:p>
        </w:tc>
        <w:tc>
          <w:tcPr>
            <w:tcW w:w="1134" w:type="dxa"/>
            <w:hideMark/>
          </w:tcPr>
          <w:p w14:paraId="00D1DE65" w14:textId="77777777" w:rsidR="001832A0" w:rsidRPr="00717195" w:rsidRDefault="001832A0" w:rsidP="002D3963">
            <w:pPr>
              <w:pStyle w:val="NormalWeb"/>
              <w:jc w:val="center"/>
              <w:rPr>
                <w:sz w:val="18"/>
                <w:szCs w:val="18"/>
              </w:rPr>
            </w:pPr>
            <w:r w:rsidRPr="00717195">
              <w:rPr>
                <w:sz w:val="18"/>
                <w:szCs w:val="18"/>
              </w:rPr>
              <w:t>10</w:t>
            </w:r>
          </w:p>
        </w:tc>
        <w:tc>
          <w:tcPr>
            <w:tcW w:w="1225" w:type="dxa"/>
            <w:hideMark/>
          </w:tcPr>
          <w:p w14:paraId="0E4D6864" w14:textId="77777777" w:rsidR="001832A0" w:rsidRPr="00717195" w:rsidRDefault="001832A0" w:rsidP="002D3963">
            <w:pPr>
              <w:pStyle w:val="NormalWeb"/>
              <w:jc w:val="center"/>
              <w:rPr>
                <w:sz w:val="18"/>
                <w:szCs w:val="18"/>
              </w:rPr>
            </w:pPr>
            <w:r w:rsidRPr="00717195">
              <w:rPr>
                <w:sz w:val="18"/>
                <w:szCs w:val="18"/>
              </w:rPr>
              <w:t>(13.5)</w:t>
            </w:r>
          </w:p>
        </w:tc>
        <w:tc>
          <w:tcPr>
            <w:tcW w:w="1326" w:type="dxa"/>
            <w:hideMark/>
          </w:tcPr>
          <w:p w14:paraId="4AAA7170" w14:textId="77777777" w:rsidR="001832A0" w:rsidRPr="00717195" w:rsidRDefault="001832A0" w:rsidP="002D3963">
            <w:pPr>
              <w:pStyle w:val="NormalWeb"/>
              <w:jc w:val="center"/>
              <w:rPr>
                <w:sz w:val="18"/>
                <w:szCs w:val="18"/>
              </w:rPr>
            </w:pPr>
            <w:r w:rsidRPr="00717195">
              <w:rPr>
                <w:sz w:val="18"/>
                <w:szCs w:val="18"/>
              </w:rPr>
              <w:t>10</w:t>
            </w:r>
          </w:p>
        </w:tc>
        <w:tc>
          <w:tcPr>
            <w:tcW w:w="1418" w:type="dxa"/>
            <w:hideMark/>
          </w:tcPr>
          <w:p w14:paraId="07CEA201" w14:textId="77777777" w:rsidR="001832A0" w:rsidRPr="00717195" w:rsidRDefault="001832A0" w:rsidP="002D3963">
            <w:pPr>
              <w:pStyle w:val="NormalWeb"/>
              <w:jc w:val="center"/>
              <w:rPr>
                <w:sz w:val="18"/>
                <w:szCs w:val="18"/>
              </w:rPr>
            </w:pPr>
            <w:r w:rsidRPr="00717195">
              <w:rPr>
                <w:sz w:val="18"/>
                <w:szCs w:val="18"/>
              </w:rPr>
              <w:t>(13.5)</w:t>
            </w:r>
          </w:p>
        </w:tc>
        <w:tc>
          <w:tcPr>
            <w:tcW w:w="1275" w:type="dxa"/>
            <w:hideMark/>
          </w:tcPr>
          <w:p w14:paraId="1D29C719" w14:textId="77777777" w:rsidR="001832A0" w:rsidRPr="00717195" w:rsidRDefault="001832A0" w:rsidP="002D3963">
            <w:pPr>
              <w:pStyle w:val="NormalWeb"/>
              <w:jc w:val="center"/>
              <w:rPr>
                <w:sz w:val="18"/>
                <w:szCs w:val="18"/>
              </w:rPr>
            </w:pPr>
            <w:r w:rsidRPr="00717195">
              <w:rPr>
                <w:sz w:val="18"/>
                <w:szCs w:val="18"/>
              </w:rPr>
              <w:t>62</w:t>
            </w:r>
          </w:p>
        </w:tc>
        <w:tc>
          <w:tcPr>
            <w:tcW w:w="1307" w:type="dxa"/>
            <w:hideMark/>
          </w:tcPr>
          <w:p w14:paraId="66C7CF8A" w14:textId="77777777" w:rsidR="001832A0" w:rsidRPr="00717195" w:rsidRDefault="001832A0" w:rsidP="002D3963">
            <w:pPr>
              <w:pStyle w:val="NormalWeb"/>
              <w:jc w:val="center"/>
              <w:rPr>
                <w:sz w:val="18"/>
                <w:szCs w:val="18"/>
              </w:rPr>
            </w:pPr>
            <w:r w:rsidRPr="00717195">
              <w:rPr>
                <w:sz w:val="18"/>
                <w:szCs w:val="18"/>
              </w:rPr>
              <w:t>(83.8)</w:t>
            </w:r>
          </w:p>
        </w:tc>
      </w:tr>
      <w:tr w:rsidR="00427EF4" w:rsidRPr="00717195" w14:paraId="6127E26F" w14:textId="77777777" w:rsidTr="00C25476">
        <w:tc>
          <w:tcPr>
            <w:tcW w:w="0" w:type="auto"/>
            <w:hideMark/>
          </w:tcPr>
          <w:p w14:paraId="1A4F3AEA" w14:textId="77777777" w:rsidR="001832A0" w:rsidRPr="00717195" w:rsidRDefault="001832A0">
            <w:pPr>
              <w:pStyle w:val="NormalWeb"/>
              <w:rPr>
                <w:sz w:val="18"/>
                <w:szCs w:val="18"/>
              </w:rPr>
            </w:pPr>
            <w:r w:rsidRPr="00717195">
              <w:rPr>
                <w:sz w:val="18"/>
                <w:szCs w:val="18"/>
              </w:rPr>
              <w:t>Convulsions</w:t>
            </w:r>
            <w:r w:rsidRPr="008E3CB1">
              <w:rPr>
                <w:sz w:val="18"/>
                <w:szCs w:val="18"/>
                <w:vertAlign w:val="superscript"/>
              </w:rPr>
              <w:t>i</w:t>
            </w:r>
          </w:p>
        </w:tc>
        <w:tc>
          <w:tcPr>
            <w:tcW w:w="1644" w:type="dxa"/>
            <w:hideMark/>
          </w:tcPr>
          <w:p w14:paraId="6C93D80E" w14:textId="77777777" w:rsidR="001832A0" w:rsidRPr="00717195" w:rsidRDefault="001832A0" w:rsidP="002D3963">
            <w:pPr>
              <w:pStyle w:val="NormalWeb"/>
              <w:jc w:val="center"/>
              <w:rPr>
                <w:sz w:val="18"/>
                <w:szCs w:val="18"/>
              </w:rPr>
            </w:pPr>
            <w:r w:rsidRPr="00717195">
              <w:rPr>
                <w:sz w:val="18"/>
                <w:szCs w:val="18"/>
              </w:rPr>
              <w:t>74</w:t>
            </w:r>
          </w:p>
        </w:tc>
        <w:tc>
          <w:tcPr>
            <w:tcW w:w="1134" w:type="dxa"/>
            <w:hideMark/>
          </w:tcPr>
          <w:p w14:paraId="7ED48200" w14:textId="77777777" w:rsidR="001832A0" w:rsidRPr="00717195" w:rsidRDefault="001832A0" w:rsidP="002D3963">
            <w:pPr>
              <w:pStyle w:val="NormalWeb"/>
              <w:jc w:val="center"/>
              <w:rPr>
                <w:sz w:val="18"/>
                <w:szCs w:val="18"/>
              </w:rPr>
            </w:pPr>
            <w:r w:rsidRPr="00717195">
              <w:rPr>
                <w:sz w:val="18"/>
                <w:szCs w:val="18"/>
              </w:rPr>
              <w:t>42</w:t>
            </w:r>
          </w:p>
        </w:tc>
        <w:tc>
          <w:tcPr>
            <w:tcW w:w="1134" w:type="dxa"/>
            <w:hideMark/>
          </w:tcPr>
          <w:p w14:paraId="398C3003" w14:textId="77777777" w:rsidR="001832A0" w:rsidRPr="00717195" w:rsidRDefault="001832A0" w:rsidP="002D3963">
            <w:pPr>
              <w:pStyle w:val="NormalWeb"/>
              <w:jc w:val="center"/>
              <w:rPr>
                <w:sz w:val="18"/>
                <w:szCs w:val="18"/>
              </w:rPr>
            </w:pPr>
            <w:r w:rsidRPr="00717195">
              <w:rPr>
                <w:sz w:val="18"/>
                <w:szCs w:val="18"/>
              </w:rPr>
              <w:t>(56.8)</w:t>
            </w:r>
          </w:p>
        </w:tc>
        <w:tc>
          <w:tcPr>
            <w:tcW w:w="1134" w:type="dxa"/>
            <w:hideMark/>
          </w:tcPr>
          <w:p w14:paraId="521AC03A" w14:textId="77777777" w:rsidR="001832A0" w:rsidRPr="00717195" w:rsidRDefault="001832A0" w:rsidP="002D3963">
            <w:pPr>
              <w:pStyle w:val="NormalWeb"/>
              <w:jc w:val="center"/>
              <w:rPr>
                <w:sz w:val="18"/>
                <w:szCs w:val="18"/>
              </w:rPr>
            </w:pPr>
            <w:r w:rsidRPr="00717195">
              <w:rPr>
                <w:sz w:val="18"/>
                <w:szCs w:val="18"/>
              </w:rPr>
              <w:t>38</w:t>
            </w:r>
          </w:p>
        </w:tc>
        <w:tc>
          <w:tcPr>
            <w:tcW w:w="1225" w:type="dxa"/>
            <w:hideMark/>
          </w:tcPr>
          <w:p w14:paraId="674D4271" w14:textId="77777777" w:rsidR="001832A0" w:rsidRPr="00717195" w:rsidRDefault="001832A0" w:rsidP="002D3963">
            <w:pPr>
              <w:pStyle w:val="NormalWeb"/>
              <w:jc w:val="center"/>
              <w:rPr>
                <w:sz w:val="18"/>
                <w:szCs w:val="18"/>
              </w:rPr>
            </w:pPr>
            <w:r w:rsidRPr="00717195">
              <w:rPr>
                <w:sz w:val="18"/>
                <w:szCs w:val="18"/>
              </w:rPr>
              <w:t>(51.4)</w:t>
            </w:r>
          </w:p>
        </w:tc>
        <w:tc>
          <w:tcPr>
            <w:tcW w:w="1326" w:type="dxa"/>
            <w:hideMark/>
          </w:tcPr>
          <w:p w14:paraId="19FACCEF" w14:textId="77777777" w:rsidR="001832A0" w:rsidRPr="00717195" w:rsidRDefault="001832A0" w:rsidP="002D3963">
            <w:pPr>
              <w:pStyle w:val="NormalWeb"/>
              <w:jc w:val="center"/>
              <w:rPr>
                <w:sz w:val="18"/>
                <w:szCs w:val="18"/>
              </w:rPr>
            </w:pPr>
            <w:r w:rsidRPr="00717195">
              <w:rPr>
                <w:sz w:val="18"/>
                <w:szCs w:val="18"/>
              </w:rPr>
              <w:t>58</w:t>
            </w:r>
          </w:p>
        </w:tc>
        <w:tc>
          <w:tcPr>
            <w:tcW w:w="1418" w:type="dxa"/>
            <w:hideMark/>
          </w:tcPr>
          <w:p w14:paraId="4594A52C" w14:textId="77777777" w:rsidR="001832A0" w:rsidRPr="00717195" w:rsidRDefault="001832A0" w:rsidP="002D3963">
            <w:pPr>
              <w:pStyle w:val="NormalWeb"/>
              <w:jc w:val="center"/>
              <w:rPr>
                <w:sz w:val="18"/>
                <w:szCs w:val="18"/>
              </w:rPr>
            </w:pPr>
            <w:r w:rsidRPr="00717195">
              <w:rPr>
                <w:sz w:val="18"/>
                <w:szCs w:val="18"/>
              </w:rPr>
              <w:t>(78.4)</w:t>
            </w:r>
          </w:p>
        </w:tc>
        <w:tc>
          <w:tcPr>
            <w:tcW w:w="1275" w:type="dxa"/>
            <w:hideMark/>
          </w:tcPr>
          <w:p w14:paraId="7291533C" w14:textId="77777777" w:rsidR="001832A0" w:rsidRPr="00717195" w:rsidRDefault="001832A0" w:rsidP="002D3963">
            <w:pPr>
              <w:pStyle w:val="NormalWeb"/>
              <w:jc w:val="center"/>
              <w:rPr>
                <w:sz w:val="18"/>
                <w:szCs w:val="18"/>
              </w:rPr>
            </w:pPr>
            <w:r w:rsidRPr="00717195">
              <w:rPr>
                <w:sz w:val="18"/>
                <w:szCs w:val="18"/>
              </w:rPr>
              <w:t>14</w:t>
            </w:r>
          </w:p>
        </w:tc>
        <w:tc>
          <w:tcPr>
            <w:tcW w:w="1307" w:type="dxa"/>
            <w:hideMark/>
          </w:tcPr>
          <w:p w14:paraId="4C332539" w14:textId="77777777" w:rsidR="001832A0" w:rsidRPr="00717195" w:rsidRDefault="001832A0" w:rsidP="002D3963">
            <w:pPr>
              <w:pStyle w:val="NormalWeb"/>
              <w:jc w:val="center"/>
              <w:rPr>
                <w:sz w:val="18"/>
                <w:szCs w:val="18"/>
              </w:rPr>
            </w:pPr>
            <w:r w:rsidRPr="00717195">
              <w:rPr>
                <w:sz w:val="18"/>
                <w:szCs w:val="18"/>
              </w:rPr>
              <w:t>(18.9)</w:t>
            </w:r>
          </w:p>
        </w:tc>
      </w:tr>
      <w:tr w:rsidR="00DF1085" w:rsidRPr="00717195" w14:paraId="29F2F728"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52269749" w14:textId="77777777" w:rsidR="001832A0" w:rsidRPr="00717195" w:rsidRDefault="001832A0">
            <w:pPr>
              <w:pStyle w:val="NormalWeb"/>
              <w:rPr>
                <w:sz w:val="18"/>
                <w:szCs w:val="18"/>
              </w:rPr>
            </w:pPr>
            <w:r w:rsidRPr="00717195">
              <w:rPr>
                <w:sz w:val="18"/>
                <w:szCs w:val="18"/>
              </w:rPr>
              <w:t>Abdominal pain</w:t>
            </w:r>
          </w:p>
        </w:tc>
        <w:tc>
          <w:tcPr>
            <w:tcW w:w="1644" w:type="dxa"/>
            <w:hideMark/>
          </w:tcPr>
          <w:p w14:paraId="2D86B8FE" w14:textId="77777777" w:rsidR="001832A0" w:rsidRPr="00717195" w:rsidRDefault="001832A0" w:rsidP="002D3963">
            <w:pPr>
              <w:pStyle w:val="NormalWeb"/>
              <w:jc w:val="center"/>
              <w:rPr>
                <w:sz w:val="18"/>
                <w:szCs w:val="18"/>
              </w:rPr>
            </w:pPr>
            <w:r w:rsidRPr="00717195">
              <w:rPr>
                <w:sz w:val="18"/>
                <w:szCs w:val="18"/>
              </w:rPr>
              <w:t>71</w:t>
            </w:r>
          </w:p>
        </w:tc>
        <w:tc>
          <w:tcPr>
            <w:tcW w:w="1134" w:type="dxa"/>
            <w:hideMark/>
          </w:tcPr>
          <w:p w14:paraId="2473AA36" w14:textId="77777777" w:rsidR="001832A0" w:rsidRPr="00717195" w:rsidRDefault="001832A0" w:rsidP="002D3963">
            <w:pPr>
              <w:pStyle w:val="NormalWeb"/>
              <w:jc w:val="center"/>
              <w:rPr>
                <w:sz w:val="18"/>
                <w:szCs w:val="18"/>
              </w:rPr>
            </w:pPr>
            <w:r w:rsidRPr="00717195">
              <w:rPr>
                <w:sz w:val="18"/>
                <w:szCs w:val="18"/>
              </w:rPr>
              <w:t>1</w:t>
            </w:r>
          </w:p>
        </w:tc>
        <w:tc>
          <w:tcPr>
            <w:tcW w:w="1134" w:type="dxa"/>
            <w:hideMark/>
          </w:tcPr>
          <w:p w14:paraId="0455AD77" w14:textId="77777777" w:rsidR="001832A0" w:rsidRPr="00717195" w:rsidRDefault="001832A0" w:rsidP="002D3963">
            <w:pPr>
              <w:pStyle w:val="NormalWeb"/>
              <w:jc w:val="center"/>
              <w:rPr>
                <w:sz w:val="18"/>
                <w:szCs w:val="18"/>
              </w:rPr>
            </w:pPr>
            <w:r w:rsidRPr="00717195">
              <w:rPr>
                <w:sz w:val="18"/>
                <w:szCs w:val="18"/>
              </w:rPr>
              <w:t>(1.4)</w:t>
            </w:r>
          </w:p>
        </w:tc>
        <w:tc>
          <w:tcPr>
            <w:tcW w:w="1134" w:type="dxa"/>
            <w:hideMark/>
          </w:tcPr>
          <w:p w14:paraId="65EC6B85" w14:textId="77777777" w:rsidR="001832A0" w:rsidRPr="00717195" w:rsidRDefault="001832A0" w:rsidP="002D3963">
            <w:pPr>
              <w:pStyle w:val="NormalWeb"/>
              <w:jc w:val="center"/>
              <w:rPr>
                <w:sz w:val="18"/>
                <w:szCs w:val="18"/>
              </w:rPr>
            </w:pPr>
            <w:r w:rsidRPr="00717195">
              <w:rPr>
                <w:sz w:val="18"/>
                <w:szCs w:val="18"/>
              </w:rPr>
              <w:t>13</w:t>
            </w:r>
          </w:p>
        </w:tc>
        <w:tc>
          <w:tcPr>
            <w:tcW w:w="1225" w:type="dxa"/>
            <w:hideMark/>
          </w:tcPr>
          <w:p w14:paraId="39E5BD7C" w14:textId="77777777" w:rsidR="001832A0" w:rsidRPr="00717195" w:rsidRDefault="001832A0" w:rsidP="002D3963">
            <w:pPr>
              <w:pStyle w:val="NormalWeb"/>
              <w:jc w:val="center"/>
              <w:rPr>
                <w:sz w:val="18"/>
                <w:szCs w:val="18"/>
              </w:rPr>
            </w:pPr>
            <w:r w:rsidRPr="00717195">
              <w:rPr>
                <w:sz w:val="18"/>
                <w:szCs w:val="18"/>
              </w:rPr>
              <w:t>(18.3)</w:t>
            </w:r>
          </w:p>
        </w:tc>
        <w:tc>
          <w:tcPr>
            <w:tcW w:w="1326" w:type="dxa"/>
            <w:hideMark/>
          </w:tcPr>
          <w:p w14:paraId="3DA314AA" w14:textId="77777777" w:rsidR="001832A0" w:rsidRPr="00717195" w:rsidRDefault="001832A0" w:rsidP="002D3963">
            <w:pPr>
              <w:pStyle w:val="NormalWeb"/>
              <w:jc w:val="center"/>
              <w:rPr>
                <w:sz w:val="18"/>
                <w:szCs w:val="18"/>
              </w:rPr>
            </w:pPr>
            <w:r w:rsidRPr="00717195">
              <w:rPr>
                <w:sz w:val="18"/>
                <w:szCs w:val="18"/>
              </w:rPr>
              <w:t>26</w:t>
            </w:r>
          </w:p>
        </w:tc>
        <w:tc>
          <w:tcPr>
            <w:tcW w:w="1418" w:type="dxa"/>
            <w:hideMark/>
          </w:tcPr>
          <w:p w14:paraId="345C96B3" w14:textId="77777777" w:rsidR="001832A0" w:rsidRPr="00717195" w:rsidRDefault="001832A0" w:rsidP="002D3963">
            <w:pPr>
              <w:pStyle w:val="NormalWeb"/>
              <w:jc w:val="center"/>
              <w:rPr>
                <w:sz w:val="18"/>
                <w:szCs w:val="18"/>
              </w:rPr>
            </w:pPr>
            <w:r w:rsidRPr="00717195">
              <w:rPr>
                <w:sz w:val="18"/>
                <w:szCs w:val="18"/>
              </w:rPr>
              <w:t>(36.6)</w:t>
            </w:r>
          </w:p>
        </w:tc>
        <w:tc>
          <w:tcPr>
            <w:tcW w:w="1275" w:type="dxa"/>
            <w:hideMark/>
          </w:tcPr>
          <w:p w14:paraId="5F0E1BCE" w14:textId="77777777" w:rsidR="001832A0" w:rsidRPr="00717195" w:rsidRDefault="001832A0" w:rsidP="002D3963">
            <w:pPr>
              <w:pStyle w:val="NormalWeb"/>
              <w:jc w:val="center"/>
              <w:rPr>
                <w:sz w:val="18"/>
                <w:szCs w:val="18"/>
              </w:rPr>
            </w:pPr>
            <w:r w:rsidRPr="00717195">
              <w:rPr>
                <w:sz w:val="18"/>
                <w:szCs w:val="18"/>
              </w:rPr>
              <w:t>43</w:t>
            </w:r>
          </w:p>
        </w:tc>
        <w:tc>
          <w:tcPr>
            <w:tcW w:w="1307" w:type="dxa"/>
            <w:hideMark/>
          </w:tcPr>
          <w:p w14:paraId="3B4D9251" w14:textId="77777777" w:rsidR="001832A0" w:rsidRPr="00717195" w:rsidRDefault="001832A0" w:rsidP="002D3963">
            <w:pPr>
              <w:pStyle w:val="NormalWeb"/>
              <w:jc w:val="center"/>
              <w:rPr>
                <w:sz w:val="18"/>
                <w:szCs w:val="18"/>
              </w:rPr>
            </w:pPr>
            <w:r w:rsidRPr="00717195">
              <w:rPr>
                <w:sz w:val="18"/>
                <w:szCs w:val="18"/>
              </w:rPr>
              <w:t>(60.6)</w:t>
            </w:r>
          </w:p>
        </w:tc>
      </w:tr>
      <w:tr w:rsidR="00427EF4" w:rsidRPr="00717195" w14:paraId="4AFAEC35" w14:textId="77777777" w:rsidTr="00C25476">
        <w:tc>
          <w:tcPr>
            <w:tcW w:w="0" w:type="auto"/>
            <w:hideMark/>
          </w:tcPr>
          <w:p w14:paraId="6900892E" w14:textId="77777777" w:rsidR="001832A0" w:rsidRPr="00717195" w:rsidRDefault="001832A0">
            <w:pPr>
              <w:pStyle w:val="NormalWeb"/>
              <w:rPr>
                <w:sz w:val="18"/>
                <w:szCs w:val="18"/>
              </w:rPr>
            </w:pPr>
            <w:r w:rsidRPr="00717195">
              <w:rPr>
                <w:sz w:val="18"/>
                <w:szCs w:val="18"/>
              </w:rPr>
              <w:t>Decreased appetite</w:t>
            </w:r>
          </w:p>
        </w:tc>
        <w:tc>
          <w:tcPr>
            <w:tcW w:w="1644" w:type="dxa"/>
            <w:hideMark/>
          </w:tcPr>
          <w:p w14:paraId="549B86C5" w14:textId="77777777" w:rsidR="001832A0" w:rsidRPr="00717195" w:rsidRDefault="001832A0" w:rsidP="002D3963">
            <w:pPr>
              <w:pStyle w:val="NormalWeb"/>
              <w:jc w:val="center"/>
              <w:rPr>
                <w:sz w:val="18"/>
                <w:szCs w:val="18"/>
              </w:rPr>
            </w:pPr>
            <w:r w:rsidRPr="00717195">
              <w:rPr>
                <w:sz w:val="18"/>
                <w:szCs w:val="18"/>
              </w:rPr>
              <w:t>70</w:t>
            </w:r>
          </w:p>
        </w:tc>
        <w:tc>
          <w:tcPr>
            <w:tcW w:w="1134" w:type="dxa"/>
            <w:hideMark/>
          </w:tcPr>
          <w:p w14:paraId="6D8E2455" w14:textId="77777777" w:rsidR="001832A0" w:rsidRPr="00717195" w:rsidRDefault="001832A0" w:rsidP="002D3963">
            <w:pPr>
              <w:pStyle w:val="NormalWeb"/>
              <w:jc w:val="center"/>
              <w:rPr>
                <w:sz w:val="18"/>
                <w:szCs w:val="18"/>
              </w:rPr>
            </w:pPr>
            <w:r w:rsidRPr="00717195">
              <w:rPr>
                <w:sz w:val="18"/>
                <w:szCs w:val="18"/>
              </w:rPr>
              <w:t>0</w:t>
            </w:r>
          </w:p>
        </w:tc>
        <w:tc>
          <w:tcPr>
            <w:tcW w:w="1134" w:type="dxa"/>
            <w:hideMark/>
          </w:tcPr>
          <w:p w14:paraId="0114B8E2" w14:textId="77777777" w:rsidR="001832A0" w:rsidRPr="00717195" w:rsidRDefault="001832A0" w:rsidP="002D3963">
            <w:pPr>
              <w:pStyle w:val="NormalWeb"/>
              <w:jc w:val="center"/>
              <w:rPr>
                <w:sz w:val="18"/>
                <w:szCs w:val="18"/>
              </w:rPr>
            </w:pPr>
            <w:r w:rsidRPr="00717195">
              <w:rPr>
                <w:sz w:val="18"/>
                <w:szCs w:val="18"/>
              </w:rPr>
              <w:t>(0.0)</w:t>
            </w:r>
          </w:p>
        </w:tc>
        <w:tc>
          <w:tcPr>
            <w:tcW w:w="1134" w:type="dxa"/>
            <w:hideMark/>
          </w:tcPr>
          <w:p w14:paraId="13056E13" w14:textId="77777777" w:rsidR="001832A0" w:rsidRPr="00717195" w:rsidRDefault="001832A0" w:rsidP="002D3963">
            <w:pPr>
              <w:pStyle w:val="NormalWeb"/>
              <w:jc w:val="center"/>
              <w:rPr>
                <w:sz w:val="18"/>
                <w:szCs w:val="18"/>
              </w:rPr>
            </w:pPr>
            <w:r w:rsidRPr="00717195">
              <w:rPr>
                <w:sz w:val="18"/>
                <w:szCs w:val="18"/>
              </w:rPr>
              <w:t>12</w:t>
            </w:r>
          </w:p>
        </w:tc>
        <w:tc>
          <w:tcPr>
            <w:tcW w:w="1225" w:type="dxa"/>
            <w:hideMark/>
          </w:tcPr>
          <w:p w14:paraId="525C9CAE" w14:textId="77777777" w:rsidR="001832A0" w:rsidRPr="00717195" w:rsidRDefault="001832A0" w:rsidP="002D3963">
            <w:pPr>
              <w:pStyle w:val="NormalWeb"/>
              <w:jc w:val="center"/>
              <w:rPr>
                <w:sz w:val="18"/>
                <w:szCs w:val="18"/>
              </w:rPr>
            </w:pPr>
            <w:r w:rsidRPr="00717195">
              <w:rPr>
                <w:sz w:val="18"/>
                <w:szCs w:val="18"/>
              </w:rPr>
              <w:t>(17.1)</w:t>
            </w:r>
          </w:p>
        </w:tc>
        <w:tc>
          <w:tcPr>
            <w:tcW w:w="1326" w:type="dxa"/>
            <w:hideMark/>
          </w:tcPr>
          <w:p w14:paraId="45F39305" w14:textId="77777777" w:rsidR="001832A0" w:rsidRPr="00717195" w:rsidRDefault="001832A0" w:rsidP="002D3963">
            <w:pPr>
              <w:pStyle w:val="NormalWeb"/>
              <w:jc w:val="center"/>
              <w:rPr>
                <w:sz w:val="18"/>
                <w:szCs w:val="18"/>
              </w:rPr>
            </w:pPr>
            <w:r w:rsidRPr="00717195">
              <w:rPr>
                <w:sz w:val="18"/>
                <w:szCs w:val="18"/>
              </w:rPr>
              <w:t>53</w:t>
            </w:r>
          </w:p>
        </w:tc>
        <w:tc>
          <w:tcPr>
            <w:tcW w:w="1418" w:type="dxa"/>
            <w:hideMark/>
          </w:tcPr>
          <w:p w14:paraId="2C5BF3D8" w14:textId="77777777" w:rsidR="001832A0" w:rsidRPr="00717195" w:rsidRDefault="001832A0" w:rsidP="002D3963">
            <w:pPr>
              <w:pStyle w:val="NormalWeb"/>
              <w:jc w:val="center"/>
              <w:rPr>
                <w:sz w:val="18"/>
                <w:szCs w:val="18"/>
              </w:rPr>
            </w:pPr>
            <w:r w:rsidRPr="00717195">
              <w:rPr>
                <w:sz w:val="18"/>
                <w:szCs w:val="18"/>
              </w:rPr>
              <w:t>(75.7)</w:t>
            </w:r>
          </w:p>
        </w:tc>
        <w:tc>
          <w:tcPr>
            <w:tcW w:w="1275" w:type="dxa"/>
            <w:hideMark/>
          </w:tcPr>
          <w:p w14:paraId="5EA674D1" w14:textId="77777777" w:rsidR="001832A0" w:rsidRPr="00717195" w:rsidRDefault="001832A0" w:rsidP="002D3963">
            <w:pPr>
              <w:pStyle w:val="NormalWeb"/>
              <w:jc w:val="center"/>
              <w:rPr>
                <w:sz w:val="18"/>
                <w:szCs w:val="18"/>
              </w:rPr>
            </w:pPr>
            <w:r w:rsidRPr="00717195">
              <w:rPr>
                <w:sz w:val="18"/>
                <w:szCs w:val="18"/>
              </w:rPr>
              <w:t>16</w:t>
            </w:r>
          </w:p>
        </w:tc>
        <w:tc>
          <w:tcPr>
            <w:tcW w:w="1307" w:type="dxa"/>
            <w:hideMark/>
          </w:tcPr>
          <w:p w14:paraId="32DC5D7A" w14:textId="77777777" w:rsidR="001832A0" w:rsidRPr="00717195" w:rsidRDefault="001832A0" w:rsidP="002D3963">
            <w:pPr>
              <w:pStyle w:val="NormalWeb"/>
              <w:jc w:val="center"/>
              <w:rPr>
                <w:sz w:val="18"/>
                <w:szCs w:val="18"/>
              </w:rPr>
            </w:pPr>
            <w:r w:rsidRPr="00717195">
              <w:rPr>
                <w:sz w:val="18"/>
                <w:szCs w:val="18"/>
              </w:rPr>
              <w:t>(22.9)</w:t>
            </w:r>
          </w:p>
        </w:tc>
      </w:tr>
      <w:tr w:rsidR="00DF1085" w:rsidRPr="00717195" w14:paraId="39B8DE20"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174493C2" w14:textId="77777777" w:rsidR="001832A0" w:rsidRPr="00717195" w:rsidRDefault="001832A0">
            <w:pPr>
              <w:pStyle w:val="NormalWeb"/>
              <w:rPr>
                <w:sz w:val="18"/>
                <w:szCs w:val="18"/>
              </w:rPr>
            </w:pPr>
            <w:r w:rsidRPr="00717195">
              <w:rPr>
                <w:sz w:val="18"/>
                <w:szCs w:val="18"/>
              </w:rPr>
              <w:lastRenderedPageBreak/>
              <w:t>Chills</w:t>
            </w:r>
          </w:p>
        </w:tc>
        <w:tc>
          <w:tcPr>
            <w:tcW w:w="1644" w:type="dxa"/>
            <w:hideMark/>
          </w:tcPr>
          <w:p w14:paraId="3CE53F89" w14:textId="77777777" w:rsidR="001832A0" w:rsidRPr="00717195" w:rsidRDefault="001832A0" w:rsidP="002D3963">
            <w:pPr>
              <w:pStyle w:val="NormalWeb"/>
              <w:jc w:val="center"/>
              <w:rPr>
                <w:sz w:val="18"/>
                <w:szCs w:val="18"/>
              </w:rPr>
            </w:pPr>
            <w:r w:rsidRPr="00717195">
              <w:rPr>
                <w:sz w:val="18"/>
                <w:szCs w:val="18"/>
              </w:rPr>
              <w:t>68</w:t>
            </w:r>
          </w:p>
        </w:tc>
        <w:tc>
          <w:tcPr>
            <w:tcW w:w="1134" w:type="dxa"/>
            <w:hideMark/>
          </w:tcPr>
          <w:p w14:paraId="41C33E3D" w14:textId="77777777" w:rsidR="001832A0" w:rsidRPr="00717195" w:rsidRDefault="001832A0" w:rsidP="002D3963">
            <w:pPr>
              <w:pStyle w:val="NormalWeb"/>
              <w:jc w:val="center"/>
              <w:rPr>
                <w:sz w:val="18"/>
                <w:szCs w:val="18"/>
              </w:rPr>
            </w:pPr>
            <w:r w:rsidRPr="00717195">
              <w:rPr>
                <w:sz w:val="18"/>
                <w:szCs w:val="18"/>
              </w:rPr>
              <w:t>2</w:t>
            </w:r>
          </w:p>
        </w:tc>
        <w:tc>
          <w:tcPr>
            <w:tcW w:w="1134" w:type="dxa"/>
            <w:hideMark/>
          </w:tcPr>
          <w:p w14:paraId="7A379155" w14:textId="77777777" w:rsidR="001832A0" w:rsidRPr="00717195" w:rsidRDefault="001832A0" w:rsidP="002D3963">
            <w:pPr>
              <w:pStyle w:val="NormalWeb"/>
              <w:jc w:val="center"/>
              <w:rPr>
                <w:sz w:val="18"/>
                <w:szCs w:val="18"/>
              </w:rPr>
            </w:pPr>
            <w:r w:rsidRPr="00717195">
              <w:rPr>
                <w:sz w:val="18"/>
                <w:szCs w:val="18"/>
              </w:rPr>
              <w:t>(2.9)</w:t>
            </w:r>
          </w:p>
        </w:tc>
        <w:tc>
          <w:tcPr>
            <w:tcW w:w="1134" w:type="dxa"/>
            <w:hideMark/>
          </w:tcPr>
          <w:p w14:paraId="40CF6EA7" w14:textId="77777777" w:rsidR="001832A0" w:rsidRPr="00717195" w:rsidRDefault="001832A0" w:rsidP="002D3963">
            <w:pPr>
              <w:pStyle w:val="NormalWeb"/>
              <w:jc w:val="center"/>
              <w:rPr>
                <w:sz w:val="18"/>
                <w:szCs w:val="18"/>
              </w:rPr>
            </w:pPr>
            <w:r w:rsidRPr="00717195">
              <w:rPr>
                <w:sz w:val="18"/>
                <w:szCs w:val="18"/>
              </w:rPr>
              <w:t>14</w:t>
            </w:r>
          </w:p>
        </w:tc>
        <w:tc>
          <w:tcPr>
            <w:tcW w:w="1225" w:type="dxa"/>
            <w:hideMark/>
          </w:tcPr>
          <w:p w14:paraId="70D4D169" w14:textId="77777777" w:rsidR="001832A0" w:rsidRPr="00717195" w:rsidRDefault="001832A0" w:rsidP="002D3963">
            <w:pPr>
              <w:pStyle w:val="NormalWeb"/>
              <w:jc w:val="center"/>
              <w:rPr>
                <w:sz w:val="18"/>
                <w:szCs w:val="18"/>
              </w:rPr>
            </w:pPr>
            <w:r w:rsidRPr="00717195">
              <w:rPr>
                <w:sz w:val="18"/>
                <w:szCs w:val="18"/>
              </w:rPr>
              <w:t>(20.6)</w:t>
            </w:r>
          </w:p>
        </w:tc>
        <w:tc>
          <w:tcPr>
            <w:tcW w:w="1326" w:type="dxa"/>
            <w:hideMark/>
          </w:tcPr>
          <w:p w14:paraId="2F7293B2" w14:textId="77777777" w:rsidR="001832A0" w:rsidRPr="00717195" w:rsidRDefault="001832A0" w:rsidP="002D3963">
            <w:pPr>
              <w:pStyle w:val="NormalWeb"/>
              <w:jc w:val="center"/>
              <w:rPr>
                <w:sz w:val="18"/>
                <w:szCs w:val="18"/>
              </w:rPr>
            </w:pPr>
            <w:r w:rsidRPr="00717195">
              <w:rPr>
                <w:sz w:val="18"/>
                <w:szCs w:val="18"/>
              </w:rPr>
              <w:t>8</w:t>
            </w:r>
          </w:p>
        </w:tc>
        <w:tc>
          <w:tcPr>
            <w:tcW w:w="1418" w:type="dxa"/>
            <w:hideMark/>
          </w:tcPr>
          <w:p w14:paraId="5998D287" w14:textId="77777777" w:rsidR="001832A0" w:rsidRPr="00717195" w:rsidRDefault="001832A0" w:rsidP="002D3963">
            <w:pPr>
              <w:pStyle w:val="NormalWeb"/>
              <w:jc w:val="center"/>
              <w:rPr>
                <w:sz w:val="18"/>
                <w:szCs w:val="18"/>
              </w:rPr>
            </w:pPr>
            <w:r w:rsidRPr="00717195">
              <w:rPr>
                <w:sz w:val="18"/>
                <w:szCs w:val="18"/>
              </w:rPr>
              <w:t>(11.8)</w:t>
            </w:r>
          </w:p>
        </w:tc>
        <w:tc>
          <w:tcPr>
            <w:tcW w:w="1275" w:type="dxa"/>
            <w:hideMark/>
          </w:tcPr>
          <w:p w14:paraId="56D16E17" w14:textId="77777777" w:rsidR="001832A0" w:rsidRPr="00717195" w:rsidRDefault="001832A0" w:rsidP="002D3963">
            <w:pPr>
              <w:pStyle w:val="NormalWeb"/>
              <w:jc w:val="center"/>
              <w:rPr>
                <w:sz w:val="18"/>
                <w:szCs w:val="18"/>
              </w:rPr>
            </w:pPr>
            <w:r w:rsidRPr="00717195">
              <w:rPr>
                <w:sz w:val="18"/>
                <w:szCs w:val="18"/>
              </w:rPr>
              <w:t>58</w:t>
            </w:r>
          </w:p>
        </w:tc>
        <w:tc>
          <w:tcPr>
            <w:tcW w:w="1307" w:type="dxa"/>
            <w:hideMark/>
          </w:tcPr>
          <w:p w14:paraId="3B795B85" w14:textId="77777777" w:rsidR="001832A0" w:rsidRPr="00717195" w:rsidRDefault="001832A0" w:rsidP="002D3963">
            <w:pPr>
              <w:pStyle w:val="NormalWeb"/>
              <w:jc w:val="center"/>
              <w:rPr>
                <w:sz w:val="18"/>
                <w:szCs w:val="18"/>
              </w:rPr>
            </w:pPr>
            <w:r w:rsidRPr="00717195">
              <w:rPr>
                <w:sz w:val="18"/>
                <w:szCs w:val="18"/>
              </w:rPr>
              <w:t>(85.3)</w:t>
            </w:r>
          </w:p>
        </w:tc>
      </w:tr>
      <w:tr w:rsidR="00427EF4" w:rsidRPr="00717195" w14:paraId="1314DBA4" w14:textId="77777777" w:rsidTr="00C25476">
        <w:tc>
          <w:tcPr>
            <w:tcW w:w="0" w:type="auto"/>
            <w:hideMark/>
          </w:tcPr>
          <w:p w14:paraId="042E3F2E" w14:textId="77777777" w:rsidR="001832A0" w:rsidRPr="00717195" w:rsidRDefault="001832A0">
            <w:pPr>
              <w:pStyle w:val="NormalWeb"/>
              <w:rPr>
                <w:sz w:val="18"/>
                <w:szCs w:val="18"/>
              </w:rPr>
            </w:pPr>
            <w:r w:rsidRPr="00717195">
              <w:rPr>
                <w:sz w:val="18"/>
                <w:szCs w:val="18"/>
              </w:rPr>
              <w:t>Cough</w:t>
            </w:r>
          </w:p>
        </w:tc>
        <w:tc>
          <w:tcPr>
            <w:tcW w:w="1644" w:type="dxa"/>
            <w:hideMark/>
          </w:tcPr>
          <w:p w14:paraId="7D3A7B1C" w14:textId="77777777" w:rsidR="001832A0" w:rsidRPr="00717195" w:rsidRDefault="001832A0" w:rsidP="002D3963">
            <w:pPr>
              <w:pStyle w:val="NormalWeb"/>
              <w:jc w:val="center"/>
              <w:rPr>
                <w:sz w:val="18"/>
                <w:szCs w:val="18"/>
              </w:rPr>
            </w:pPr>
            <w:r w:rsidRPr="00717195">
              <w:rPr>
                <w:sz w:val="18"/>
                <w:szCs w:val="18"/>
              </w:rPr>
              <w:t>67</w:t>
            </w:r>
          </w:p>
        </w:tc>
        <w:tc>
          <w:tcPr>
            <w:tcW w:w="1134" w:type="dxa"/>
            <w:hideMark/>
          </w:tcPr>
          <w:p w14:paraId="4791D23D" w14:textId="77777777" w:rsidR="001832A0" w:rsidRPr="00717195" w:rsidRDefault="001832A0" w:rsidP="002D3963">
            <w:pPr>
              <w:pStyle w:val="NormalWeb"/>
              <w:jc w:val="center"/>
              <w:rPr>
                <w:sz w:val="18"/>
                <w:szCs w:val="18"/>
              </w:rPr>
            </w:pPr>
            <w:r w:rsidRPr="00717195">
              <w:rPr>
                <w:sz w:val="18"/>
                <w:szCs w:val="18"/>
              </w:rPr>
              <w:t>3</w:t>
            </w:r>
          </w:p>
        </w:tc>
        <w:tc>
          <w:tcPr>
            <w:tcW w:w="1134" w:type="dxa"/>
            <w:hideMark/>
          </w:tcPr>
          <w:p w14:paraId="403B4BBF" w14:textId="77777777" w:rsidR="001832A0" w:rsidRPr="00717195" w:rsidRDefault="001832A0" w:rsidP="002D3963">
            <w:pPr>
              <w:pStyle w:val="NormalWeb"/>
              <w:jc w:val="center"/>
              <w:rPr>
                <w:sz w:val="18"/>
                <w:szCs w:val="18"/>
              </w:rPr>
            </w:pPr>
            <w:r w:rsidRPr="00717195">
              <w:rPr>
                <w:sz w:val="18"/>
                <w:szCs w:val="18"/>
              </w:rPr>
              <w:t>(4.5)</w:t>
            </w:r>
          </w:p>
        </w:tc>
        <w:tc>
          <w:tcPr>
            <w:tcW w:w="1134" w:type="dxa"/>
            <w:hideMark/>
          </w:tcPr>
          <w:p w14:paraId="3DD5B335" w14:textId="77777777" w:rsidR="001832A0" w:rsidRPr="00717195" w:rsidRDefault="001832A0" w:rsidP="002D3963">
            <w:pPr>
              <w:pStyle w:val="NormalWeb"/>
              <w:jc w:val="center"/>
              <w:rPr>
                <w:sz w:val="18"/>
                <w:szCs w:val="18"/>
              </w:rPr>
            </w:pPr>
            <w:r w:rsidRPr="00717195">
              <w:rPr>
                <w:sz w:val="18"/>
                <w:szCs w:val="18"/>
              </w:rPr>
              <w:t>14</w:t>
            </w:r>
          </w:p>
        </w:tc>
        <w:tc>
          <w:tcPr>
            <w:tcW w:w="1225" w:type="dxa"/>
            <w:hideMark/>
          </w:tcPr>
          <w:p w14:paraId="4A48C368" w14:textId="77777777" w:rsidR="001832A0" w:rsidRPr="00717195" w:rsidRDefault="001832A0" w:rsidP="002D3963">
            <w:pPr>
              <w:pStyle w:val="NormalWeb"/>
              <w:jc w:val="center"/>
              <w:rPr>
                <w:sz w:val="18"/>
                <w:szCs w:val="18"/>
              </w:rPr>
            </w:pPr>
            <w:r w:rsidRPr="00717195">
              <w:rPr>
                <w:sz w:val="18"/>
                <w:szCs w:val="18"/>
              </w:rPr>
              <w:t>(20.9)</w:t>
            </w:r>
          </w:p>
        </w:tc>
        <w:tc>
          <w:tcPr>
            <w:tcW w:w="1326" w:type="dxa"/>
            <w:hideMark/>
          </w:tcPr>
          <w:p w14:paraId="647D4DBD" w14:textId="77777777" w:rsidR="001832A0" w:rsidRPr="00717195" w:rsidRDefault="001832A0" w:rsidP="002D3963">
            <w:pPr>
              <w:pStyle w:val="NormalWeb"/>
              <w:jc w:val="center"/>
              <w:rPr>
                <w:sz w:val="18"/>
                <w:szCs w:val="18"/>
              </w:rPr>
            </w:pPr>
            <w:r w:rsidRPr="00717195">
              <w:rPr>
                <w:sz w:val="18"/>
                <w:szCs w:val="18"/>
              </w:rPr>
              <w:t>29</w:t>
            </w:r>
          </w:p>
        </w:tc>
        <w:tc>
          <w:tcPr>
            <w:tcW w:w="1418" w:type="dxa"/>
            <w:hideMark/>
          </w:tcPr>
          <w:p w14:paraId="361C2726" w14:textId="77777777" w:rsidR="001832A0" w:rsidRPr="00717195" w:rsidRDefault="001832A0" w:rsidP="002D3963">
            <w:pPr>
              <w:pStyle w:val="NormalWeb"/>
              <w:jc w:val="center"/>
              <w:rPr>
                <w:sz w:val="18"/>
                <w:szCs w:val="18"/>
              </w:rPr>
            </w:pPr>
            <w:r w:rsidRPr="00717195">
              <w:rPr>
                <w:sz w:val="18"/>
                <w:szCs w:val="18"/>
              </w:rPr>
              <w:t>(43.3)</w:t>
            </w:r>
          </w:p>
        </w:tc>
        <w:tc>
          <w:tcPr>
            <w:tcW w:w="1275" w:type="dxa"/>
            <w:hideMark/>
          </w:tcPr>
          <w:p w14:paraId="7116AE53" w14:textId="77777777" w:rsidR="001832A0" w:rsidRPr="00717195" w:rsidRDefault="001832A0" w:rsidP="002D3963">
            <w:pPr>
              <w:pStyle w:val="NormalWeb"/>
              <w:jc w:val="center"/>
              <w:rPr>
                <w:sz w:val="18"/>
                <w:szCs w:val="18"/>
              </w:rPr>
            </w:pPr>
            <w:r w:rsidRPr="00717195">
              <w:rPr>
                <w:sz w:val="18"/>
                <w:szCs w:val="18"/>
              </w:rPr>
              <w:t>37</w:t>
            </w:r>
          </w:p>
        </w:tc>
        <w:tc>
          <w:tcPr>
            <w:tcW w:w="1307" w:type="dxa"/>
            <w:hideMark/>
          </w:tcPr>
          <w:p w14:paraId="0E2A97F9" w14:textId="77777777" w:rsidR="001832A0" w:rsidRPr="00717195" w:rsidRDefault="001832A0" w:rsidP="002D3963">
            <w:pPr>
              <w:pStyle w:val="NormalWeb"/>
              <w:jc w:val="center"/>
              <w:rPr>
                <w:sz w:val="18"/>
                <w:szCs w:val="18"/>
              </w:rPr>
            </w:pPr>
            <w:r w:rsidRPr="00717195">
              <w:rPr>
                <w:sz w:val="18"/>
                <w:szCs w:val="18"/>
              </w:rPr>
              <w:t>(55.2)</w:t>
            </w:r>
          </w:p>
        </w:tc>
      </w:tr>
      <w:tr w:rsidR="00DF1085" w:rsidRPr="00717195" w14:paraId="4634DEEF"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223ACE30" w14:textId="77777777" w:rsidR="001832A0" w:rsidRPr="00717195" w:rsidRDefault="001832A0">
            <w:pPr>
              <w:pStyle w:val="NormalWeb"/>
              <w:rPr>
                <w:sz w:val="18"/>
                <w:szCs w:val="18"/>
              </w:rPr>
            </w:pPr>
            <w:r w:rsidRPr="00717195">
              <w:rPr>
                <w:sz w:val="18"/>
                <w:szCs w:val="18"/>
              </w:rPr>
              <w:t>Hypotonic-hyporesponsive episode</w:t>
            </w:r>
          </w:p>
        </w:tc>
        <w:tc>
          <w:tcPr>
            <w:tcW w:w="1644" w:type="dxa"/>
            <w:hideMark/>
          </w:tcPr>
          <w:p w14:paraId="4504D656" w14:textId="77777777" w:rsidR="001832A0" w:rsidRPr="00717195" w:rsidRDefault="001832A0" w:rsidP="002D3963">
            <w:pPr>
              <w:pStyle w:val="NormalWeb"/>
              <w:jc w:val="center"/>
              <w:rPr>
                <w:sz w:val="18"/>
                <w:szCs w:val="18"/>
              </w:rPr>
            </w:pPr>
            <w:r w:rsidRPr="00717195">
              <w:rPr>
                <w:sz w:val="18"/>
                <w:szCs w:val="18"/>
              </w:rPr>
              <w:t>60</w:t>
            </w:r>
          </w:p>
        </w:tc>
        <w:tc>
          <w:tcPr>
            <w:tcW w:w="1134" w:type="dxa"/>
            <w:hideMark/>
          </w:tcPr>
          <w:p w14:paraId="659F8558" w14:textId="77777777" w:rsidR="001832A0" w:rsidRPr="00717195" w:rsidRDefault="001832A0" w:rsidP="002D3963">
            <w:pPr>
              <w:pStyle w:val="NormalWeb"/>
              <w:jc w:val="center"/>
              <w:rPr>
                <w:sz w:val="18"/>
                <w:szCs w:val="18"/>
              </w:rPr>
            </w:pPr>
            <w:r w:rsidRPr="00717195">
              <w:rPr>
                <w:sz w:val="18"/>
                <w:szCs w:val="18"/>
              </w:rPr>
              <w:t>42</w:t>
            </w:r>
          </w:p>
        </w:tc>
        <w:tc>
          <w:tcPr>
            <w:tcW w:w="1134" w:type="dxa"/>
            <w:hideMark/>
          </w:tcPr>
          <w:p w14:paraId="33CB7496" w14:textId="77777777" w:rsidR="001832A0" w:rsidRPr="00717195" w:rsidRDefault="001832A0" w:rsidP="002D3963">
            <w:pPr>
              <w:pStyle w:val="NormalWeb"/>
              <w:jc w:val="center"/>
              <w:rPr>
                <w:sz w:val="18"/>
                <w:szCs w:val="18"/>
              </w:rPr>
            </w:pPr>
            <w:r w:rsidRPr="00717195">
              <w:rPr>
                <w:sz w:val="18"/>
                <w:szCs w:val="18"/>
              </w:rPr>
              <w:t>(70.0)</w:t>
            </w:r>
          </w:p>
        </w:tc>
        <w:tc>
          <w:tcPr>
            <w:tcW w:w="1134" w:type="dxa"/>
            <w:hideMark/>
          </w:tcPr>
          <w:p w14:paraId="1F445C63" w14:textId="77777777" w:rsidR="001832A0" w:rsidRPr="00717195" w:rsidRDefault="001832A0" w:rsidP="002D3963">
            <w:pPr>
              <w:pStyle w:val="NormalWeb"/>
              <w:jc w:val="center"/>
              <w:rPr>
                <w:sz w:val="18"/>
                <w:szCs w:val="18"/>
              </w:rPr>
            </w:pPr>
            <w:r w:rsidRPr="00717195">
              <w:rPr>
                <w:sz w:val="18"/>
                <w:szCs w:val="18"/>
              </w:rPr>
              <w:t>29</w:t>
            </w:r>
          </w:p>
        </w:tc>
        <w:tc>
          <w:tcPr>
            <w:tcW w:w="1225" w:type="dxa"/>
            <w:hideMark/>
          </w:tcPr>
          <w:p w14:paraId="1C98F6CB" w14:textId="77777777" w:rsidR="001832A0" w:rsidRPr="00717195" w:rsidRDefault="001832A0" w:rsidP="002D3963">
            <w:pPr>
              <w:pStyle w:val="NormalWeb"/>
              <w:jc w:val="center"/>
              <w:rPr>
                <w:sz w:val="18"/>
                <w:szCs w:val="18"/>
              </w:rPr>
            </w:pPr>
            <w:r w:rsidRPr="00717195">
              <w:rPr>
                <w:sz w:val="18"/>
                <w:szCs w:val="18"/>
              </w:rPr>
              <w:t>(48.3)</w:t>
            </w:r>
          </w:p>
        </w:tc>
        <w:tc>
          <w:tcPr>
            <w:tcW w:w="1326" w:type="dxa"/>
            <w:hideMark/>
          </w:tcPr>
          <w:p w14:paraId="33407F65" w14:textId="77777777" w:rsidR="001832A0" w:rsidRPr="00717195" w:rsidRDefault="001832A0" w:rsidP="002D3963">
            <w:pPr>
              <w:pStyle w:val="NormalWeb"/>
              <w:jc w:val="center"/>
              <w:rPr>
                <w:sz w:val="18"/>
                <w:szCs w:val="18"/>
              </w:rPr>
            </w:pPr>
            <w:r w:rsidRPr="00717195">
              <w:rPr>
                <w:sz w:val="18"/>
                <w:szCs w:val="18"/>
              </w:rPr>
              <w:t>59</w:t>
            </w:r>
          </w:p>
        </w:tc>
        <w:tc>
          <w:tcPr>
            <w:tcW w:w="1418" w:type="dxa"/>
            <w:hideMark/>
          </w:tcPr>
          <w:p w14:paraId="4C6421A1" w14:textId="77777777" w:rsidR="001832A0" w:rsidRPr="00717195" w:rsidRDefault="001832A0" w:rsidP="002D3963">
            <w:pPr>
              <w:pStyle w:val="NormalWeb"/>
              <w:jc w:val="center"/>
              <w:rPr>
                <w:sz w:val="18"/>
                <w:szCs w:val="18"/>
              </w:rPr>
            </w:pPr>
            <w:r w:rsidRPr="00717195">
              <w:rPr>
                <w:sz w:val="18"/>
                <w:szCs w:val="18"/>
              </w:rPr>
              <w:t>(98.3)</w:t>
            </w:r>
          </w:p>
        </w:tc>
        <w:tc>
          <w:tcPr>
            <w:tcW w:w="1275" w:type="dxa"/>
            <w:hideMark/>
          </w:tcPr>
          <w:p w14:paraId="386AF275" w14:textId="77777777" w:rsidR="001832A0" w:rsidRPr="00717195" w:rsidRDefault="001832A0" w:rsidP="002D3963">
            <w:pPr>
              <w:pStyle w:val="NormalWeb"/>
              <w:jc w:val="center"/>
              <w:rPr>
                <w:sz w:val="18"/>
                <w:szCs w:val="18"/>
              </w:rPr>
            </w:pPr>
            <w:r w:rsidRPr="00717195">
              <w:rPr>
                <w:sz w:val="18"/>
                <w:szCs w:val="18"/>
              </w:rPr>
              <w:t>0</w:t>
            </w:r>
          </w:p>
        </w:tc>
        <w:tc>
          <w:tcPr>
            <w:tcW w:w="1307" w:type="dxa"/>
            <w:hideMark/>
          </w:tcPr>
          <w:p w14:paraId="79E44B97" w14:textId="77777777" w:rsidR="001832A0" w:rsidRPr="00717195" w:rsidRDefault="001832A0" w:rsidP="002D3963">
            <w:pPr>
              <w:pStyle w:val="NormalWeb"/>
              <w:jc w:val="center"/>
              <w:rPr>
                <w:sz w:val="18"/>
                <w:szCs w:val="18"/>
              </w:rPr>
            </w:pPr>
            <w:r w:rsidRPr="00717195">
              <w:rPr>
                <w:sz w:val="18"/>
                <w:szCs w:val="18"/>
              </w:rPr>
              <w:t>(0.0)</w:t>
            </w:r>
          </w:p>
        </w:tc>
      </w:tr>
      <w:tr w:rsidR="00427EF4" w:rsidRPr="00717195" w14:paraId="12FB5749" w14:textId="77777777" w:rsidTr="00C25476">
        <w:tc>
          <w:tcPr>
            <w:tcW w:w="0" w:type="auto"/>
            <w:hideMark/>
          </w:tcPr>
          <w:p w14:paraId="7559530F" w14:textId="77777777" w:rsidR="001832A0" w:rsidRPr="00717195" w:rsidRDefault="001832A0">
            <w:pPr>
              <w:pStyle w:val="NormalWeb"/>
              <w:rPr>
                <w:sz w:val="18"/>
                <w:szCs w:val="18"/>
              </w:rPr>
            </w:pPr>
            <w:r w:rsidRPr="00717195">
              <w:rPr>
                <w:sz w:val="18"/>
                <w:szCs w:val="18"/>
              </w:rPr>
              <w:t>Injected limb mobility decreased</w:t>
            </w:r>
          </w:p>
        </w:tc>
        <w:tc>
          <w:tcPr>
            <w:tcW w:w="1644" w:type="dxa"/>
            <w:hideMark/>
          </w:tcPr>
          <w:p w14:paraId="7ED4574A" w14:textId="77777777" w:rsidR="001832A0" w:rsidRPr="00717195" w:rsidRDefault="001832A0" w:rsidP="002D3963">
            <w:pPr>
              <w:pStyle w:val="NormalWeb"/>
              <w:jc w:val="center"/>
              <w:rPr>
                <w:sz w:val="18"/>
                <w:szCs w:val="18"/>
              </w:rPr>
            </w:pPr>
            <w:r w:rsidRPr="00717195">
              <w:rPr>
                <w:sz w:val="18"/>
                <w:szCs w:val="18"/>
              </w:rPr>
              <w:t>58</w:t>
            </w:r>
          </w:p>
        </w:tc>
        <w:tc>
          <w:tcPr>
            <w:tcW w:w="1134" w:type="dxa"/>
            <w:hideMark/>
          </w:tcPr>
          <w:p w14:paraId="3325A101" w14:textId="77777777" w:rsidR="001832A0" w:rsidRPr="00717195" w:rsidRDefault="001832A0" w:rsidP="002D3963">
            <w:pPr>
              <w:pStyle w:val="NormalWeb"/>
              <w:jc w:val="center"/>
              <w:rPr>
                <w:sz w:val="18"/>
                <w:szCs w:val="18"/>
              </w:rPr>
            </w:pPr>
            <w:r w:rsidRPr="00717195">
              <w:rPr>
                <w:sz w:val="18"/>
                <w:szCs w:val="18"/>
              </w:rPr>
              <w:t>5</w:t>
            </w:r>
          </w:p>
        </w:tc>
        <w:tc>
          <w:tcPr>
            <w:tcW w:w="1134" w:type="dxa"/>
            <w:hideMark/>
          </w:tcPr>
          <w:p w14:paraId="459E653A" w14:textId="77777777" w:rsidR="001832A0" w:rsidRPr="00717195" w:rsidRDefault="001832A0" w:rsidP="002D3963">
            <w:pPr>
              <w:pStyle w:val="NormalWeb"/>
              <w:jc w:val="center"/>
              <w:rPr>
                <w:sz w:val="18"/>
                <w:szCs w:val="18"/>
              </w:rPr>
            </w:pPr>
            <w:r w:rsidRPr="00717195">
              <w:rPr>
                <w:sz w:val="18"/>
                <w:szCs w:val="18"/>
              </w:rPr>
              <w:t>(8.6)</w:t>
            </w:r>
          </w:p>
        </w:tc>
        <w:tc>
          <w:tcPr>
            <w:tcW w:w="1134" w:type="dxa"/>
            <w:hideMark/>
          </w:tcPr>
          <w:p w14:paraId="689E2EF2" w14:textId="77777777" w:rsidR="001832A0" w:rsidRPr="00717195" w:rsidRDefault="001832A0" w:rsidP="002D3963">
            <w:pPr>
              <w:pStyle w:val="NormalWeb"/>
              <w:jc w:val="center"/>
              <w:rPr>
                <w:sz w:val="18"/>
                <w:szCs w:val="18"/>
              </w:rPr>
            </w:pPr>
            <w:r w:rsidRPr="00717195">
              <w:rPr>
                <w:sz w:val="18"/>
                <w:szCs w:val="18"/>
              </w:rPr>
              <w:t>3</w:t>
            </w:r>
          </w:p>
        </w:tc>
        <w:tc>
          <w:tcPr>
            <w:tcW w:w="1225" w:type="dxa"/>
            <w:hideMark/>
          </w:tcPr>
          <w:p w14:paraId="177BE1B1" w14:textId="77777777" w:rsidR="001832A0" w:rsidRPr="00717195" w:rsidRDefault="001832A0" w:rsidP="002D3963">
            <w:pPr>
              <w:pStyle w:val="NormalWeb"/>
              <w:jc w:val="center"/>
              <w:rPr>
                <w:sz w:val="18"/>
                <w:szCs w:val="18"/>
              </w:rPr>
            </w:pPr>
            <w:r w:rsidRPr="00717195">
              <w:rPr>
                <w:sz w:val="18"/>
                <w:szCs w:val="18"/>
              </w:rPr>
              <w:t>(5.2)</w:t>
            </w:r>
          </w:p>
        </w:tc>
        <w:tc>
          <w:tcPr>
            <w:tcW w:w="1326" w:type="dxa"/>
            <w:hideMark/>
          </w:tcPr>
          <w:p w14:paraId="068E0CBC" w14:textId="77777777" w:rsidR="001832A0" w:rsidRPr="00717195" w:rsidRDefault="001832A0" w:rsidP="002D3963">
            <w:pPr>
              <w:pStyle w:val="NormalWeb"/>
              <w:jc w:val="center"/>
              <w:rPr>
                <w:sz w:val="18"/>
                <w:szCs w:val="18"/>
              </w:rPr>
            </w:pPr>
            <w:r w:rsidRPr="00717195">
              <w:rPr>
                <w:sz w:val="18"/>
                <w:szCs w:val="18"/>
              </w:rPr>
              <w:t>8</w:t>
            </w:r>
          </w:p>
        </w:tc>
        <w:tc>
          <w:tcPr>
            <w:tcW w:w="1418" w:type="dxa"/>
            <w:hideMark/>
          </w:tcPr>
          <w:p w14:paraId="128B3C13" w14:textId="77777777" w:rsidR="001832A0" w:rsidRPr="00717195" w:rsidRDefault="001832A0" w:rsidP="002D3963">
            <w:pPr>
              <w:pStyle w:val="NormalWeb"/>
              <w:jc w:val="center"/>
              <w:rPr>
                <w:sz w:val="18"/>
                <w:szCs w:val="18"/>
              </w:rPr>
            </w:pPr>
            <w:r w:rsidRPr="00717195">
              <w:rPr>
                <w:sz w:val="18"/>
                <w:szCs w:val="18"/>
              </w:rPr>
              <w:t>(13.8)</w:t>
            </w:r>
          </w:p>
        </w:tc>
        <w:tc>
          <w:tcPr>
            <w:tcW w:w="1275" w:type="dxa"/>
            <w:hideMark/>
          </w:tcPr>
          <w:p w14:paraId="028C6C17" w14:textId="77777777" w:rsidR="001832A0" w:rsidRPr="00717195" w:rsidRDefault="001832A0" w:rsidP="002D3963">
            <w:pPr>
              <w:pStyle w:val="NormalWeb"/>
              <w:jc w:val="center"/>
              <w:rPr>
                <w:sz w:val="18"/>
                <w:szCs w:val="18"/>
              </w:rPr>
            </w:pPr>
            <w:r w:rsidRPr="00717195">
              <w:rPr>
                <w:sz w:val="18"/>
                <w:szCs w:val="18"/>
              </w:rPr>
              <w:t>49</w:t>
            </w:r>
          </w:p>
        </w:tc>
        <w:tc>
          <w:tcPr>
            <w:tcW w:w="1307" w:type="dxa"/>
            <w:hideMark/>
          </w:tcPr>
          <w:p w14:paraId="601B50E5" w14:textId="77777777" w:rsidR="001832A0" w:rsidRPr="00717195" w:rsidRDefault="001832A0" w:rsidP="002D3963">
            <w:pPr>
              <w:pStyle w:val="NormalWeb"/>
              <w:jc w:val="center"/>
              <w:rPr>
                <w:sz w:val="18"/>
                <w:szCs w:val="18"/>
              </w:rPr>
            </w:pPr>
            <w:r w:rsidRPr="00717195">
              <w:rPr>
                <w:sz w:val="18"/>
                <w:szCs w:val="18"/>
              </w:rPr>
              <w:t>(84.5)</w:t>
            </w:r>
          </w:p>
        </w:tc>
      </w:tr>
      <w:tr w:rsidR="00DF1085" w:rsidRPr="00717195" w14:paraId="2FEA3101"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4F5039D3" w14:textId="77777777" w:rsidR="001832A0" w:rsidRPr="00717195" w:rsidRDefault="001832A0">
            <w:pPr>
              <w:pStyle w:val="NormalWeb"/>
              <w:rPr>
                <w:sz w:val="18"/>
                <w:szCs w:val="18"/>
              </w:rPr>
            </w:pPr>
            <w:r w:rsidRPr="00717195">
              <w:rPr>
                <w:sz w:val="18"/>
                <w:szCs w:val="18"/>
              </w:rPr>
              <w:t>Flushing</w:t>
            </w:r>
          </w:p>
        </w:tc>
        <w:tc>
          <w:tcPr>
            <w:tcW w:w="1644" w:type="dxa"/>
            <w:hideMark/>
          </w:tcPr>
          <w:p w14:paraId="53C7373B" w14:textId="77777777" w:rsidR="001832A0" w:rsidRPr="00717195" w:rsidRDefault="001832A0" w:rsidP="002D3963">
            <w:pPr>
              <w:pStyle w:val="NormalWeb"/>
              <w:jc w:val="center"/>
              <w:rPr>
                <w:sz w:val="18"/>
                <w:szCs w:val="18"/>
              </w:rPr>
            </w:pPr>
            <w:r w:rsidRPr="00717195">
              <w:rPr>
                <w:sz w:val="18"/>
                <w:szCs w:val="18"/>
              </w:rPr>
              <w:t>56</w:t>
            </w:r>
          </w:p>
        </w:tc>
        <w:tc>
          <w:tcPr>
            <w:tcW w:w="1134" w:type="dxa"/>
            <w:hideMark/>
          </w:tcPr>
          <w:p w14:paraId="1C9EBBA3" w14:textId="77777777" w:rsidR="001832A0" w:rsidRPr="00717195" w:rsidRDefault="001832A0" w:rsidP="002D3963">
            <w:pPr>
              <w:pStyle w:val="NormalWeb"/>
              <w:jc w:val="center"/>
              <w:rPr>
                <w:sz w:val="18"/>
                <w:szCs w:val="18"/>
              </w:rPr>
            </w:pPr>
            <w:r w:rsidRPr="00717195">
              <w:rPr>
                <w:sz w:val="18"/>
                <w:szCs w:val="18"/>
              </w:rPr>
              <w:t>0</w:t>
            </w:r>
          </w:p>
        </w:tc>
        <w:tc>
          <w:tcPr>
            <w:tcW w:w="1134" w:type="dxa"/>
            <w:hideMark/>
          </w:tcPr>
          <w:p w14:paraId="10911098" w14:textId="77777777" w:rsidR="001832A0" w:rsidRPr="00717195" w:rsidRDefault="001832A0" w:rsidP="002D3963">
            <w:pPr>
              <w:pStyle w:val="NormalWeb"/>
              <w:jc w:val="center"/>
              <w:rPr>
                <w:sz w:val="18"/>
                <w:szCs w:val="18"/>
              </w:rPr>
            </w:pPr>
            <w:r w:rsidRPr="00717195">
              <w:rPr>
                <w:sz w:val="18"/>
                <w:szCs w:val="18"/>
              </w:rPr>
              <w:t>(0.0)</w:t>
            </w:r>
          </w:p>
        </w:tc>
        <w:tc>
          <w:tcPr>
            <w:tcW w:w="1134" w:type="dxa"/>
            <w:hideMark/>
          </w:tcPr>
          <w:p w14:paraId="2836496C" w14:textId="77777777" w:rsidR="001832A0" w:rsidRPr="00717195" w:rsidRDefault="001832A0" w:rsidP="002D3963">
            <w:pPr>
              <w:pStyle w:val="NormalWeb"/>
              <w:jc w:val="center"/>
              <w:rPr>
                <w:sz w:val="18"/>
                <w:szCs w:val="18"/>
              </w:rPr>
            </w:pPr>
            <w:r w:rsidRPr="00717195">
              <w:rPr>
                <w:sz w:val="18"/>
                <w:szCs w:val="18"/>
              </w:rPr>
              <w:t>5</w:t>
            </w:r>
          </w:p>
        </w:tc>
        <w:tc>
          <w:tcPr>
            <w:tcW w:w="1225" w:type="dxa"/>
            <w:hideMark/>
          </w:tcPr>
          <w:p w14:paraId="45AB8289" w14:textId="77777777" w:rsidR="001832A0" w:rsidRPr="00717195" w:rsidRDefault="001832A0" w:rsidP="002D3963">
            <w:pPr>
              <w:pStyle w:val="NormalWeb"/>
              <w:jc w:val="center"/>
              <w:rPr>
                <w:sz w:val="18"/>
                <w:szCs w:val="18"/>
              </w:rPr>
            </w:pPr>
            <w:r w:rsidRPr="00717195">
              <w:rPr>
                <w:sz w:val="18"/>
                <w:szCs w:val="18"/>
              </w:rPr>
              <w:t>(8.9)</w:t>
            </w:r>
          </w:p>
        </w:tc>
        <w:tc>
          <w:tcPr>
            <w:tcW w:w="1326" w:type="dxa"/>
            <w:hideMark/>
          </w:tcPr>
          <w:p w14:paraId="5FBB947D" w14:textId="77777777" w:rsidR="001832A0" w:rsidRPr="00717195" w:rsidRDefault="001832A0" w:rsidP="002D3963">
            <w:pPr>
              <w:pStyle w:val="NormalWeb"/>
              <w:jc w:val="center"/>
              <w:rPr>
                <w:sz w:val="18"/>
                <w:szCs w:val="18"/>
              </w:rPr>
            </w:pPr>
            <w:r w:rsidRPr="00717195">
              <w:rPr>
                <w:sz w:val="18"/>
                <w:szCs w:val="18"/>
              </w:rPr>
              <w:t>6</w:t>
            </w:r>
          </w:p>
        </w:tc>
        <w:tc>
          <w:tcPr>
            <w:tcW w:w="1418" w:type="dxa"/>
            <w:hideMark/>
          </w:tcPr>
          <w:p w14:paraId="3A3C6DA1" w14:textId="77777777" w:rsidR="001832A0" w:rsidRPr="00717195" w:rsidRDefault="001832A0" w:rsidP="002D3963">
            <w:pPr>
              <w:pStyle w:val="NormalWeb"/>
              <w:jc w:val="center"/>
              <w:rPr>
                <w:sz w:val="18"/>
                <w:szCs w:val="18"/>
              </w:rPr>
            </w:pPr>
            <w:r w:rsidRPr="00717195">
              <w:rPr>
                <w:sz w:val="18"/>
                <w:szCs w:val="18"/>
              </w:rPr>
              <w:t>(10.7)</w:t>
            </w:r>
          </w:p>
        </w:tc>
        <w:tc>
          <w:tcPr>
            <w:tcW w:w="1275" w:type="dxa"/>
            <w:hideMark/>
          </w:tcPr>
          <w:p w14:paraId="3B469ABF" w14:textId="77777777" w:rsidR="001832A0" w:rsidRPr="00717195" w:rsidRDefault="001832A0" w:rsidP="002D3963">
            <w:pPr>
              <w:pStyle w:val="NormalWeb"/>
              <w:jc w:val="center"/>
              <w:rPr>
                <w:sz w:val="18"/>
                <w:szCs w:val="18"/>
              </w:rPr>
            </w:pPr>
            <w:r w:rsidRPr="00717195">
              <w:rPr>
                <w:sz w:val="18"/>
                <w:szCs w:val="18"/>
              </w:rPr>
              <w:t>48</w:t>
            </w:r>
          </w:p>
        </w:tc>
        <w:tc>
          <w:tcPr>
            <w:tcW w:w="1307" w:type="dxa"/>
            <w:hideMark/>
          </w:tcPr>
          <w:p w14:paraId="1EAB6263" w14:textId="77777777" w:rsidR="001832A0" w:rsidRPr="00717195" w:rsidRDefault="001832A0" w:rsidP="002D3963">
            <w:pPr>
              <w:pStyle w:val="NormalWeb"/>
              <w:jc w:val="center"/>
              <w:rPr>
                <w:sz w:val="18"/>
                <w:szCs w:val="18"/>
              </w:rPr>
            </w:pPr>
            <w:r w:rsidRPr="00717195">
              <w:rPr>
                <w:sz w:val="18"/>
                <w:szCs w:val="18"/>
              </w:rPr>
              <w:t>85.7</w:t>
            </w:r>
          </w:p>
        </w:tc>
      </w:tr>
      <w:tr w:rsidR="00427EF4" w:rsidRPr="00717195" w14:paraId="6C1B85ED" w14:textId="77777777" w:rsidTr="00C25476">
        <w:tc>
          <w:tcPr>
            <w:tcW w:w="0" w:type="auto"/>
            <w:hideMark/>
          </w:tcPr>
          <w:p w14:paraId="4666C051" w14:textId="77777777" w:rsidR="001832A0" w:rsidRPr="00717195" w:rsidRDefault="001832A0">
            <w:pPr>
              <w:pStyle w:val="NormalWeb"/>
              <w:rPr>
                <w:sz w:val="18"/>
                <w:szCs w:val="18"/>
              </w:rPr>
            </w:pPr>
            <w:r w:rsidRPr="00717195">
              <w:rPr>
                <w:sz w:val="18"/>
                <w:szCs w:val="18"/>
              </w:rPr>
              <w:t>Dyspnoea</w:t>
            </w:r>
          </w:p>
        </w:tc>
        <w:tc>
          <w:tcPr>
            <w:tcW w:w="1644" w:type="dxa"/>
            <w:hideMark/>
          </w:tcPr>
          <w:p w14:paraId="6EECABCE" w14:textId="77777777" w:rsidR="001832A0" w:rsidRPr="00717195" w:rsidRDefault="001832A0" w:rsidP="002D3963">
            <w:pPr>
              <w:pStyle w:val="NormalWeb"/>
              <w:jc w:val="center"/>
              <w:rPr>
                <w:sz w:val="18"/>
                <w:szCs w:val="18"/>
              </w:rPr>
            </w:pPr>
            <w:r w:rsidRPr="00717195">
              <w:rPr>
                <w:sz w:val="18"/>
                <w:szCs w:val="18"/>
              </w:rPr>
              <w:t>53</w:t>
            </w:r>
          </w:p>
        </w:tc>
        <w:tc>
          <w:tcPr>
            <w:tcW w:w="1134" w:type="dxa"/>
            <w:hideMark/>
          </w:tcPr>
          <w:p w14:paraId="0887E983" w14:textId="77777777" w:rsidR="001832A0" w:rsidRPr="00717195" w:rsidRDefault="001832A0" w:rsidP="002D3963">
            <w:pPr>
              <w:pStyle w:val="NormalWeb"/>
              <w:jc w:val="center"/>
              <w:rPr>
                <w:sz w:val="18"/>
                <w:szCs w:val="18"/>
              </w:rPr>
            </w:pPr>
            <w:r w:rsidRPr="00717195">
              <w:rPr>
                <w:sz w:val="18"/>
                <w:szCs w:val="18"/>
              </w:rPr>
              <w:t>2</w:t>
            </w:r>
          </w:p>
        </w:tc>
        <w:tc>
          <w:tcPr>
            <w:tcW w:w="1134" w:type="dxa"/>
            <w:hideMark/>
          </w:tcPr>
          <w:p w14:paraId="6115FAD0" w14:textId="77777777" w:rsidR="001832A0" w:rsidRPr="00717195" w:rsidRDefault="001832A0" w:rsidP="002D3963">
            <w:pPr>
              <w:pStyle w:val="NormalWeb"/>
              <w:jc w:val="center"/>
              <w:rPr>
                <w:sz w:val="18"/>
                <w:szCs w:val="18"/>
              </w:rPr>
            </w:pPr>
            <w:r w:rsidRPr="00717195">
              <w:rPr>
                <w:sz w:val="18"/>
                <w:szCs w:val="18"/>
              </w:rPr>
              <w:t>(3.8)</w:t>
            </w:r>
          </w:p>
        </w:tc>
        <w:tc>
          <w:tcPr>
            <w:tcW w:w="1134" w:type="dxa"/>
            <w:hideMark/>
          </w:tcPr>
          <w:p w14:paraId="2343EE8E" w14:textId="77777777" w:rsidR="001832A0" w:rsidRPr="00717195" w:rsidRDefault="001832A0" w:rsidP="002D3963">
            <w:pPr>
              <w:pStyle w:val="NormalWeb"/>
              <w:jc w:val="center"/>
              <w:rPr>
                <w:sz w:val="18"/>
                <w:szCs w:val="18"/>
              </w:rPr>
            </w:pPr>
            <w:r w:rsidRPr="00717195">
              <w:rPr>
                <w:sz w:val="18"/>
                <w:szCs w:val="18"/>
              </w:rPr>
              <w:t>11</w:t>
            </w:r>
          </w:p>
        </w:tc>
        <w:tc>
          <w:tcPr>
            <w:tcW w:w="1225" w:type="dxa"/>
            <w:hideMark/>
          </w:tcPr>
          <w:p w14:paraId="00239422" w14:textId="77777777" w:rsidR="001832A0" w:rsidRPr="00717195" w:rsidRDefault="001832A0" w:rsidP="002D3963">
            <w:pPr>
              <w:pStyle w:val="NormalWeb"/>
              <w:jc w:val="center"/>
              <w:rPr>
                <w:sz w:val="18"/>
                <w:szCs w:val="18"/>
              </w:rPr>
            </w:pPr>
            <w:r w:rsidRPr="00717195">
              <w:rPr>
                <w:sz w:val="18"/>
                <w:szCs w:val="18"/>
              </w:rPr>
              <w:t>(20.8)</w:t>
            </w:r>
          </w:p>
        </w:tc>
        <w:tc>
          <w:tcPr>
            <w:tcW w:w="1326" w:type="dxa"/>
            <w:hideMark/>
          </w:tcPr>
          <w:p w14:paraId="6FF687F5" w14:textId="77777777" w:rsidR="001832A0" w:rsidRPr="00717195" w:rsidRDefault="001832A0" w:rsidP="002D3963">
            <w:pPr>
              <w:pStyle w:val="NormalWeb"/>
              <w:jc w:val="center"/>
              <w:rPr>
                <w:sz w:val="18"/>
                <w:szCs w:val="18"/>
              </w:rPr>
            </w:pPr>
            <w:r w:rsidRPr="00717195">
              <w:rPr>
                <w:sz w:val="18"/>
                <w:szCs w:val="18"/>
              </w:rPr>
              <w:t>8</w:t>
            </w:r>
          </w:p>
        </w:tc>
        <w:tc>
          <w:tcPr>
            <w:tcW w:w="1418" w:type="dxa"/>
            <w:hideMark/>
          </w:tcPr>
          <w:p w14:paraId="5FCAB744" w14:textId="77777777" w:rsidR="001832A0" w:rsidRPr="00717195" w:rsidRDefault="001832A0" w:rsidP="002D3963">
            <w:pPr>
              <w:pStyle w:val="NormalWeb"/>
              <w:jc w:val="center"/>
              <w:rPr>
                <w:sz w:val="18"/>
                <w:szCs w:val="18"/>
              </w:rPr>
            </w:pPr>
            <w:r w:rsidRPr="00717195">
              <w:rPr>
                <w:sz w:val="18"/>
                <w:szCs w:val="18"/>
              </w:rPr>
              <w:t>(15.1)</w:t>
            </w:r>
          </w:p>
        </w:tc>
        <w:tc>
          <w:tcPr>
            <w:tcW w:w="1275" w:type="dxa"/>
            <w:hideMark/>
          </w:tcPr>
          <w:p w14:paraId="7EE59E44" w14:textId="77777777" w:rsidR="001832A0" w:rsidRPr="00717195" w:rsidRDefault="001832A0" w:rsidP="002D3963">
            <w:pPr>
              <w:pStyle w:val="NormalWeb"/>
              <w:jc w:val="center"/>
              <w:rPr>
                <w:sz w:val="18"/>
                <w:szCs w:val="18"/>
              </w:rPr>
            </w:pPr>
            <w:r w:rsidRPr="00717195">
              <w:rPr>
                <w:sz w:val="18"/>
                <w:szCs w:val="18"/>
              </w:rPr>
              <w:t>44</w:t>
            </w:r>
          </w:p>
        </w:tc>
        <w:tc>
          <w:tcPr>
            <w:tcW w:w="1307" w:type="dxa"/>
            <w:hideMark/>
          </w:tcPr>
          <w:p w14:paraId="49F58C7D" w14:textId="77777777" w:rsidR="001832A0" w:rsidRPr="00717195" w:rsidRDefault="001832A0" w:rsidP="002D3963">
            <w:pPr>
              <w:pStyle w:val="NormalWeb"/>
              <w:jc w:val="center"/>
              <w:rPr>
                <w:sz w:val="18"/>
                <w:szCs w:val="18"/>
              </w:rPr>
            </w:pPr>
            <w:r w:rsidRPr="00717195">
              <w:rPr>
                <w:sz w:val="18"/>
                <w:szCs w:val="18"/>
              </w:rPr>
              <w:t>(83.0)</w:t>
            </w:r>
          </w:p>
        </w:tc>
      </w:tr>
      <w:tr w:rsidR="00DF1085" w:rsidRPr="00717195" w14:paraId="2F3B1BEB"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76EDD23A" w14:textId="77777777" w:rsidR="001832A0" w:rsidRPr="00717195" w:rsidRDefault="001832A0">
            <w:pPr>
              <w:pStyle w:val="NormalWeb"/>
              <w:rPr>
                <w:sz w:val="18"/>
                <w:szCs w:val="18"/>
              </w:rPr>
            </w:pPr>
            <w:r w:rsidRPr="00717195">
              <w:rPr>
                <w:sz w:val="18"/>
                <w:szCs w:val="18"/>
              </w:rPr>
              <w:t>Arthralgia</w:t>
            </w:r>
          </w:p>
        </w:tc>
        <w:tc>
          <w:tcPr>
            <w:tcW w:w="1644" w:type="dxa"/>
            <w:hideMark/>
          </w:tcPr>
          <w:p w14:paraId="1CA6E219" w14:textId="77777777" w:rsidR="001832A0" w:rsidRPr="00717195" w:rsidRDefault="001832A0" w:rsidP="002D3963">
            <w:pPr>
              <w:pStyle w:val="NormalWeb"/>
              <w:jc w:val="center"/>
              <w:rPr>
                <w:sz w:val="18"/>
                <w:szCs w:val="18"/>
              </w:rPr>
            </w:pPr>
            <w:r w:rsidRPr="00717195">
              <w:rPr>
                <w:sz w:val="18"/>
                <w:szCs w:val="18"/>
              </w:rPr>
              <w:t>51</w:t>
            </w:r>
          </w:p>
        </w:tc>
        <w:tc>
          <w:tcPr>
            <w:tcW w:w="1134" w:type="dxa"/>
            <w:hideMark/>
          </w:tcPr>
          <w:p w14:paraId="493CA9A1" w14:textId="77777777" w:rsidR="001832A0" w:rsidRPr="00717195" w:rsidRDefault="001832A0" w:rsidP="002D3963">
            <w:pPr>
              <w:pStyle w:val="NormalWeb"/>
              <w:jc w:val="center"/>
              <w:rPr>
                <w:sz w:val="18"/>
                <w:szCs w:val="18"/>
              </w:rPr>
            </w:pPr>
            <w:r w:rsidRPr="00717195">
              <w:rPr>
                <w:sz w:val="18"/>
                <w:szCs w:val="18"/>
              </w:rPr>
              <w:t>4</w:t>
            </w:r>
          </w:p>
        </w:tc>
        <w:tc>
          <w:tcPr>
            <w:tcW w:w="1134" w:type="dxa"/>
            <w:hideMark/>
          </w:tcPr>
          <w:p w14:paraId="37446972" w14:textId="77777777" w:rsidR="001832A0" w:rsidRPr="00717195" w:rsidRDefault="001832A0" w:rsidP="002D3963">
            <w:pPr>
              <w:pStyle w:val="NormalWeb"/>
              <w:jc w:val="center"/>
              <w:rPr>
                <w:sz w:val="18"/>
                <w:szCs w:val="18"/>
              </w:rPr>
            </w:pPr>
            <w:r w:rsidRPr="00717195">
              <w:rPr>
                <w:sz w:val="18"/>
                <w:szCs w:val="18"/>
              </w:rPr>
              <w:t>(7.8)</w:t>
            </w:r>
          </w:p>
        </w:tc>
        <w:tc>
          <w:tcPr>
            <w:tcW w:w="1134" w:type="dxa"/>
            <w:hideMark/>
          </w:tcPr>
          <w:p w14:paraId="568DF9BA" w14:textId="77777777" w:rsidR="001832A0" w:rsidRPr="00717195" w:rsidRDefault="001832A0" w:rsidP="002D3963">
            <w:pPr>
              <w:pStyle w:val="NormalWeb"/>
              <w:jc w:val="center"/>
              <w:rPr>
                <w:sz w:val="18"/>
                <w:szCs w:val="18"/>
              </w:rPr>
            </w:pPr>
            <w:r w:rsidRPr="00717195">
              <w:rPr>
                <w:sz w:val="18"/>
                <w:szCs w:val="18"/>
              </w:rPr>
              <w:t>13</w:t>
            </w:r>
          </w:p>
        </w:tc>
        <w:tc>
          <w:tcPr>
            <w:tcW w:w="1225" w:type="dxa"/>
            <w:hideMark/>
          </w:tcPr>
          <w:p w14:paraId="1FB24112" w14:textId="77777777" w:rsidR="001832A0" w:rsidRPr="00717195" w:rsidRDefault="001832A0" w:rsidP="002D3963">
            <w:pPr>
              <w:pStyle w:val="NormalWeb"/>
              <w:jc w:val="center"/>
              <w:rPr>
                <w:sz w:val="18"/>
                <w:szCs w:val="18"/>
              </w:rPr>
            </w:pPr>
            <w:r w:rsidRPr="00717195">
              <w:rPr>
                <w:sz w:val="18"/>
                <w:szCs w:val="18"/>
              </w:rPr>
              <w:t>(25.5)</w:t>
            </w:r>
          </w:p>
        </w:tc>
        <w:tc>
          <w:tcPr>
            <w:tcW w:w="1326" w:type="dxa"/>
            <w:hideMark/>
          </w:tcPr>
          <w:p w14:paraId="1477039E" w14:textId="77777777" w:rsidR="001832A0" w:rsidRPr="00717195" w:rsidRDefault="001832A0" w:rsidP="002D3963">
            <w:pPr>
              <w:pStyle w:val="NormalWeb"/>
              <w:jc w:val="center"/>
              <w:rPr>
                <w:sz w:val="18"/>
                <w:szCs w:val="18"/>
              </w:rPr>
            </w:pPr>
            <w:r w:rsidRPr="00717195">
              <w:rPr>
                <w:sz w:val="18"/>
                <w:szCs w:val="18"/>
              </w:rPr>
              <w:t>2</w:t>
            </w:r>
          </w:p>
        </w:tc>
        <w:tc>
          <w:tcPr>
            <w:tcW w:w="1418" w:type="dxa"/>
            <w:hideMark/>
          </w:tcPr>
          <w:p w14:paraId="34D28117" w14:textId="77777777" w:rsidR="001832A0" w:rsidRPr="00717195" w:rsidRDefault="001832A0" w:rsidP="002D3963">
            <w:pPr>
              <w:pStyle w:val="NormalWeb"/>
              <w:jc w:val="center"/>
              <w:rPr>
                <w:sz w:val="18"/>
                <w:szCs w:val="18"/>
              </w:rPr>
            </w:pPr>
            <w:r w:rsidRPr="00717195">
              <w:rPr>
                <w:sz w:val="18"/>
                <w:szCs w:val="18"/>
              </w:rPr>
              <w:t>(3.9)</w:t>
            </w:r>
          </w:p>
        </w:tc>
        <w:tc>
          <w:tcPr>
            <w:tcW w:w="1275" w:type="dxa"/>
            <w:hideMark/>
          </w:tcPr>
          <w:p w14:paraId="0AAF2E25" w14:textId="77777777" w:rsidR="001832A0" w:rsidRPr="00717195" w:rsidRDefault="001832A0" w:rsidP="002D3963">
            <w:pPr>
              <w:pStyle w:val="NormalWeb"/>
              <w:jc w:val="center"/>
              <w:rPr>
                <w:sz w:val="18"/>
                <w:szCs w:val="18"/>
              </w:rPr>
            </w:pPr>
            <w:r w:rsidRPr="00717195">
              <w:rPr>
                <w:sz w:val="18"/>
                <w:szCs w:val="18"/>
              </w:rPr>
              <w:t>47</w:t>
            </w:r>
          </w:p>
        </w:tc>
        <w:tc>
          <w:tcPr>
            <w:tcW w:w="1307" w:type="dxa"/>
            <w:hideMark/>
          </w:tcPr>
          <w:p w14:paraId="7D89EC4C" w14:textId="77777777" w:rsidR="001832A0" w:rsidRPr="00717195" w:rsidRDefault="001832A0" w:rsidP="002D3963">
            <w:pPr>
              <w:pStyle w:val="NormalWeb"/>
              <w:jc w:val="center"/>
              <w:rPr>
                <w:sz w:val="18"/>
                <w:szCs w:val="18"/>
              </w:rPr>
            </w:pPr>
            <w:r w:rsidRPr="00717195">
              <w:rPr>
                <w:sz w:val="18"/>
                <w:szCs w:val="18"/>
              </w:rPr>
              <w:t>(92.2)</w:t>
            </w:r>
          </w:p>
        </w:tc>
      </w:tr>
      <w:tr w:rsidR="00427EF4" w:rsidRPr="00717195" w14:paraId="068DC7BD" w14:textId="77777777" w:rsidTr="00C25476">
        <w:tc>
          <w:tcPr>
            <w:tcW w:w="0" w:type="auto"/>
            <w:hideMark/>
          </w:tcPr>
          <w:p w14:paraId="09AAC70A" w14:textId="77777777" w:rsidR="001832A0" w:rsidRPr="00717195" w:rsidRDefault="001832A0">
            <w:pPr>
              <w:pStyle w:val="NormalWeb"/>
              <w:rPr>
                <w:sz w:val="18"/>
                <w:szCs w:val="18"/>
              </w:rPr>
            </w:pPr>
            <w:r w:rsidRPr="00717195">
              <w:rPr>
                <w:sz w:val="18"/>
                <w:szCs w:val="18"/>
              </w:rPr>
              <w:t>Somnolence</w:t>
            </w:r>
          </w:p>
        </w:tc>
        <w:tc>
          <w:tcPr>
            <w:tcW w:w="1644" w:type="dxa"/>
            <w:hideMark/>
          </w:tcPr>
          <w:p w14:paraId="77A274BD" w14:textId="77777777" w:rsidR="001832A0" w:rsidRPr="00717195" w:rsidRDefault="001832A0" w:rsidP="002D3963">
            <w:pPr>
              <w:pStyle w:val="NormalWeb"/>
              <w:jc w:val="center"/>
              <w:rPr>
                <w:sz w:val="18"/>
                <w:szCs w:val="18"/>
              </w:rPr>
            </w:pPr>
            <w:r w:rsidRPr="00717195">
              <w:rPr>
                <w:sz w:val="18"/>
                <w:szCs w:val="18"/>
              </w:rPr>
              <w:t>48</w:t>
            </w:r>
          </w:p>
        </w:tc>
        <w:tc>
          <w:tcPr>
            <w:tcW w:w="1134" w:type="dxa"/>
            <w:hideMark/>
          </w:tcPr>
          <w:p w14:paraId="2E657A03" w14:textId="77777777" w:rsidR="001832A0" w:rsidRPr="00717195" w:rsidRDefault="001832A0" w:rsidP="002D3963">
            <w:pPr>
              <w:pStyle w:val="NormalWeb"/>
              <w:jc w:val="center"/>
              <w:rPr>
                <w:sz w:val="18"/>
                <w:szCs w:val="18"/>
              </w:rPr>
            </w:pPr>
            <w:r w:rsidRPr="00717195">
              <w:rPr>
                <w:sz w:val="18"/>
                <w:szCs w:val="18"/>
              </w:rPr>
              <w:t>3</w:t>
            </w:r>
          </w:p>
        </w:tc>
        <w:tc>
          <w:tcPr>
            <w:tcW w:w="1134" w:type="dxa"/>
            <w:hideMark/>
          </w:tcPr>
          <w:p w14:paraId="0606889B" w14:textId="77777777" w:rsidR="001832A0" w:rsidRPr="00717195" w:rsidRDefault="001832A0" w:rsidP="002D3963">
            <w:pPr>
              <w:pStyle w:val="NormalWeb"/>
              <w:jc w:val="center"/>
              <w:rPr>
                <w:sz w:val="18"/>
                <w:szCs w:val="18"/>
              </w:rPr>
            </w:pPr>
            <w:r w:rsidRPr="00717195">
              <w:rPr>
                <w:sz w:val="18"/>
                <w:szCs w:val="18"/>
              </w:rPr>
              <w:t>(6.3)</w:t>
            </w:r>
          </w:p>
        </w:tc>
        <w:tc>
          <w:tcPr>
            <w:tcW w:w="1134" w:type="dxa"/>
            <w:hideMark/>
          </w:tcPr>
          <w:p w14:paraId="43B348AC" w14:textId="77777777" w:rsidR="001832A0" w:rsidRPr="00717195" w:rsidRDefault="001832A0" w:rsidP="002D3963">
            <w:pPr>
              <w:pStyle w:val="NormalWeb"/>
              <w:jc w:val="center"/>
              <w:rPr>
                <w:sz w:val="18"/>
                <w:szCs w:val="18"/>
              </w:rPr>
            </w:pPr>
            <w:r w:rsidRPr="00717195">
              <w:rPr>
                <w:sz w:val="18"/>
                <w:szCs w:val="18"/>
              </w:rPr>
              <w:t>8</w:t>
            </w:r>
          </w:p>
        </w:tc>
        <w:tc>
          <w:tcPr>
            <w:tcW w:w="1225" w:type="dxa"/>
            <w:hideMark/>
          </w:tcPr>
          <w:p w14:paraId="4FF7C853" w14:textId="77777777" w:rsidR="001832A0" w:rsidRPr="00717195" w:rsidRDefault="001832A0" w:rsidP="002D3963">
            <w:pPr>
              <w:pStyle w:val="NormalWeb"/>
              <w:jc w:val="center"/>
              <w:rPr>
                <w:sz w:val="18"/>
                <w:szCs w:val="18"/>
              </w:rPr>
            </w:pPr>
            <w:r w:rsidRPr="00717195">
              <w:rPr>
                <w:sz w:val="18"/>
                <w:szCs w:val="18"/>
              </w:rPr>
              <w:t>(16.7)</w:t>
            </w:r>
          </w:p>
        </w:tc>
        <w:tc>
          <w:tcPr>
            <w:tcW w:w="1326" w:type="dxa"/>
            <w:hideMark/>
          </w:tcPr>
          <w:p w14:paraId="6FCCE9D2" w14:textId="77777777" w:rsidR="001832A0" w:rsidRPr="00717195" w:rsidRDefault="001832A0" w:rsidP="002D3963">
            <w:pPr>
              <w:pStyle w:val="NormalWeb"/>
              <w:jc w:val="center"/>
              <w:rPr>
                <w:sz w:val="18"/>
                <w:szCs w:val="18"/>
              </w:rPr>
            </w:pPr>
            <w:r w:rsidRPr="00717195">
              <w:rPr>
                <w:sz w:val="18"/>
                <w:szCs w:val="18"/>
              </w:rPr>
              <w:t>29</w:t>
            </w:r>
          </w:p>
        </w:tc>
        <w:tc>
          <w:tcPr>
            <w:tcW w:w="1418" w:type="dxa"/>
            <w:hideMark/>
          </w:tcPr>
          <w:p w14:paraId="23331D0B" w14:textId="77777777" w:rsidR="001832A0" w:rsidRPr="00717195" w:rsidRDefault="001832A0" w:rsidP="002D3963">
            <w:pPr>
              <w:pStyle w:val="NormalWeb"/>
              <w:jc w:val="center"/>
              <w:rPr>
                <w:sz w:val="18"/>
                <w:szCs w:val="18"/>
              </w:rPr>
            </w:pPr>
            <w:r w:rsidRPr="00717195">
              <w:rPr>
                <w:sz w:val="18"/>
                <w:szCs w:val="18"/>
              </w:rPr>
              <w:t>(60.4)</w:t>
            </w:r>
          </w:p>
        </w:tc>
        <w:tc>
          <w:tcPr>
            <w:tcW w:w="1275" w:type="dxa"/>
            <w:hideMark/>
          </w:tcPr>
          <w:p w14:paraId="7AEDFD4B" w14:textId="77777777" w:rsidR="001832A0" w:rsidRPr="00717195" w:rsidRDefault="001832A0" w:rsidP="002D3963">
            <w:pPr>
              <w:pStyle w:val="NormalWeb"/>
              <w:jc w:val="center"/>
              <w:rPr>
                <w:sz w:val="18"/>
                <w:szCs w:val="18"/>
              </w:rPr>
            </w:pPr>
            <w:r w:rsidRPr="00717195">
              <w:rPr>
                <w:sz w:val="18"/>
                <w:szCs w:val="18"/>
              </w:rPr>
              <w:t>19</w:t>
            </w:r>
          </w:p>
        </w:tc>
        <w:tc>
          <w:tcPr>
            <w:tcW w:w="1307" w:type="dxa"/>
            <w:hideMark/>
          </w:tcPr>
          <w:p w14:paraId="171B1F55" w14:textId="77777777" w:rsidR="001832A0" w:rsidRPr="00717195" w:rsidRDefault="001832A0" w:rsidP="002D3963">
            <w:pPr>
              <w:pStyle w:val="NormalWeb"/>
              <w:jc w:val="center"/>
              <w:rPr>
                <w:sz w:val="18"/>
                <w:szCs w:val="18"/>
              </w:rPr>
            </w:pPr>
            <w:r w:rsidRPr="00717195">
              <w:rPr>
                <w:sz w:val="18"/>
                <w:szCs w:val="18"/>
              </w:rPr>
              <w:t>(39.6)</w:t>
            </w:r>
          </w:p>
        </w:tc>
      </w:tr>
      <w:tr w:rsidR="00DF1085" w:rsidRPr="00717195" w14:paraId="44610E2B"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0834588F" w14:textId="77777777" w:rsidR="001832A0" w:rsidRPr="00717195" w:rsidRDefault="001832A0">
            <w:pPr>
              <w:pStyle w:val="NormalWeb"/>
              <w:rPr>
                <w:sz w:val="18"/>
                <w:szCs w:val="18"/>
              </w:rPr>
            </w:pPr>
            <w:r w:rsidRPr="00717195">
              <w:rPr>
                <w:sz w:val="18"/>
                <w:szCs w:val="18"/>
              </w:rPr>
              <w:t>Presyncope</w:t>
            </w:r>
          </w:p>
        </w:tc>
        <w:tc>
          <w:tcPr>
            <w:tcW w:w="1644" w:type="dxa"/>
            <w:hideMark/>
          </w:tcPr>
          <w:p w14:paraId="5B361095" w14:textId="77777777" w:rsidR="001832A0" w:rsidRPr="00717195" w:rsidRDefault="001832A0" w:rsidP="002D3963">
            <w:pPr>
              <w:pStyle w:val="NormalWeb"/>
              <w:jc w:val="center"/>
              <w:rPr>
                <w:sz w:val="18"/>
                <w:szCs w:val="18"/>
              </w:rPr>
            </w:pPr>
            <w:r w:rsidRPr="00717195">
              <w:rPr>
                <w:sz w:val="18"/>
                <w:szCs w:val="18"/>
              </w:rPr>
              <w:t>45</w:t>
            </w:r>
          </w:p>
        </w:tc>
        <w:tc>
          <w:tcPr>
            <w:tcW w:w="1134" w:type="dxa"/>
            <w:hideMark/>
          </w:tcPr>
          <w:p w14:paraId="44270B88" w14:textId="77777777" w:rsidR="001832A0" w:rsidRPr="00717195" w:rsidRDefault="001832A0" w:rsidP="002D3963">
            <w:pPr>
              <w:pStyle w:val="NormalWeb"/>
              <w:jc w:val="center"/>
              <w:rPr>
                <w:sz w:val="18"/>
                <w:szCs w:val="18"/>
              </w:rPr>
            </w:pPr>
            <w:r w:rsidRPr="00717195">
              <w:rPr>
                <w:sz w:val="18"/>
                <w:szCs w:val="18"/>
              </w:rPr>
              <w:t>29</w:t>
            </w:r>
          </w:p>
        </w:tc>
        <w:tc>
          <w:tcPr>
            <w:tcW w:w="1134" w:type="dxa"/>
            <w:hideMark/>
          </w:tcPr>
          <w:p w14:paraId="28F22D5C" w14:textId="77777777" w:rsidR="001832A0" w:rsidRPr="00717195" w:rsidRDefault="001832A0" w:rsidP="002D3963">
            <w:pPr>
              <w:pStyle w:val="NormalWeb"/>
              <w:jc w:val="center"/>
              <w:rPr>
                <w:sz w:val="18"/>
                <w:szCs w:val="18"/>
              </w:rPr>
            </w:pPr>
            <w:r w:rsidRPr="00717195">
              <w:rPr>
                <w:sz w:val="18"/>
                <w:szCs w:val="18"/>
              </w:rPr>
              <w:t>(64.4)</w:t>
            </w:r>
          </w:p>
        </w:tc>
        <w:tc>
          <w:tcPr>
            <w:tcW w:w="1134" w:type="dxa"/>
            <w:hideMark/>
          </w:tcPr>
          <w:p w14:paraId="6DC2EACD" w14:textId="77777777" w:rsidR="001832A0" w:rsidRPr="00717195" w:rsidRDefault="001832A0" w:rsidP="002D3963">
            <w:pPr>
              <w:pStyle w:val="NormalWeb"/>
              <w:jc w:val="center"/>
              <w:rPr>
                <w:sz w:val="18"/>
                <w:szCs w:val="18"/>
              </w:rPr>
            </w:pPr>
            <w:r w:rsidRPr="00717195">
              <w:rPr>
                <w:sz w:val="18"/>
                <w:szCs w:val="18"/>
              </w:rPr>
              <w:t>5</w:t>
            </w:r>
          </w:p>
        </w:tc>
        <w:tc>
          <w:tcPr>
            <w:tcW w:w="1225" w:type="dxa"/>
            <w:hideMark/>
          </w:tcPr>
          <w:p w14:paraId="69B6A624" w14:textId="77777777" w:rsidR="001832A0" w:rsidRPr="00717195" w:rsidRDefault="001832A0" w:rsidP="002D3963">
            <w:pPr>
              <w:pStyle w:val="NormalWeb"/>
              <w:jc w:val="center"/>
              <w:rPr>
                <w:sz w:val="18"/>
                <w:szCs w:val="18"/>
              </w:rPr>
            </w:pPr>
            <w:r w:rsidRPr="00717195">
              <w:rPr>
                <w:sz w:val="18"/>
                <w:szCs w:val="18"/>
              </w:rPr>
              <w:t>(11.1)</w:t>
            </w:r>
          </w:p>
        </w:tc>
        <w:tc>
          <w:tcPr>
            <w:tcW w:w="1326" w:type="dxa"/>
            <w:hideMark/>
          </w:tcPr>
          <w:p w14:paraId="1F10B408" w14:textId="77777777" w:rsidR="001832A0" w:rsidRPr="00717195" w:rsidRDefault="001832A0" w:rsidP="002D3963">
            <w:pPr>
              <w:pStyle w:val="NormalWeb"/>
              <w:jc w:val="center"/>
              <w:rPr>
                <w:sz w:val="18"/>
                <w:szCs w:val="18"/>
              </w:rPr>
            </w:pPr>
            <w:r w:rsidRPr="00717195">
              <w:rPr>
                <w:sz w:val="18"/>
                <w:szCs w:val="18"/>
              </w:rPr>
              <w:t>19</w:t>
            </w:r>
          </w:p>
        </w:tc>
        <w:tc>
          <w:tcPr>
            <w:tcW w:w="1418" w:type="dxa"/>
            <w:hideMark/>
          </w:tcPr>
          <w:p w14:paraId="5ED76189" w14:textId="77777777" w:rsidR="001832A0" w:rsidRPr="00717195" w:rsidRDefault="001832A0" w:rsidP="002D3963">
            <w:pPr>
              <w:pStyle w:val="NormalWeb"/>
              <w:jc w:val="center"/>
              <w:rPr>
                <w:sz w:val="18"/>
                <w:szCs w:val="18"/>
              </w:rPr>
            </w:pPr>
            <w:r w:rsidRPr="00717195">
              <w:rPr>
                <w:sz w:val="18"/>
                <w:szCs w:val="18"/>
              </w:rPr>
              <w:t>(42.2)</w:t>
            </w:r>
          </w:p>
        </w:tc>
        <w:tc>
          <w:tcPr>
            <w:tcW w:w="1275" w:type="dxa"/>
            <w:hideMark/>
          </w:tcPr>
          <w:p w14:paraId="07C59B51" w14:textId="77777777" w:rsidR="001832A0" w:rsidRPr="00717195" w:rsidRDefault="001832A0" w:rsidP="002D3963">
            <w:pPr>
              <w:pStyle w:val="NormalWeb"/>
              <w:jc w:val="center"/>
              <w:rPr>
                <w:sz w:val="18"/>
                <w:szCs w:val="18"/>
              </w:rPr>
            </w:pPr>
            <w:r w:rsidRPr="00717195">
              <w:rPr>
                <w:sz w:val="18"/>
                <w:szCs w:val="18"/>
              </w:rPr>
              <w:t>25</w:t>
            </w:r>
          </w:p>
        </w:tc>
        <w:tc>
          <w:tcPr>
            <w:tcW w:w="1307" w:type="dxa"/>
            <w:hideMark/>
          </w:tcPr>
          <w:p w14:paraId="42E41E09" w14:textId="77777777" w:rsidR="001832A0" w:rsidRPr="00717195" w:rsidRDefault="001832A0" w:rsidP="002D3963">
            <w:pPr>
              <w:pStyle w:val="NormalWeb"/>
              <w:jc w:val="center"/>
              <w:rPr>
                <w:sz w:val="18"/>
                <w:szCs w:val="18"/>
              </w:rPr>
            </w:pPr>
            <w:r w:rsidRPr="00717195">
              <w:rPr>
                <w:sz w:val="18"/>
                <w:szCs w:val="18"/>
              </w:rPr>
              <w:t>(55.6)</w:t>
            </w:r>
          </w:p>
        </w:tc>
      </w:tr>
      <w:tr w:rsidR="00427EF4" w:rsidRPr="00717195" w14:paraId="2BE9E814" w14:textId="77777777" w:rsidTr="00C25476">
        <w:tc>
          <w:tcPr>
            <w:tcW w:w="0" w:type="auto"/>
            <w:hideMark/>
          </w:tcPr>
          <w:p w14:paraId="5A696BB9" w14:textId="77777777" w:rsidR="001832A0" w:rsidRPr="00717195" w:rsidRDefault="001832A0">
            <w:pPr>
              <w:pStyle w:val="NormalWeb"/>
              <w:rPr>
                <w:sz w:val="18"/>
                <w:szCs w:val="18"/>
              </w:rPr>
            </w:pPr>
            <w:r w:rsidRPr="00717195">
              <w:rPr>
                <w:sz w:val="18"/>
                <w:szCs w:val="18"/>
              </w:rPr>
              <w:t>Anaphylactic reaction</w:t>
            </w:r>
          </w:p>
        </w:tc>
        <w:tc>
          <w:tcPr>
            <w:tcW w:w="1644" w:type="dxa"/>
            <w:hideMark/>
          </w:tcPr>
          <w:p w14:paraId="19568BD3" w14:textId="77777777" w:rsidR="001832A0" w:rsidRPr="00717195" w:rsidRDefault="001832A0" w:rsidP="002D3963">
            <w:pPr>
              <w:pStyle w:val="NormalWeb"/>
              <w:jc w:val="center"/>
              <w:rPr>
                <w:sz w:val="18"/>
                <w:szCs w:val="18"/>
              </w:rPr>
            </w:pPr>
            <w:r w:rsidRPr="00717195">
              <w:rPr>
                <w:sz w:val="18"/>
                <w:szCs w:val="18"/>
              </w:rPr>
              <w:t>40</w:t>
            </w:r>
          </w:p>
        </w:tc>
        <w:tc>
          <w:tcPr>
            <w:tcW w:w="1134" w:type="dxa"/>
            <w:hideMark/>
          </w:tcPr>
          <w:p w14:paraId="283EDB8B" w14:textId="77777777" w:rsidR="001832A0" w:rsidRPr="00717195" w:rsidRDefault="001832A0" w:rsidP="002D3963">
            <w:pPr>
              <w:pStyle w:val="NormalWeb"/>
              <w:jc w:val="center"/>
              <w:rPr>
                <w:sz w:val="18"/>
                <w:szCs w:val="18"/>
              </w:rPr>
            </w:pPr>
            <w:r w:rsidRPr="00717195">
              <w:rPr>
                <w:sz w:val="18"/>
                <w:szCs w:val="18"/>
              </w:rPr>
              <w:t>29</w:t>
            </w:r>
          </w:p>
        </w:tc>
        <w:tc>
          <w:tcPr>
            <w:tcW w:w="1134" w:type="dxa"/>
            <w:hideMark/>
          </w:tcPr>
          <w:p w14:paraId="0E793EB0" w14:textId="77777777" w:rsidR="001832A0" w:rsidRPr="00717195" w:rsidRDefault="001832A0" w:rsidP="002D3963">
            <w:pPr>
              <w:pStyle w:val="NormalWeb"/>
              <w:jc w:val="center"/>
              <w:rPr>
                <w:sz w:val="18"/>
                <w:szCs w:val="18"/>
              </w:rPr>
            </w:pPr>
            <w:r w:rsidRPr="00717195">
              <w:rPr>
                <w:sz w:val="18"/>
                <w:szCs w:val="18"/>
              </w:rPr>
              <w:t>(72.5)</w:t>
            </w:r>
          </w:p>
        </w:tc>
        <w:tc>
          <w:tcPr>
            <w:tcW w:w="1134" w:type="dxa"/>
            <w:hideMark/>
          </w:tcPr>
          <w:p w14:paraId="5C669B96" w14:textId="77777777" w:rsidR="001832A0" w:rsidRPr="00717195" w:rsidRDefault="001832A0" w:rsidP="002D3963">
            <w:pPr>
              <w:pStyle w:val="NormalWeb"/>
              <w:jc w:val="center"/>
              <w:rPr>
                <w:sz w:val="18"/>
                <w:szCs w:val="18"/>
              </w:rPr>
            </w:pPr>
            <w:r w:rsidRPr="00717195">
              <w:rPr>
                <w:sz w:val="18"/>
                <w:szCs w:val="18"/>
              </w:rPr>
              <w:t>22</w:t>
            </w:r>
          </w:p>
        </w:tc>
        <w:tc>
          <w:tcPr>
            <w:tcW w:w="1225" w:type="dxa"/>
            <w:hideMark/>
          </w:tcPr>
          <w:p w14:paraId="676BA56D" w14:textId="77777777" w:rsidR="001832A0" w:rsidRPr="00717195" w:rsidRDefault="001832A0" w:rsidP="002D3963">
            <w:pPr>
              <w:pStyle w:val="NormalWeb"/>
              <w:jc w:val="center"/>
              <w:rPr>
                <w:sz w:val="18"/>
                <w:szCs w:val="18"/>
              </w:rPr>
            </w:pPr>
            <w:r w:rsidRPr="00717195">
              <w:rPr>
                <w:sz w:val="18"/>
                <w:szCs w:val="18"/>
              </w:rPr>
              <w:t>(55.0)</w:t>
            </w:r>
          </w:p>
        </w:tc>
        <w:tc>
          <w:tcPr>
            <w:tcW w:w="1326" w:type="dxa"/>
            <w:hideMark/>
          </w:tcPr>
          <w:p w14:paraId="27B641EE" w14:textId="77777777" w:rsidR="001832A0" w:rsidRPr="00717195" w:rsidRDefault="001832A0" w:rsidP="002D3963">
            <w:pPr>
              <w:pStyle w:val="NormalWeb"/>
              <w:jc w:val="center"/>
              <w:rPr>
                <w:sz w:val="18"/>
                <w:szCs w:val="18"/>
              </w:rPr>
            </w:pPr>
            <w:r w:rsidRPr="00717195">
              <w:rPr>
                <w:sz w:val="18"/>
                <w:szCs w:val="18"/>
              </w:rPr>
              <w:t>7</w:t>
            </w:r>
          </w:p>
        </w:tc>
        <w:tc>
          <w:tcPr>
            <w:tcW w:w="1418" w:type="dxa"/>
            <w:hideMark/>
          </w:tcPr>
          <w:p w14:paraId="160C208E" w14:textId="77777777" w:rsidR="001832A0" w:rsidRPr="00717195" w:rsidRDefault="001832A0" w:rsidP="002D3963">
            <w:pPr>
              <w:pStyle w:val="NormalWeb"/>
              <w:jc w:val="center"/>
              <w:rPr>
                <w:sz w:val="18"/>
                <w:szCs w:val="18"/>
              </w:rPr>
            </w:pPr>
            <w:r w:rsidRPr="00717195">
              <w:rPr>
                <w:sz w:val="18"/>
                <w:szCs w:val="18"/>
              </w:rPr>
              <w:t>(17.5)</w:t>
            </w:r>
          </w:p>
        </w:tc>
        <w:tc>
          <w:tcPr>
            <w:tcW w:w="1275" w:type="dxa"/>
            <w:hideMark/>
          </w:tcPr>
          <w:p w14:paraId="6A4999EF" w14:textId="77777777" w:rsidR="001832A0" w:rsidRPr="00717195" w:rsidRDefault="001832A0" w:rsidP="002D3963">
            <w:pPr>
              <w:pStyle w:val="NormalWeb"/>
              <w:jc w:val="center"/>
              <w:rPr>
                <w:sz w:val="18"/>
                <w:szCs w:val="18"/>
              </w:rPr>
            </w:pPr>
            <w:r w:rsidRPr="00717195">
              <w:rPr>
                <w:sz w:val="18"/>
                <w:szCs w:val="18"/>
              </w:rPr>
              <w:t>26</w:t>
            </w:r>
          </w:p>
        </w:tc>
        <w:tc>
          <w:tcPr>
            <w:tcW w:w="1307" w:type="dxa"/>
            <w:hideMark/>
          </w:tcPr>
          <w:p w14:paraId="24A3686D" w14:textId="77777777" w:rsidR="001832A0" w:rsidRPr="00717195" w:rsidRDefault="001832A0" w:rsidP="002D3963">
            <w:pPr>
              <w:pStyle w:val="NormalWeb"/>
              <w:jc w:val="center"/>
              <w:rPr>
                <w:sz w:val="18"/>
                <w:szCs w:val="18"/>
              </w:rPr>
            </w:pPr>
            <w:r w:rsidRPr="00717195">
              <w:rPr>
                <w:sz w:val="18"/>
                <w:szCs w:val="18"/>
              </w:rPr>
              <w:t>(65.0)</w:t>
            </w:r>
          </w:p>
        </w:tc>
      </w:tr>
      <w:tr w:rsidR="00DF1085" w:rsidRPr="00717195" w14:paraId="33AE82A5"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47790FDF" w14:textId="77777777" w:rsidR="001832A0" w:rsidRPr="00717195" w:rsidRDefault="001832A0">
            <w:pPr>
              <w:pStyle w:val="NormalWeb"/>
              <w:rPr>
                <w:sz w:val="18"/>
                <w:szCs w:val="18"/>
              </w:rPr>
            </w:pPr>
            <w:r w:rsidRPr="00717195">
              <w:rPr>
                <w:sz w:val="18"/>
                <w:szCs w:val="18"/>
              </w:rPr>
              <w:t>Throat irritation</w:t>
            </w:r>
          </w:p>
        </w:tc>
        <w:tc>
          <w:tcPr>
            <w:tcW w:w="1644" w:type="dxa"/>
            <w:hideMark/>
          </w:tcPr>
          <w:p w14:paraId="0A62B83B" w14:textId="77777777" w:rsidR="001832A0" w:rsidRPr="00717195" w:rsidRDefault="001832A0" w:rsidP="002D3963">
            <w:pPr>
              <w:pStyle w:val="NormalWeb"/>
              <w:jc w:val="center"/>
              <w:rPr>
                <w:sz w:val="18"/>
                <w:szCs w:val="18"/>
              </w:rPr>
            </w:pPr>
            <w:r w:rsidRPr="00717195">
              <w:rPr>
                <w:sz w:val="18"/>
                <w:szCs w:val="18"/>
              </w:rPr>
              <w:t>36</w:t>
            </w:r>
          </w:p>
        </w:tc>
        <w:tc>
          <w:tcPr>
            <w:tcW w:w="1134" w:type="dxa"/>
            <w:hideMark/>
          </w:tcPr>
          <w:p w14:paraId="08425739" w14:textId="77777777" w:rsidR="001832A0" w:rsidRPr="00717195" w:rsidRDefault="001832A0" w:rsidP="002D3963">
            <w:pPr>
              <w:pStyle w:val="NormalWeb"/>
              <w:jc w:val="center"/>
              <w:rPr>
                <w:sz w:val="18"/>
                <w:szCs w:val="18"/>
              </w:rPr>
            </w:pPr>
            <w:r w:rsidRPr="00717195">
              <w:rPr>
                <w:sz w:val="18"/>
                <w:szCs w:val="18"/>
              </w:rPr>
              <w:t>2</w:t>
            </w:r>
          </w:p>
        </w:tc>
        <w:tc>
          <w:tcPr>
            <w:tcW w:w="1134" w:type="dxa"/>
            <w:hideMark/>
          </w:tcPr>
          <w:p w14:paraId="7418EA7D" w14:textId="77777777" w:rsidR="001832A0" w:rsidRPr="00717195" w:rsidRDefault="001832A0" w:rsidP="002D3963">
            <w:pPr>
              <w:pStyle w:val="NormalWeb"/>
              <w:jc w:val="center"/>
              <w:rPr>
                <w:sz w:val="18"/>
                <w:szCs w:val="18"/>
              </w:rPr>
            </w:pPr>
            <w:r w:rsidRPr="00717195">
              <w:rPr>
                <w:sz w:val="18"/>
                <w:szCs w:val="18"/>
              </w:rPr>
              <w:t>(5.6)</w:t>
            </w:r>
          </w:p>
        </w:tc>
        <w:tc>
          <w:tcPr>
            <w:tcW w:w="1134" w:type="dxa"/>
            <w:hideMark/>
          </w:tcPr>
          <w:p w14:paraId="7AE8B3DE" w14:textId="77777777" w:rsidR="001832A0" w:rsidRPr="00717195" w:rsidRDefault="001832A0" w:rsidP="002D3963">
            <w:pPr>
              <w:pStyle w:val="NormalWeb"/>
              <w:jc w:val="center"/>
              <w:rPr>
                <w:sz w:val="18"/>
                <w:szCs w:val="18"/>
              </w:rPr>
            </w:pPr>
            <w:r w:rsidRPr="00717195">
              <w:rPr>
                <w:sz w:val="18"/>
                <w:szCs w:val="18"/>
              </w:rPr>
              <w:t>7</w:t>
            </w:r>
          </w:p>
        </w:tc>
        <w:tc>
          <w:tcPr>
            <w:tcW w:w="1225" w:type="dxa"/>
            <w:hideMark/>
          </w:tcPr>
          <w:p w14:paraId="4C495298" w14:textId="77777777" w:rsidR="001832A0" w:rsidRPr="00717195" w:rsidRDefault="001832A0" w:rsidP="002D3963">
            <w:pPr>
              <w:pStyle w:val="NormalWeb"/>
              <w:jc w:val="center"/>
              <w:rPr>
                <w:sz w:val="18"/>
                <w:szCs w:val="18"/>
              </w:rPr>
            </w:pPr>
            <w:r w:rsidRPr="00717195">
              <w:rPr>
                <w:sz w:val="18"/>
                <w:szCs w:val="18"/>
              </w:rPr>
              <w:t>(19.4)</w:t>
            </w:r>
          </w:p>
        </w:tc>
        <w:tc>
          <w:tcPr>
            <w:tcW w:w="1326" w:type="dxa"/>
            <w:hideMark/>
          </w:tcPr>
          <w:p w14:paraId="33F2704E" w14:textId="77777777" w:rsidR="001832A0" w:rsidRPr="00717195" w:rsidRDefault="001832A0" w:rsidP="002D3963">
            <w:pPr>
              <w:pStyle w:val="NormalWeb"/>
              <w:jc w:val="center"/>
              <w:rPr>
                <w:sz w:val="18"/>
                <w:szCs w:val="18"/>
              </w:rPr>
            </w:pPr>
            <w:r w:rsidRPr="00717195">
              <w:rPr>
                <w:sz w:val="18"/>
                <w:szCs w:val="18"/>
              </w:rPr>
              <w:t>3</w:t>
            </w:r>
          </w:p>
        </w:tc>
        <w:tc>
          <w:tcPr>
            <w:tcW w:w="1418" w:type="dxa"/>
            <w:hideMark/>
          </w:tcPr>
          <w:p w14:paraId="76CB2711" w14:textId="77777777" w:rsidR="001832A0" w:rsidRPr="00717195" w:rsidRDefault="001832A0" w:rsidP="002D3963">
            <w:pPr>
              <w:pStyle w:val="NormalWeb"/>
              <w:jc w:val="center"/>
              <w:rPr>
                <w:sz w:val="18"/>
                <w:szCs w:val="18"/>
              </w:rPr>
            </w:pPr>
            <w:r w:rsidRPr="00717195">
              <w:rPr>
                <w:sz w:val="18"/>
                <w:szCs w:val="18"/>
              </w:rPr>
              <w:t>(8.3)</w:t>
            </w:r>
          </w:p>
        </w:tc>
        <w:tc>
          <w:tcPr>
            <w:tcW w:w="1275" w:type="dxa"/>
            <w:hideMark/>
          </w:tcPr>
          <w:p w14:paraId="6AA6A2FF" w14:textId="77777777" w:rsidR="001832A0" w:rsidRPr="00717195" w:rsidRDefault="001832A0" w:rsidP="002D3963">
            <w:pPr>
              <w:pStyle w:val="NormalWeb"/>
              <w:jc w:val="center"/>
              <w:rPr>
                <w:sz w:val="18"/>
                <w:szCs w:val="18"/>
              </w:rPr>
            </w:pPr>
            <w:r w:rsidRPr="00717195">
              <w:rPr>
                <w:sz w:val="18"/>
                <w:szCs w:val="18"/>
              </w:rPr>
              <w:t>32</w:t>
            </w:r>
          </w:p>
        </w:tc>
        <w:tc>
          <w:tcPr>
            <w:tcW w:w="1307" w:type="dxa"/>
            <w:hideMark/>
          </w:tcPr>
          <w:p w14:paraId="15C7F92A" w14:textId="77777777" w:rsidR="001832A0" w:rsidRPr="00717195" w:rsidRDefault="001832A0" w:rsidP="002D3963">
            <w:pPr>
              <w:pStyle w:val="NormalWeb"/>
              <w:jc w:val="center"/>
              <w:rPr>
                <w:sz w:val="18"/>
                <w:szCs w:val="18"/>
              </w:rPr>
            </w:pPr>
            <w:r w:rsidRPr="00717195">
              <w:rPr>
                <w:sz w:val="18"/>
                <w:szCs w:val="18"/>
              </w:rPr>
              <w:t>(88.9)</w:t>
            </w:r>
          </w:p>
        </w:tc>
      </w:tr>
      <w:tr w:rsidR="00427EF4" w:rsidRPr="00717195" w14:paraId="20179D59" w14:textId="77777777" w:rsidTr="00C25476">
        <w:tc>
          <w:tcPr>
            <w:tcW w:w="0" w:type="auto"/>
            <w:hideMark/>
          </w:tcPr>
          <w:p w14:paraId="48D6CB3C" w14:textId="77777777" w:rsidR="001832A0" w:rsidRPr="00717195" w:rsidRDefault="001832A0">
            <w:pPr>
              <w:pStyle w:val="NormalWeb"/>
              <w:rPr>
                <w:sz w:val="18"/>
                <w:szCs w:val="18"/>
              </w:rPr>
            </w:pPr>
            <w:r w:rsidRPr="00717195">
              <w:rPr>
                <w:sz w:val="18"/>
                <w:szCs w:val="18"/>
              </w:rPr>
              <w:t>Hyperhidrosis</w:t>
            </w:r>
          </w:p>
        </w:tc>
        <w:tc>
          <w:tcPr>
            <w:tcW w:w="1644" w:type="dxa"/>
            <w:hideMark/>
          </w:tcPr>
          <w:p w14:paraId="733F87B9" w14:textId="77777777" w:rsidR="001832A0" w:rsidRPr="00717195" w:rsidRDefault="001832A0" w:rsidP="002D3963">
            <w:pPr>
              <w:pStyle w:val="NormalWeb"/>
              <w:jc w:val="center"/>
              <w:rPr>
                <w:sz w:val="18"/>
                <w:szCs w:val="18"/>
              </w:rPr>
            </w:pPr>
            <w:r w:rsidRPr="00717195">
              <w:rPr>
                <w:sz w:val="18"/>
                <w:szCs w:val="18"/>
              </w:rPr>
              <w:t>32</w:t>
            </w:r>
          </w:p>
        </w:tc>
        <w:tc>
          <w:tcPr>
            <w:tcW w:w="1134" w:type="dxa"/>
            <w:hideMark/>
          </w:tcPr>
          <w:p w14:paraId="6746B69F" w14:textId="77777777" w:rsidR="001832A0" w:rsidRPr="00717195" w:rsidRDefault="001832A0" w:rsidP="002D3963">
            <w:pPr>
              <w:pStyle w:val="NormalWeb"/>
              <w:jc w:val="center"/>
              <w:rPr>
                <w:sz w:val="18"/>
                <w:szCs w:val="18"/>
              </w:rPr>
            </w:pPr>
            <w:r w:rsidRPr="00717195">
              <w:rPr>
                <w:sz w:val="18"/>
                <w:szCs w:val="18"/>
              </w:rPr>
              <w:t>1</w:t>
            </w:r>
          </w:p>
        </w:tc>
        <w:tc>
          <w:tcPr>
            <w:tcW w:w="1134" w:type="dxa"/>
            <w:hideMark/>
          </w:tcPr>
          <w:p w14:paraId="1ED8D9B1" w14:textId="77777777" w:rsidR="001832A0" w:rsidRPr="00717195" w:rsidRDefault="001832A0" w:rsidP="002D3963">
            <w:pPr>
              <w:pStyle w:val="NormalWeb"/>
              <w:jc w:val="center"/>
              <w:rPr>
                <w:sz w:val="18"/>
                <w:szCs w:val="18"/>
              </w:rPr>
            </w:pPr>
            <w:r w:rsidRPr="00717195">
              <w:rPr>
                <w:sz w:val="18"/>
                <w:szCs w:val="18"/>
              </w:rPr>
              <w:t>(3.1)</w:t>
            </w:r>
          </w:p>
        </w:tc>
        <w:tc>
          <w:tcPr>
            <w:tcW w:w="1134" w:type="dxa"/>
            <w:hideMark/>
          </w:tcPr>
          <w:p w14:paraId="00240C4F" w14:textId="77777777" w:rsidR="001832A0" w:rsidRPr="00717195" w:rsidRDefault="001832A0" w:rsidP="002D3963">
            <w:pPr>
              <w:pStyle w:val="NormalWeb"/>
              <w:jc w:val="center"/>
              <w:rPr>
                <w:sz w:val="18"/>
                <w:szCs w:val="18"/>
              </w:rPr>
            </w:pPr>
            <w:r w:rsidRPr="00717195">
              <w:rPr>
                <w:sz w:val="18"/>
                <w:szCs w:val="18"/>
              </w:rPr>
              <w:t>6</w:t>
            </w:r>
          </w:p>
        </w:tc>
        <w:tc>
          <w:tcPr>
            <w:tcW w:w="1225" w:type="dxa"/>
            <w:hideMark/>
          </w:tcPr>
          <w:p w14:paraId="01F8DE3D" w14:textId="77777777" w:rsidR="001832A0" w:rsidRPr="00717195" w:rsidRDefault="001832A0" w:rsidP="002D3963">
            <w:pPr>
              <w:pStyle w:val="NormalWeb"/>
              <w:jc w:val="center"/>
              <w:rPr>
                <w:sz w:val="18"/>
                <w:szCs w:val="18"/>
              </w:rPr>
            </w:pPr>
            <w:r w:rsidRPr="00717195">
              <w:rPr>
                <w:sz w:val="18"/>
                <w:szCs w:val="18"/>
              </w:rPr>
              <w:t>(18.8)</w:t>
            </w:r>
          </w:p>
        </w:tc>
        <w:tc>
          <w:tcPr>
            <w:tcW w:w="1326" w:type="dxa"/>
            <w:hideMark/>
          </w:tcPr>
          <w:p w14:paraId="43726BBB" w14:textId="77777777" w:rsidR="001832A0" w:rsidRPr="00717195" w:rsidRDefault="001832A0" w:rsidP="002D3963">
            <w:pPr>
              <w:pStyle w:val="NormalWeb"/>
              <w:jc w:val="center"/>
              <w:rPr>
                <w:sz w:val="18"/>
                <w:szCs w:val="18"/>
              </w:rPr>
            </w:pPr>
            <w:r w:rsidRPr="00717195">
              <w:rPr>
                <w:sz w:val="18"/>
                <w:szCs w:val="18"/>
              </w:rPr>
              <w:t>5</w:t>
            </w:r>
          </w:p>
        </w:tc>
        <w:tc>
          <w:tcPr>
            <w:tcW w:w="1418" w:type="dxa"/>
            <w:hideMark/>
          </w:tcPr>
          <w:p w14:paraId="179BB52C" w14:textId="77777777" w:rsidR="001832A0" w:rsidRPr="00717195" w:rsidRDefault="001832A0" w:rsidP="002D3963">
            <w:pPr>
              <w:pStyle w:val="NormalWeb"/>
              <w:jc w:val="center"/>
              <w:rPr>
                <w:sz w:val="18"/>
                <w:szCs w:val="18"/>
              </w:rPr>
            </w:pPr>
            <w:r w:rsidRPr="00717195">
              <w:rPr>
                <w:sz w:val="18"/>
                <w:szCs w:val="18"/>
              </w:rPr>
              <w:t>(15.6)</w:t>
            </w:r>
          </w:p>
        </w:tc>
        <w:tc>
          <w:tcPr>
            <w:tcW w:w="1275" w:type="dxa"/>
            <w:hideMark/>
          </w:tcPr>
          <w:p w14:paraId="4B822124" w14:textId="77777777" w:rsidR="001832A0" w:rsidRPr="00717195" w:rsidRDefault="001832A0" w:rsidP="002D3963">
            <w:pPr>
              <w:pStyle w:val="NormalWeb"/>
              <w:jc w:val="center"/>
              <w:rPr>
                <w:sz w:val="18"/>
                <w:szCs w:val="18"/>
              </w:rPr>
            </w:pPr>
            <w:r w:rsidRPr="00717195">
              <w:rPr>
                <w:sz w:val="18"/>
                <w:szCs w:val="18"/>
              </w:rPr>
              <w:t>26</w:t>
            </w:r>
          </w:p>
        </w:tc>
        <w:tc>
          <w:tcPr>
            <w:tcW w:w="1307" w:type="dxa"/>
            <w:hideMark/>
          </w:tcPr>
          <w:p w14:paraId="5A3E38D8" w14:textId="77777777" w:rsidR="001832A0" w:rsidRPr="00717195" w:rsidRDefault="001832A0" w:rsidP="002D3963">
            <w:pPr>
              <w:pStyle w:val="NormalWeb"/>
              <w:jc w:val="center"/>
              <w:rPr>
                <w:sz w:val="18"/>
                <w:szCs w:val="18"/>
              </w:rPr>
            </w:pPr>
            <w:r w:rsidRPr="00717195">
              <w:rPr>
                <w:sz w:val="18"/>
                <w:szCs w:val="18"/>
              </w:rPr>
              <w:t>(81.3)</w:t>
            </w:r>
          </w:p>
        </w:tc>
      </w:tr>
      <w:tr w:rsidR="00DF1085" w:rsidRPr="00717195" w14:paraId="591A60F9"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44FC21DE" w14:textId="77777777" w:rsidR="001832A0" w:rsidRPr="00717195" w:rsidRDefault="001832A0">
            <w:pPr>
              <w:pStyle w:val="NormalWeb"/>
              <w:rPr>
                <w:sz w:val="18"/>
                <w:szCs w:val="18"/>
              </w:rPr>
            </w:pPr>
            <w:r w:rsidRPr="00717195">
              <w:rPr>
                <w:sz w:val="18"/>
                <w:szCs w:val="18"/>
              </w:rPr>
              <w:t>Hypoaesthesia</w:t>
            </w:r>
          </w:p>
        </w:tc>
        <w:tc>
          <w:tcPr>
            <w:tcW w:w="1644" w:type="dxa"/>
            <w:hideMark/>
          </w:tcPr>
          <w:p w14:paraId="17AC26E1" w14:textId="77777777" w:rsidR="001832A0" w:rsidRPr="00717195" w:rsidRDefault="001832A0" w:rsidP="002D3963">
            <w:pPr>
              <w:pStyle w:val="NormalWeb"/>
              <w:jc w:val="center"/>
              <w:rPr>
                <w:sz w:val="18"/>
                <w:szCs w:val="18"/>
              </w:rPr>
            </w:pPr>
            <w:r w:rsidRPr="00717195">
              <w:rPr>
                <w:sz w:val="18"/>
                <w:szCs w:val="18"/>
              </w:rPr>
              <w:t>32</w:t>
            </w:r>
          </w:p>
        </w:tc>
        <w:tc>
          <w:tcPr>
            <w:tcW w:w="1134" w:type="dxa"/>
            <w:hideMark/>
          </w:tcPr>
          <w:p w14:paraId="425C486D" w14:textId="77777777" w:rsidR="001832A0" w:rsidRPr="00717195" w:rsidRDefault="001832A0" w:rsidP="002D3963">
            <w:pPr>
              <w:pStyle w:val="NormalWeb"/>
              <w:jc w:val="center"/>
              <w:rPr>
                <w:sz w:val="18"/>
                <w:szCs w:val="18"/>
              </w:rPr>
            </w:pPr>
            <w:r w:rsidRPr="00717195">
              <w:rPr>
                <w:sz w:val="18"/>
                <w:szCs w:val="18"/>
              </w:rPr>
              <w:t>3</w:t>
            </w:r>
          </w:p>
        </w:tc>
        <w:tc>
          <w:tcPr>
            <w:tcW w:w="1134" w:type="dxa"/>
            <w:hideMark/>
          </w:tcPr>
          <w:p w14:paraId="69534A66" w14:textId="77777777" w:rsidR="001832A0" w:rsidRPr="00717195" w:rsidRDefault="001832A0" w:rsidP="002D3963">
            <w:pPr>
              <w:pStyle w:val="NormalWeb"/>
              <w:jc w:val="center"/>
              <w:rPr>
                <w:sz w:val="18"/>
                <w:szCs w:val="18"/>
              </w:rPr>
            </w:pPr>
            <w:r w:rsidRPr="00717195">
              <w:rPr>
                <w:sz w:val="18"/>
                <w:szCs w:val="18"/>
              </w:rPr>
              <w:t>(9.4)</w:t>
            </w:r>
          </w:p>
        </w:tc>
        <w:tc>
          <w:tcPr>
            <w:tcW w:w="1134" w:type="dxa"/>
            <w:hideMark/>
          </w:tcPr>
          <w:p w14:paraId="3B5A0BDD" w14:textId="77777777" w:rsidR="001832A0" w:rsidRPr="00717195" w:rsidRDefault="001832A0" w:rsidP="002D3963">
            <w:pPr>
              <w:pStyle w:val="NormalWeb"/>
              <w:jc w:val="center"/>
              <w:rPr>
                <w:sz w:val="18"/>
                <w:szCs w:val="18"/>
              </w:rPr>
            </w:pPr>
            <w:r w:rsidRPr="00717195">
              <w:rPr>
                <w:sz w:val="18"/>
                <w:szCs w:val="18"/>
              </w:rPr>
              <w:t>8</w:t>
            </w:r>
          </w:p>
        </w:tc>
        <w:tc>
          <w:tcPr>
            <w:tcW w:w="1225" w:type="dxa"/>
            <w:hideMark/>
          </w:tcPr>
          <w:p w14:paraId="0885EAD7" w14:textId="77777777" w:rsidR="001832A0" w:rsidRPr="00717195" w:rsidRDefault="001832A0" w:rsidP="002D3963">
            <w:pPr>
              <w:pStyle w:val="NormalWeb"/>
              <w:jc w:val="center"/>
              <w:rPr>
                <w:sz w:val="18"/>
                <w:szCs w:val="18"/>
              </w:rPr>
            </w:pPr>
            <w:r w:rsidRPr="00717195">
              <w:rPr>
                <w:sz w:val="18"/>
                <w:szCs w:val="18"/>
              </w:rPr>
              <w:t>(25.0)</w:t>
            </w:r>
          </w:p>
        </w:tc>
        <w:tc>
          <w:tcPr>
            <w:tcW w:w="1326" w:type="dxa"/>
            <w:hideMark/>
          </w:tcPr>
          <w:p w14:paraId="148EED82" w14:textId="77777777" w:rsidR="001832A0" w:rsidRPr="00717195" w:rsidRDefault="001832A0" w:rsidP="002D3963">
            <w:pPr>
              <w:pStyle w:val="NormalWeb"/>
              <w:jc w:val="center"/>
              <w:rPr>
                <w:sz w:val="18"/>
                <w:szCs w:val="18"/>
              </w:rPr>
            </w:pPr>
            <w:r w:rsidRPr="00717195">
              <w:rPr>
                <w:sz w:val="18"/>
                <w:szCs w:val="18"/>
              </w:rPr>
              <w:t>1</w:t>
            </w:r>
          </w:p>
        </w:tc>
        <w:tc>
          <w:tcPr>
            <w:tcW w:w="1418" w:type="dxa"/>
            <w:hideMark/>
          </w:tcPr>
          <w:p w14:paraId="4A3A5EEE" w14:textId="77777777" w:rsidR="001832A0" w:rsidRPr="00717195" w:rsidRDefault="001832A0" w:rsidP="002D3963">
            <w:pPr>
              <w:pStyle w:val="NormalWeb"/>
              <w:jc w:val="center"/>
              <w:rPr>
                <w:sz w:val="18"/>
                <w:szCs w:val="18"/>
              </w:rPr>
            </w:pPr>
            <w:r w:rsidRPr="00717195">
              <w:rPr>
                <w:sz w:val="18"/>
                <w:szCs w:val="18"/>
              </w:rPr>
              <w:t>(3.1)</w:t>
            </w:r>
          </w:p>
        </w:tc>
        <w:tc>
          <w:tcPr>
            <w:tcW w:w="1275" w:type="dxa"/>
            <w:hideMark/>
          </w:tcPr>
          <w:p w14:paraId="3C58ADF9" w14:textId="77777777" w:rsidR="001832A0" w:rsidRPr="00717195" w:rsidRDefault="001832A0" w:rsidP="002D3963">
            <w:pPr>
              <w:pStyle w:val="NormalWeb"/>
              <w:jc w:val="center"/>
              <w:rPr>
                <w:sz w:val="18"/>
                <w:szCs w:val="18"/>
              </w:rPr>
            </w:pPr>
            <w:r w:rsidRPr="00717195">
              <w:rPr>
                <w:sz w:val="18"/>
                <w:szCs w:val="18"/>
              </w:rPr>
              <w:t>30</w:t>
            </w:r>
          </w:p>
        </w:tc>
        <w:tc>
          <w:tcPr>
            <w:tcW w:w="1307" w:type="dxa"/>
            <w:hideMark/>
          </w:tcPr>
          <w:p w14:paraId="3116F74F" w14:textId="77777777" w:rsidR="001832A0" w:rsidRPr="00717195" w:rsidRDefault="001832A0" w:rsidP="002D3963">
            <w:pPr>
              <w:pStyle w:val="NormalWeb"/>
              <w:jc w:val="center"/>
              <w:rPr>
                <w:sz w:val="18"/>
                <w:szCs w:val="18"/>
              </w:rPr>
            </w:pPr>
            <w:r w:rsidRPr="00717195">
              <w:rPr>
                <w:sz w:val="18"/>
                <w:szCs w:val="18"/>
              </w:rPr>
              <w:t>(93.8)</w:t>
            </w:r>
          </w:p>
        </w:tc>
      </w:tr>
      <w:tr w:rsidR="00427EF4" w:rsidRPr="00717195" w14:paraId="18920D54" w14:textId="77777777" w:rsidTr="00C25476">
        <w:tc>
          <w:tcPr>
            <w:tcW w:w="0" w:type="auto"/>
            <w:hideMark/>
          </w:tcPr>
          <w:p w14:paraId="6407110A" w14:textId="77777777" w:rsidR="001832A0" w:rsidRPr="00717195" w:rsidRDefault="001832A0">
            <w:pPr>
              <w:pStyle w:val="NormalWeb"/>
              <w:rPr>
                <w:sz w:val="18"/>
                <w:szCs w:val="18"/>
              </w:rPr>
            </w:pPr>
            <w:r w:rsidRPr="00717195">
              <w:rPr>
                <w:sz w:val="18"/>
                <w:szCs w:val="18"/>
              </w:rPr>
              <w:t>Asthenia</w:t>
            </w:r>
          </w:p>
        </w:tc>
        <w:tc>
          <w:tcPr>
            <w:tcW w:w="1644" w:type="dxa"/>
            <w:hideMark/>
          </w:tcPr>
          <w:p w14:paraId="7E258BA3" w14:textId="77777777" w:rsidR="001832A0" w:rsidRPr="00717195" w:rsidRDefault="001832A0" w:rsidP="002D3963">
            <w:pPr>
              <w:pStyle w:val="NormalWeb"/>
              <w:jc w:val="center"/>
              <w:rPr>
                <w:sz w:val="18"/>
                <w:szCs w:val="18"/>
              </w:rPr>
            </w:pPr>
            <w:r w:rsidRPr="00717195">
              <w:rPr>
                <w:sz w:val="18"/>
                <w:szCs w:val="18"/>
              </w:rPr>
              <w:t>32</w:t>
            </w:r>
          </w:p>
        </w:tc>
        <w:tc>
          <w:tcPr>
            <w:tcW w:w="1134" w:type="dxa"/>
            <w:hideMark/>
          </w:tcPr>
          <w:p w14:paraId="016AF8B6" w14:textId="77777777" w:rsidR="001832A0" w:rsidRPr="00717195" w:rsidRDefault="001832A0" w:rsidP="002D3963">
            <w:pPr>
              <w:pStyle w:val="NormalWeb"/>
              <w:jc w:val="center"/>
              <w:rPr>
                <w:sz w:val="18"/>
                <w:szCs w:val="18"/>
              </w:rPr>
            </w:pPr>
            <w:r w:rsidRPr="00717195">
              <w:rPr>
                <w:sz w:val="18"/>
                <w:szCs w:val="18"/>
              </w:rPr>
              <w:t>0</w:t>
            </w:r>
          </w:p>
        </w:tc>
        <w:tc>
          <w:tcPr>
            <w:tcW w:w="1134" w:type="dxa"/>
            <w:hideMark/>
          </w:tcPr>
          <w:p w14:paraId="7FD40168" w14:textId="77777777" w:rsidR="001832A0" w:rsidRPr="00717195" w:rsidRDefault="001832A0" w:rsidP="002D3963">
            <w:pPr>
              <w:pStyle w:val="NormalWeb"/>
              <w:jc w:val="center"/>
              <w:rPr>
                <w:sz w:val="18"/>
                <w:szCs w:val="18"/>
              </w:rPr>
            </w:pPr>
            <w:r w:rsidRPr="00717195">
              <w:rPr>
                <w:sz w:val="18"/>
                <w:szCs w:val="18"/>
              </w:rPr>
              <w:t>(0.0)</w:t>
            </w:r>
          </w:p>
        </w:tc>
        <w:tc>
          <w:tcPr>
            <w:tcW w:w="1134" w:type="dxa"/>
            <w:hideMark/>
          </w:tcPr>
          <w:p w14:paraId="0346E1D5" w14:textId="77777777" w:rsidR="001832A0" w:rsidRPr="00717195" w:rsidRDefault="001832A0" w:rsidP="002D3963">
            <w:pPr>
              <w:pStyle w:val="NormalWeb"/>
              <w:jc w:val="center"/>
              <w:rPr>
                <w:sz w:val="18"/>
                <w:szCs w:val="18"/>
              </w:rPr>
            </w:pPr>
            <w:r w:rsidRPr="00717195">
              <w:rPr>
                <w:sz w:val="18"/>
                <w:szCs w:val="18"/>
              </w:rPr>
              <w:t>4</w:t>
            </w:r>
          </w:p>
        </w:tc>
        <w:tc>
          <w:tcPr>
            <w:tcW w:w="1225" w:type="dxa"/>
            <w:hideMark/>
          </w:tcPr>
          <w:p w14:paraId="5152485F" w14:textId="77777777" w:rsidR="001832A0" w:rsidRPr="00717195" w:rsidRDefault="001832A0" w:rsidP="002D3963">
            <w:pPr>
              <w:pStyle w:val="NormalWeb"/>
              <w:jc w:val="center"/>
              <w:rPr>
                <w:sz w:val="18"/>
                <w:szCs w:val="18"/>
              </w:rPr>
            </w:pPr>
            <w:r w:rsidRPr="00717195">
              <w:rPr>
                <w:sz w:val="18"/>
                <w:szCs w:val="18"/>
              </w:rPr>
              <w:t>(12.5)</w:t>
            </w:r>
          </w:p>
        </w:tc>
        <w:tc>
          <w:tcPr>
            <w:tcW w:w="1326" w:type="dxa"/>
            <w:hideMark/>
          </w:tcPr>
          <w:p w14:paraId="5CAF53DB" w14:textId="77777777" w:rsidR="001832A0" w:rsidRPr="00717195" w:rsidRDefault="001832A0" w:rsidP="002D3963">
            <w:pPr>
              <w:pStyle w:val="NormalWeb"/>
              <w:jc w:val="center"/>
              <w:rPr>
                <w:sz w:val="18"/>
                <w:szCs w:val="18"/>
              </w:rPr>
            </w:pPr>
            <w:r w:rsidRPr="00717195">
              <w:rPr>
                <w:sz w:val="18"/>
                <w:szCs w:val="18"/>
              </w:rPr>
              <w:t>2</w:t>
            </w:r>
          </w:p>
        </w:tc>
        <w:tc>
          <w:tcPr>
            <w:tcW w:w="1418" w:type="dxa"/>
            <w:hideMark/>
          </w:tcPr>
          <w:p w14:paraId="4D30E641" w14:textId="77777777" w:rsidR="001832A0" w:rsidRPr="00717195" w:rsidRDefault="001832A0" w:rsidP="002D3963">
            <w:pPr>
              <w:pStyle w:val="NormalWeb"/>
              <w:jc w:val="center"/>
              <w:rPr>
                <w:sz w:val="18"/>
                <w:szCs w:val="18"/>
              </w:rPr>
            </w:pPr>
            <w:r w:rsidRPr="00717195">
              <w:rPr>
                <w:sz w:val="18"/>
                <w:szCs w:val="18"/>
              </w:rPr>
              <w:t>(6.3)</w:t>
            </w:r>
          </w:p>
        </w:tc>
        <w:tc>
          <w:tcPr>
            <w:tcW w:w="1275" w:type="dxa"/>
            <w:hideMark/>
          </w:tcPr>
          <w:p w14:paraId="67FE2274" w14:textId="77777777" w:rsidR="001832A0" w:rsidRPr="00717195" w:rsidRDefault="001832A0" w:rsidP="002D3963">
            <w:pPr>
              <w:pStyle w:val="NormalWeb"/>
              <w:jc w:val="center"/>
              <w:rPr>
                <w:sz w:val="18"/>
                <w:szCs w:val="18"/>
              </w:rPr>
            </w:pPr>
            <w:r w:rsidRPr="00717195">
              <w:rPr>
                <w:sz w:val="18"/>
                <w:szCs w:val="18"/>
              </w:rPr>
              <w:t>30</w:t>
            </w:r>
          </w:p>
        </w:tc>
        <w:tc>
          <w:tcPr>
            <w:tcW w:w="1307" w:type="dxa"/>
            <w:hideMark/>
          </w:tcPr>
          <w:p w14:paraId="1B7CA9FD" w14:textId="77777777" w:rsidR="001832A0" w:rsidRPr="00717195" w:rsidRDefault="001832A0" w:rsidP="002D3963">
            <w:pPr>
              <w:pStyle w:val="NormalWeb"/>
              <w:jc w:val="center"/>
              <w:rPr>
                <w:sz w:val="18"/>
                <w:szCs w:val="18"/>
              </w:rPr>
            </w:pPr>
            <w:r w:rsidRPr="00717195">
              <w:rPr>
                <w:sz w:val="18"/>
                <w:szCs w:val="18"/>
              </w:rPr>
              <w:t>(93.8)</w:t>
            </w:r>
          </w:p>
        </w:tc>
      </w:tr>
      <w:tr w:rsidR="00DF1085" w:rsidRPr="00717195" w14:paraId="53CF34FB"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36160EC2" w14:textId="77777777" w:rsidR="001832A0" w:rsidRPr="00717195" w:rsidRDefault="001832A0">
            <w:pPr>
              <w:pStyle w:val="NormalWeb"/>
              <w:rPr>
                <w:sz w:val="18"/>
                <w:szCs w:val="18"/>
              </w:rPr>
            </w:pPr>
            <w:r w:rsidRPr="00717195">
              <w:rPr>
                <w:sz w:val="18"/>
                <w:szCs w:val="18"/>
              </w:rPr>
              <w:t>Rhinorrhoea</w:t>
            </w:r>
          </w:p>
        </w:tc>
        <w:tc>
          <w:tcPr>
            <w:tcW w:w="1644" w:type="dxa"/>
            <w:hideMark/>
          </w:tcPr>
          <w:p w14:paraId="0740E7A5" w14:textId="77777777" w:rsidR="001832A0" w:rsidRPr="00717195" w:rsidRDefault="001832A0" w:rsidP="002D3963">
            <w:pPr>
              <w:pStyle w:val="NormalWeb"/>
              <w:jc w:val="center"/>
              <w:rPr>
                <w:sz w:val="18"/>
                <w:szCs w:val="18"/>
              </w:rPr>
            </w:pPr>
            <w:r w:rsidRPr="00717195">
              <w:rPr>
                <w:sz w:val="18"/>
                <w:szCs w:val="18"/>
              </w:rPr>
              <w:t>31</w:t>
            </w:r>
          </w:p>
        </w:tc>
        <w:tc>
          <w:tcPr>
            <w:tcW w:w="1134" w:type="dxa"/>
            <w:hideMark/>
          </w:tcPr>
          <w:p w14:paraId="60035D23" w14:textId="77777777" w:rsidR="001832A0" w:rsidRPr="00717195" w:rsidRDefault="001832A0" w:rsidP="002D3963">
            <w:pPr>
              <w:pStyle w:val="NormalWeb"/>
              <w:jc w:val="center"/>
              <w:rPr>
                <w:sz w:val="18"/>
                <w:szCs w:val="18"/>
              </w:rPr>
            </w:pPr>
            <w:r w:rsidRPr="00717195">
              <w:rPr>
                <w:sz w:val="18"/>
                <w:szCs w:val="18"/>
              </w:rPr>
              <w:t>0</w:t>
            </w:r>
          </w:p>
        </w:tc>
        <w:tc>
          <w:tcPr>
            <w:tcW w:w="1134" w:type="dxa"/>
            <w:hideMark/>
          </w:tcPr>
          <w:p w14:paraId="7C18EA64" w14:textId="77777777" w:rsidR="001832A0" w:rsidRPr="00717195" w:rsidRDefault="001832A0" w:rsidP="002D3963">
            <w:pPr>
              <w:pStyle w:val="NormalWeb"/>
              <w:jc w:val="center"/>
              <w:rPr>
                <w:sz w:val="18"/>
                <w:szCs w:val="18"/>
              </w:rPr>
            </w:pPr>
            <w:r w:rsidRPr="00717195">
              <w:rPr>
                <w:sz w:val="18"/>
                <w:szCs w:val="18"/>
              </w:rPr>
              <w:t>(0.0)</w:t>
            </w:r>
          </w:p>
        </w:tc>
        <w:tc>
          <w:tcPr>
            <w:tcW w:w="1134" w:type="dxa"/>
            <w:hideMark/>
          </w:tcPr>
          <w:p w14:paraId="62E506FF" w14:textId="77777777" w:rsidR="001832A0" w:rsidRPr="00717195" w:rsidRDefault="001832A0" w:rsidP="002D3963">
            <w:pPr>
              <w:pStyle w:val="NormalWeb"/>
              <w:jc w:val="center"/>
              <w:rPr>
                <w:sz w:val="18"/>
                <w:szCs w:val="18"/>
              </w:rPr>
            </w:pPr>
            <w:r w:rsidRPr="00717195">
              <w:rPr>
                <w:sz w:val="18"/>
                <w:szCs w:val="18"/>
              </w:rPr>
              <w:t>4</w:t>
            </w:r>
          </w:p>
        </w:tc>
        <w:tc>
          <w:tcPr>
            <w:tcW w:w="1225" w:type="dxa"/>
            <w:hideMark/>
          </w:tcPr>
          <w:p w14:paraId="074A4A78" w14:textId="77777777" w:rsidR="001832A0" w:rsidRPr="00717195" w:rsidRDefault="001832A0" w:rsidP="002D3963">
            <w:pPr>
              <w:pStyle w:val="NormalWeb"/>
              <w:jc w:val="center"/>
              <w:rPr>
                <w:sz w:val="18"/>
                <w:szCs w:val="18"/>
              </w:rPr>
            </w:pPr>
            <w:r w:rsidRPr="00717195">
              <w:rPr>
                <w:sz w:val="18"/>
                <w:szCs w:val="18"/>
              </w:rPr>
              <w:t>(12.9)</w:t>
            </w:r>
          </w:p>
        </w:tc>
        <w:tc>
          <w:tcPr>
            <w:tcW w:w="1326" w:type="dxa"/>
            <w:hideMark/>
          </w:tcPr>
          <w:p w14:paraId="48178B4D" w14:textId="77777777" w:rsidR="001832A0" w:rsidRPr="00717195" w:rsidRDefault="001832A0" w:rsidP="002D3963">
            <w:pPr>
              <w:pStyle w:val="NormalWeb"/>
              <w:jc w:val="center"/>
              <w:rPr>
                <w:sz w:val="18"/>
                <w:szCs w:val="18"/>
              </w:rPr>
            </w:pPr>
            <w:r w:rsidRPr="00717195">
              <w:rPr>
                <w:sz w:val="18"/>
                <w:szCs w:val="18"/>
              </w:rPr>
              <w:t>17</w:t>
            </w:r>
          </w:p>
        </w:tc>
        <w:tc>
          <w:tcPr>
            <w:tcW w:w="1418" w:type="dxa"/>
            <w:hideMark/>
          </w:tcPr>
          <w:p w14:paraId="4A47DB2B" w14:textId="77777777" w:rsidR="001832A0" w:rsidRPr="00717195" w:rsidRDefault="001832A0" w:rsidP="002D3963">
            <w:pPr>
              <w:pStyle w:val="NormalWeb"/>
              <w:jc w:val="center"/>
              <w:rPr>
                <w:sz w:val="18"/>
                <w:szCs w:val="18"/>
              </w:rPr>
            </w:pPr>
            <w:r w:rsidRPr="00717195">
              <w:rPr>
                <w:sz w:val="18"/>
                <w:szCs w:val="18"/>
              </w:rPr>
              <w:t>(54.8)</w:t>
            </w:r>
          </w:p>
        </w:tc>
        <w:tc>
          <w:tcPr>
            <w:tcW w:w="1275" w:type="dxa"/>
            <w:hideMark/>
          </w:tcPr>
          <w:p w14:paraId="41AFE46D" w14:textId="77777777" w:rsidR="001832A0" w:rsidRPr="00717195" w:rsidRDefault="001832A0" w:rsidP="002D3963">
            <w:pPr>
              <w:pStyle w:val="NormalWeb"/>
              <w:jc w:val="center"/>
              <w:rPr>
                <w:sz w:val="18"/>
                <w:szCs w:val="18"/>
              </w:rPr>
            </w:pPr>
            <w:r w:rsidRPr="00717195">
              <w:rPr>
                <w:sz w:val="18"/>
                <w:szCs w:val="18"/>
              </w:rPr>
              <w:t>13</w:t>
            </w:r>
          </w:p>
        </w:tc>
        <w:tc>
          <w:tcPr>
            <w:tcW w:w="1307" w:type="dxa"/>
            <w:hideMark/>
          </w:tcPr>
          <w:p w14:paraId="13DB0157" w14:textId="77777777" w:rsidR="001832A0" w:rsidRPr="00717195" w:rsidRDefault="001832A0" w:rsidP="002D3963">
            <w:pPr>
              <w:pStyle w:val="NormalWeb"/>
              <w:jc w:val="center"/>
              <w:rPr>
                <w:sz w:val="18"/>
                <w:szCs w:val="18"/>
              </w:rPr>
            </w:pPr>
            <w:r w:rsidRPr="00717195">
              <w:rPr>
                <w:sz w:val="18"/>
                <w:szCs w:val="18"/>
              </w:rPr>
              <w:t>(41.9)</w:t>
            </w:r>
          </w:p>
        </w:tc>
      </w:tr>
      <w:tr w:rsidR="00427EF4" w:rsidRPr="00717195" w14:paraId="4BDFDFA0" w14:textId="77777777" w:rsidTr="00C25476">
        <w:tc>
          <w:tcPr>
            <w:tcW w:w="0" w:type="auto"/>
            <w:hideMark/>
          </w:tcPr>
          <w:p w14:paraId="4F305ADF" w14:textId="77777777" w:rsidR="001832A0" w:rsidRPr="00717195" w:rsidRDefault="001832A0">
            <w:pPr>
              <w:pStyle w:val="NormalWeb"/>
              <w:rPr>
                <w:sz w:val="18"/>
                <w:szCs w:val="18"/>
              </w:rPr>
            </w:pPr>
            <w:r w:rsidRPr="00717195">
              <w:rPr>
                <w:sz w:val="18"/>
                <w:szCs w:val="18"/>
              </w:rPr>
              <w:t>Oropharyngeal pain</w:t>
            </w:r>
          </w:p>
        </w:tc>
        <w:tc>
          <w:tcPr>
            <w:tcW w:w="1644" w:type="dxa"/>
            <w:hideMark/>
          </w:tcPr>
          <w:p w14:paraId="0D1B071D" w14:textId="77777777" w:rsidR="001832A0" w:rsidRPr="00717195" w:rsidRDefault="001832A0" w:rsidP="002D3963">
            <w:pPr>
              <w:pStyle w:val="NormalWeb"/>
              <w:jc w:val="center"/>
              <w:rPr>
                <w:sz w:val="18"/>
                <w:szCs w:val="18"/>
              </w:rPr>
            </w:pPr>
            <w:r w:rsidRPr="00717195">
              <w:rPr>
                <w:sz w:val="18"/>
                <w:szCs w:val="18"/>
              </w:rPr>
              <w:t>26</w:t>
            </w:r>
          </w:p>
        </w:tc>
        <w:tc>
          <w:tcPr>
            <w:tcW w:w="1134" w:type="dxa"/>
            <w:hideMark/>
          </w:tcPr>
          <w:p w14:paraId="60EC9ECD" w14:textId="77777777" w:rsidR="001832A0" w:rsidRPr="00717195" w:rsidRDefault="001832A0" w:rsidP="002D3963">
            <w:pPr>
              <w:pStyle w:val="NormalWeb"/>
              <w:jc w:val="center"/>
              <w:rPr>
                <w:sz w:val="18"/>
                <w:szCs w:val="18"/>
              </w:rPr>
            </w:pPr>
            <w:r w:rsidRPr="00717195">
              <w:rPr>
                <w:sz w:val="18"/>
                <w:szCs w:val="18"/>
              </w:rPr>
              <w:t>0</w:t>
            </w:r>
          </w:p>
        </w:tc>
        <w:tc>
          <w:tcPr>
            <w:tcW w:w="1134" w:type="dxa"/>
            <w:hideMark/>
          </w:tcPr>
          <w:p w14:paraId="7095124F" w14:textId="77777777" w:rsidR="001832A0" w:rsidRPr="00717195" w:rsidRDefault="001832A0" w:rsidP="002D3963">
            <w:pPr>
              <w:pStyle w:val="NormalWeb"/>
              <w:jc w:val="center"/>
              <w:rPr>
                <w:sz w:val="18"/>
                <w:szCs w:val="18"/>
              </w:rPr>
            </w:pPr>
            <w:r w:rsidRPr="00717195">
              <w:rPr>
                <w:sz w:val="18"/>
                <w:szCs w:val="18"/>
              </w:rPr>
              <w:t>(0.0)</w:t>
            </w:r>
          </w:p>
        </w:tc>
        <w:tc>
          <w:tcPr>
            <w:tcW w:w="1134" w:type="dxa"/>
            <w:hideMark/>
          </w:tcPr>
          <w:p w14:paraId="21EC59DC" w14:textId="77777777" w:rsidR="001832A0" w:rsidRPr="00717195" w:rsidRDefault="001832A0" w:rsidP="002D3963">
            <w:pPr>
              <w:pStyle w:val="NormalWeb"/>
              <w:jc w:val="center"/>
              <w:rPr>
                <w:sz w:val="18"/>
                <w:szCs w:val="18"/>
              </w:rPr>
            </w:pPr>
            <w:r w:rsidRPr="00717195">
              <w:rPr>
                <w:sz w:val="18"/>
                <w:szCs w:val="18"/>
              </w:rPr>
              <w:t>5</w:t>
            </w:r>
          </w:p>
        </w:tc>
        <w:tc>
          <w:tcPr>
            <w:tcW w:w="1225" w:type="dxa"/>
            <w:hideMark/>
          </w:tcPr>
          <w:p w14:paraId="03401BD3" w14:textId="77777777" w:rsidR="001832A0" w:rsidRPr="00717195" w:rsidRDefault="001832A0" w:rsidP="002D3963">
            <w:pPr>
              <w:pStyle w:val="NormalWeb"/>
              <w:jc w:val="center"/>
              <w:rPr>
                <w:sz w:val="18"/>
                <w:szCs w:val="18"/>
              </w:rPr>
            </w:pPr>
            <w:r w:rsidRPr="00717195">
              <w:rPr>
                <w:sz w:val="18"/>
                <w:szCs w:val="18"/>
              </w:rPr>
              <w:t>(19.2)</w:t>
            </w:r>
          </w:p>
        </w:tc>
        <w:tc>
          <w:tcPr>
            <w:tcW w:w="1326" w:type="dxa"/>
            <w:hideMark/>
          </w:tcPr>
          <w:p w14:paraId="4D782B65" w14:textId="77777777" w:rsidR="001832A0" w:rsidRPr="00717195" w:rsidRDefault="001832A0" w:rsidP="002D3963">
            <w:pPr>
              <w:pStyle w:val="NormalWeb"/>
              <w:jc w:val="center"/>
              <w:rPr>
                <w:sz w:val="18"/>
                <w:szCs w:val="18"/>
              </w:rPr>
            </w:pPr>
            <w:r w:rsidRPr="00717195">
              <w:rPr>
                <w:sz w:val="18"/>
                <w:szCs w:val="18"/>
              </w:rPr>
              <w:t>1</w:t>
            </w:r>
          </w:p>
        </w:tc>
        <w:tc>
          <w:tcPr>
            <w:tcW w:w="1418" w:type="dxa"/>
            <w:hideMark/>
          </w:tcPr>
          <w:p w14:paraId="16258EF3" w14:textId="77777777" w:rsidR="001832A0" w:rsidRPr="00717195" w:rsidRDefault="001832A0" w:rsidP="002D3963">
            <w:pPr>
              <w:pStyle w:val="NormalWeb"/>
              <w:jc w:val="center"/>
              <w:rPr>
                <w:sz w:val="18"/>
                <w:szCs w:val="18"/>
              </w:rPr>
            </w:pPr>
            <w:r w:rsidRPr="00717195">
              <w:rPr>
                <w:sz w:val="18"/>
                <w:szCs w:val="18"/>
              </w:rPr>
              <w:t>(3.8)</w:t>
            </w:r>
          </w:p>
        </w:tc>
        <w:tc>
          <w:tcPr>
            <w:tcW w:w="1275" w:type="dxa"/>
            <w:hideMark/>
          </w:tcPr>
          <w:p w14:paraId="39E9AECF" w14:textId="77777777" w:rsidR="001832A0" w:rsidRPr="00717195" w:rsidRDefault="001832A0" w:rsidP="002D3963">
            <w:pPr>
              <w:pStyle w:val="NormalWeb"/>
              <w:jc w:val="center"/>
              <w:rPr>
                <w:sz w:val="18"/>
                <w:szCs w:val="18"/>
              </w:rPr>
            </w:pPr>
            <w:r w:rsidRPr="00717195">
              <w:rPr>
                <w:sz w:val="18"/>
                <w:szCs w:val="18"/>
              </w:rPr>
              <w:t>25</w:t>
            </w:r>
          </w:p>
        </w:tc>
        <w:tc>
          <w:tcPr>
            <w:tcW w:w="1307" w:type="dxa"/>
            <w:hideMark/>
          </w:tcPr>
          <w:p w14:paraId="54E40D52" w14:textId="77777777" w:rsidR="001832A0" w:rsidRPr="00717195" w:rsidRDefault="001832A0" w:rsidP="002D3963">
            <w:pPr>
              <w:pStyle w:val="NormalWeb"/>
              <w:jc w:val="center"/>
              <w:rPr>
                <w:sz w:val="18"/>
                <w:szCs w:val="18"/>
              </w:rPr>
            </w:pPr>
            <w:r w:rsidRPr="00717195">
              <w:rPr>
                <w:sz w:val="18"/>
                <w:szCs w:val="18"/>
              </w:rPr>
              <w:t>(96.2)</w:t>
            </w:r>
          </w:p>
        </w:tc>
      </w:tr>
      <w:tr w:rsidR="00DF1085" w:rsidRPr="00717195" w14:paraId="1542B834"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6692D8FC" w14:textId="77777777" w:rsidR="001832A0" w:rsidRPr="00717195" w:rsidRDefault="001832A0">
            <w:pPr>
              <w:pStyle w:val="NormalWeb"/>
              <w:rPr>
                <w:sz w:val="18"/>
                <w:szCs w:val="18"/>
              </w:rPr>
            </w:pPr>
            <w:r w:rsidRPr="00717195">
              <w:rPr>
                <w:sz w:val="18"/>
                <w:szCs w:val="18"/>
              </w:rPr>
              <w:t>Apnoea</w:t>
            </w:r>
          </w:p>
        </w:tc>
        <w:tc>
          <w:tcPr>
            <w:tcW w:w="1644" w:type="dxa"/>
            <w:hideMark/>
          </w:tcPr>
          <w:p w14:paraId="2A9B2FEA" w14:textId="77777777" w:rsidR="001832A0" w:rsidRPr="00717195" w:rsidRDefault="001832A0" w:rsidP="002D3963">
            <w:pPr>
              <w:pStyle w:val="NormalWeb"/>
              <w:jc w:val="center"/>
              <w:rPr>
                <w:sz w:val="18"/>
                <w:szCs w:val="18"/>
              </w:rPr>
            </w:pPr>
            <w:r w:rsidRPr="00717195">
              <w:rPr>
                <w:sz w:val="18"/>
                <w:szCs w:val="18"/>
              </w:rPr>
              <w:t>26</w:t>
            </w:r>
          </w:p>
        </w:tc>
        <w:tc>
          <w:tcPr>
            <w:tcW w:w="1134" w:type="dxa"/>
            <w:hideMark/>
          </w:tcPr>
          <w:p w14:paraId="1E89DADC" w14:textId="77777777" w:rsidR="001832A0" w:rsidRPr="00717195" w:rsidRDefault="001832A0" w:rsidP="002D3963">
            <w:pPr>
              <w:pStyle w:val="NormalWeb"/>
              <w:jc w:val="center"/>
              <w:rPr>
                <w:sz w:val="18"/>
                <w:szCs w:val="18"/>
              </w:rPr>
            </w:pPr>
            <w:r w:rsidRPr="00717195">
              <w:rPr>
                <w:sz w:val="18"/>
                <w:szCs w:val="18"/>
              </w:rPr>
              <w:t>10</w:t>
            </w:r>
          </w:p>
        </w:tc>
        <w:tc>
          <w:tcPr>
            <w:tcW w:w="1134" w:type="dxa"/>
            <w:hideMark/>
          </w:tcPr>
          <w:p w14:paraId="299DDBE7" w14:textId="77777777" w:rsidR="001832A0" w:rsidRPr="00717195" w:rsidRDefault="001832A0" w:rsidP="002D3963">
            <w:pPr>
              <w:pStyle w:val="NormalWeb"/>
              <w:jc w:val="center"/>
              <w:rPr>
                <w:sz w:val="18"/>
                <w:szCs w:val="18"/>
              </w:rPr>
            </w:pPr>
            <w:r w:rsidRPr="00717195">
              <w:rPr>
                <w:sz w:val="18"/>
                <w:szCs w:val="18"/>
              </w:rPr>
              <w:t>(38.5)</w:t>
            </w:r>
          </w:p>
        </w:tc>
        <w:tc>
          <w:tcPr>
            <w:tcW w:w="1134" w:type="dxa"/>
            <w:hideMark/>
          </w:tcPr>
          <w:p w14:paraId="2809E651" w14:textId="77777777" w:rsidR="001832A0" w:rsidRPr="00717195" w:rsidRDefault="001832A0" w:rsidP="002D3963">
            <w:pPr>
              <w:pStyle w:val="NormalWeb"/>
              <w:jc w:val="center"/>
              <w:rPr>
                <w:sz w:val="18"/>
                <w:szCs w:val="18"/>
              </w:rPr>
            </w:pPr>
            <w:r w:rsidRPr="00717195">
              <w:rPr>
                <w:sz w:val="18"/>
                <w:szCs w:val="18"/>
              </w:rPr>
              <w:t>11</w:t>
            </w:r>
          </w:p>
        </w:tc>
        <w:tc>
          <w:tcPr>
            <w:tcW w:w="1225" w:type="dxa"/>
            <w:hideMark/>
          </w:tcPr>
          <w:p w14:paraId="1ED56A26" w14:textId="77777777" w:rsidR="001832A0" w:rsidRPr="00717195" w:rsidRDefault="001832A0" w:rsidP="002D3963">
            <w:pPr>
              <w:pStyle w:val="NormalWeb"/>
              <w:jc w:val="center"/>
              <w:rPr>
                <w:sz w:val="18"/>
                <w:szCs w:val="18"/>
              </w:rPr>
            </w:pPr>
            <w:r w:rsidRPr="00717195">
              <w:rPr>
                <w:sz w:val="18"/>
                <w:szCs w:val="18"/>
              </w:rPr>
              <w:t>(42.3)</w:t>
            </w:r>
          </w:p>
        </w:tc>
        <w:tc>
          <w:tcPr>
            <w:tcW w:w="1326" w:type="dxa"/>
            <w:hideMark/>
          </w:tcPr>
          <w:p w14:paraId="7C55FA89" w14:textId="77777777" w:rsidR="001832A0" w:rsidRPr="00717195" w:rsidRDefault="001832A0" w:rsidP="002D3963">
            <w:pPr>
              <w:pStyle w:val="NormalWeb"/>
              <w:jc w:val="center"/>
              <w:rPr>
                <w:sz w:val="18"/>
                <w:szCs w:val="18"/>
              </w:rPr>
            </w:pPr>
            <w:r w:rsidRPr="00717195">
              <w:rPr>
                <w:sz w:val="18"/>
                <w:szCs w:val="18"/>
              </w:rPr>
              <w:t>23</w:t>
            </w:r>
          </w:p>
        </w:tc>
        <w:tc>
          <w:tcPr>
            <w:tcW w:w="1418" w:type="dxa"/>
            <w:hideMark/>
          </w:tcPr>
          <w:p w14:paraId="09794598" w14:textId="77777777" w:rsidR="001832A0" w:rsidRPr="00717195" w:rsidRDefault="001832A0" w:rsidP="002D3963">
            <w:pPr>
              <w:pStyle w:val="NormalWeb"/>
              <w:jc w:val="center"/>
              <w:rPr>
                <w:sz w:val="18"/>
                <w:szCs w:val="18"/>
              </w:rPr>
            </w:pPr>
            <w:r w:rsidRPr="00717195">
              <w:rPr>
                <w:sz w:val="18"/>
                <w:szCs w:val="18"/>
              </w:rPr>
              <w:t>(88.5)</w:t>
            </w:r>
          </w:p>
        </w:tc>
        <w:tc>
          <w:tcPr>
            <w:tcW w:w="1275" w:type="dxa"/>
            <w:hideMark/>
          </w:tcPr>
          <w:p w14:paraId="0C6F9A62" w14:textId="77777777" w:rsidR="001832A0" w:rsidRPr="00717195" w:rsidRDefault="001832A0" w:rsidP="002D3963">
            <w:pPr>
              <w:pStyle w:val="NormalWeb"/>
              <w:jc w:val="center"/>
              <w:rPr>
                <w:sz w:val="18"/>
                <w:szCs w:val="18"/>
              </w:rPr>
            </w:pPr>
            <w:r w:rsidRPr="00717195">
              <w:rPr>
                <w:sz w:val="18"/>
                <w:szCs w:val="18"/>
              </w:rPr>
              <w:t>0</w:t>
            </w:r>
          </w:p>
        </w:tc>
        <w:tc>
          <w:tcPr>
            <w:tcW w:w="1307" w:type="dxa"/>
            <w:hideMark/>
          </w:tcPr>
          <w:p w14:paraId="308263FD" w14:textId="77777777" w:rsidR="001832A0" w:rsidRPr="00717195" w:rsidRDefault="001832A0" w:rsidP="002D3963">
            <w:pPr>
              <w:pStyle w:val="NormalWeb"/>
              <w:jc w:val="center"/>
              <w:rPr>
                <w:sz w:val="18"/>
                <w:szCs w:val="18"/>
              </w:rPr>
            </w:pPr>
            <w:r w:rsidRPr="00717195">
              <w:rPr>
                <w:sz w:val="18"/>
                <w:szCs w:val="18"/>
              </w:rPr>
              <w:t>(0.0)</w:t>
            </w:r>
          </w:p>
        </w:tc>
      </w:tr>
      <w:tr w:rsidR="00427EF4" w:rsidRPr="00717195" w14:paraId="5E62C450" w14:textId="77777777" w:rsidTr="00C25476">
        <w:tc>
          <w:tcPr>
            <w:tcW w:w="0" w:type="auto"/>
            <w:hideMark/>
          </w:tcPr>
          <w:p w14:paraId="3BA16DD2" w14:textId="77777777" w:rsidR="001832A0" w:rsidRPr="00717195" w:rsidRDefault="001832A0">
            <w:pPr>
              <w:pStyle w:val="NormalWeb"/>
              <w:rPr>
                <w:sz w:val="18"/>
                <w:szCs w:val="18"/>
              </w:rPr>
            </w:pPr>
            <w:r w:rsidRPr="00717195">
              <w:rPr>
                <w:sz w:val="18"/>
                <w:szCs w:val="18"/>
              </w:rPr>
              <w:t>Chest discomfort</w:t>
            </w:r>
          </w:p>
        </w:tc>
        <w:tc>
          <w:tcPr>
            <w:tcW w:w="1644" w:type="dxa"/>
            <w:hideMark/>
          </w:tcPr>
          <w:p w14:paraId="3AFEDD58" w14:textId="77777777" w:rsidR="001832A0" w:rsidRPr="00717195" w:rsidRDefault="001832A0" w:rsidP="002D3963">
            <w:pPr>
              <w:pStyle w:val="NormalWeb"/>
              <w:jc w:val="center"/>
              <w:rPr>
                <w:sz w:val="18"/>
                <w:szCs w:val="18"/>
              </w:rPr>
            </w:pPr>
            <w:r w:rsidRPr="00717195">
              <w:rPr>
                <w:sz w:val="18"/>
                <w:szCs w:val="18"/>
              </w:rPr>
              <w:t>25</w:t>
            </w:r>
          </w:p>
        </w:tc>
        <w:tc>
          <w:tcPr>
            <w:tcW w:w="1134" w:type="dxa"/>
            <w:hideMark/>
          </w:tcPr>
          <w:p w14:paraId="5E7E3A74" w14:textId="77777777" w:rsidR="001832A0" w:rsidRPr="00717195" w:rsidRDefault="001832A0" w:rsidP="002D3963">
            <w:pPr>
              <w:pStyle w:val="NormalWeb"/>
              <w:jc w:val="center"/>
              <w:rPr>
                <w:sz w:val="18"/>
                <w:szCs w:val="18"/>
              </w:rPr>
            </w:pPr>
            <w:r w:rsidRPr="00717195">
              <w:rPr>
                <w:sz w:val="18"/>
                <w:szCs w:val="18"/>
              </w:rPr>
              <w:t>0</w:t>
            </w:r>
          </w:p>
        </w:tc>
        <w:tc>
          <w:tcPr>
            <w:tcW w:w="1134" w:type="dxa"/>
            <w:hideMark/>
          </w:tcPr>
          <w:p w14:paraId="2B956AE7" w14:textId="77777777" w:rsidR="001832A0" w:rsidRPr="00717195" w:rsidRDefault="001832A0" w:rsidP="002D3963">
            <w:pPr>
              <w:pStyle w:val="NormalWeb"/>
              <w:jc w:val="center"/>
              <w:rPr>
                <w:sz w:val="18"/>
                <w:szCs w:val="18"/>
              </w:rPr>
            </w:pPr>
            <w:r w:rsidRPr="00717195">
              <w:rPr>
                <w:sz w:val="18"/>
                <w:szCs w:val="18"/>
              </w:rPr>
              <w:t>(0.0)</w:t>
            </w:r>
          </w:p>
        </w:tc>
        <w:tc>
          <w:tcPr>
            <w:tcW w:w="1134" w:type="dxa"/>
            <w:hideMark/>
          </w:tcPr>
          <w:p w14:paraId="1E32F5F0" w14:textId="77777777" w:rsidR="001832A0" w:rsidRPr="00717195" w:rsidRDefault="001832A0" w:rsidP="002D3963">
            <w:pPr>
              <w:pStyle w:val="NormalWeb"/>
              <w:jc w:val="center"/>
              <w:rPr>
                <w:sz w:val="18"/>
                <w:szCs w:val="18"/>
              </w:rPr>
            </w:pPr>
            <w:r w:rsidRPr="00717195">
              <w:rPr>
                <w:sz w:val="18"/>
                <w:szCs w:val="18"/>
              </w:rPr>
              <w:t>4</w:t>
            </w:r>
          </w:p>
        </w:tc>
        <w:tc>
          <w:tcPr>
            <w:tcW w:w="1225" w:type="dxa"/>
            <w:hideMark/>
          </w:tcPr>
          <w:p w14:paraId="2411BFBF" w14:textId="77777777" w:rsidR="001832A0" w:rsidRPr="00717195" w:rsidRDefault="001832A0" w:rsidP="002D3963">
            <w:pPr>
              <w:pStyle w:val="NormalWeb"/>
              <w:jc w:val="center"/>
              <w:rPr>
                <w:sz w:val="18"/>
                <w:szCs w:val="18"/>
              </w:rPr>
            </w:pPr>
            <w:r w:rsidRPr="00717195">
              <w:rPr>
                <w:sz w:val="18"/>
                <w:szCs w:val="18"/>
              </w:rPr>
              <w:t>(16.0)</w:t>
            </w:r>
          </w:p>
        </w:tc>
        <w:tc>
          <w:tcPr>
            <w:tcW w:w="1326" w:type="dxa"/>
            <w:hideMark/>
          </w:tcPr>
          <w:p w14:paraId="57F5C7C5" w14:textId="77777777" w:rsidR="001832A0" w:rsidRPr="00717195" w:rsidRDefault="001832A0" w:rsidP="002D3963">
            <w:pPr>
              <w:pStyle w:val="NormalWeb"/>
              <w:jc w:val="center"/>
              <w:rPr>
                <w:sz w:val="18"/>
                <w:szCs w:val="18"/>
              </w:rPr>
            </w:pPr>
            <w:r w:rsidRPr="00717195">
              <w:rPr>
                <w:sz w:val="18"/>
                <w:szCs w:val="18"/>
              </w:rPr>
              <w:t>1</w:t>
            </w:r>
          </w:p>
        </w:tc>
        <w:tc>
          <w:tcPr>
            <w:tcW w:w="1418" w:type="dxa"/>
            <w:hideMark/>
          </w:tcPr>
          <w:p w14:paraId="0AFDB20D" w14:textId="77777777" w:rsidR="001832A0" w:rsidRPr="00717195" w:rsidRDefault="001832A0" w:rsidP="002D3963">
            <w:pPr>
              <w:pStyle w:val="NormalWeb"/>
              <w:jc w:val="center"/>
              <w:rPr>
                <w:sz w:val="18"/>
                <w:szCs w:val="18"/>
              </w:rPr>
            </w:pPr>
            <w:r w:rsidRPr="00717195">
              <w:rPr>
                <w:sz w:val="18"/>
                <w:szCs w:val="18"/>
              </w:rPr>
              <w:t>(4.0)</w:t>
            </w:r>
          </w:p>
        </w:tc>
        <w:tc>
          <w:tcPr>
            <w:tcW w:w="1275" w:type="dxa"/>
            <w:hideMark/>
          </w:tcPr>
          <w:p w14:paraId="41A45C43" w14:textId="77777777" w:rsidR="001832A0" w:rsidRPr="00717195" w:rsidRDefault="001832A0" w:rsidP="002D3963">
            <w:pPr>
              <w:pStyle w:val="NormalWeb"/>
              <w:jc w:val="center"/>
              <w:rPr>
                <w:sz w:val="18"/>
                <w:szCs w:val="18"/>
              </w:rPr>
            </w:pPr>
            <w:r w:rsidRPr="00717195">
              <w:rPr>
                <w:sz w:val="18"/>
                <w:szCs w:val="18"/>
              </w:rPr>
              <w:t>24</w:t>
            </w:r>
          </w:p>
        </w:tc>
        <w:tc>
          <w:tcPr>
            <w:tcW w:w="1307" w:type="dxa"/>
            <w:hideMark/>
          </w:tcPr>
          <w:p w14:paraId="59745160" w14:textId="77777777" w:rsidR="001832A0" w:rsidRPr="00717195" w:rsidRDefault="001832A0" w:rsidP="002D3963">
            <w:pPr>
              <w:pStyle w:val="NormalWeb"/>
              <w:jc w:val="center"/>
              <w:rPr>
                <w:sz w:val="18"/>
                <w:szCs w:val="18"/>
              </w:rPr>
            </w:pPr>
            <w:r w:rsidRPr="00717195">
              <w:rPr>
                <w:sz w:val="18"/>
                <w:szCs w:val="18"/>
              </w:rPr>
              <w:t>(96.0)</w:t>
            </w:r>
          </w:p>
        </w:tc>
      </w:tr>
      <w:tr w:rsidR="00DF1085" w:rsidRPr="00717195" w14:paraId="7E3BE34C"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0E12153F" w14:textId="77777777" w:rsidR="001832A0" w:rsidRPr="00717195" w:rsidRDefault="001832A0">
            <w:pPr>
              <w:pStyle w:val="NormalWeb"/>
              <w:rPr>
                <w:sz w:val="18"/>
                <w:szCs w:val="18"/>
              </w:rPr>
            </w:pPr>
            <w:r w:rsidRPr="00717195">
              <w:rPr>
                <w:sz w:val="18"/>
                <w:szCs w:val="18"/>
              </w:rPr>
              <w:t>Tachycardia</w:t>
            </w:r>
          </w:p>
        </w:tc>
        <w:tc>
          <w:tcPr>
            <w:tcW w:w="1644" w:type="dxa"/>
            <w:hideMark/>
          </w:tcPr>
          <w:p w14:paraId="66C5BFBE" w14:textId="77777777" w:rsidR="001832A0" w:rsidRPr="00717195" w:rsidRDefault="001832A0" w:rsidP="002D3963">
            <w:pPr>
              <w:pStyle w:val="NormalWeb"/>
              <w:jc w:val="center"/>
              <w:rPr>
                <w:sz w:val="18"/>
                <w:szCs w:val="18"/>
              </w:rPr>
            </w:pPr>
            <w:r w:rsidRPr="00717195">
              <w:rPr>
                <w:sz w:val="18"/>
                <w:szCs w:val="18"/>
              </w:rPr>
              <w:t>23</w:t>
            </w:r>
          </w:p>
        </w:tc>
        <w:tc>
          <w:tcPr>
            <w:tcW w:w="1134" w:type="dxa"/>
            <w:hideMark/>
          </w:tcPr>
          <w:p w14:paraId="4B59BC28" w14:textId="77777777" w:rsidR="001832A0" w:rsidRPr="00717195" w:rsidRDefault="001832A0" w:rsidP="002D3963">
            <w:pPr>
              <w:pStyle w:val="NormalWeb"/>
              <w:jc w:val="center"/>
              <w:rPr>
                <w:sz w:val="18"/>
                <w:szCs w:val="18"/>
              </w:rPr>
            </w:pPr>
            <w:r w:rsidRPr="00717195">
              <w:rPr>
                <w:sz w:val="18"/>
                <w:szCs w:val="18"/>
              </w:rPr>
              <w:t>1</w:t>
            </w:r>
          </w:p>
        </w:tc>
        <w:tc>
          <w:tcPr>
            <w:tcW w:w="1134" w:type="dxa"/>
            <w:hideMark/>
          </w:tcPr>
          <w:p w14:paraId="4C942618" w14:textId="77777777" w:rsidR="001832A0" w:rsidRPr="00717195" w:rsidRDefault="001832A0" w:rsidP="002D3963">
            <w:pPr>
              <w:pStyle w:val="NormalWeb"/>
              <w:jc w:val="center"/>
              <w:rPr>
                <w:sz w:val="18"/>
                <w:szCs w:val="18"/>
              </w:rPr>
            </w:pPr>
            <w:r w:rsidRPr="00717195">
              <w:rPr>
                <w:sz w:val="18"/>
                <w:szCs w:val="18"/>
              </w:rPr>
              <w:t>(4.3)</w:t>
            </w:r>
          </w:p>
        </w:tc>
        <w:tc>
          <w:tcPr>
            <w:tcW w:w="1134" w:type="dxa"/>
            <w:hideMark/>
          </w:tcPr>
          <w:p w14:paraId="6A863F35" w14:textId="77777777" w:rsidR="001832A0" w:rsidRPr="00717195" w:rsidRDefault="001832A0" w:rsidP="002D3963">
            <w:pPr>
              <w:pStyle w:val="NormalWeb"/>
              <w:jc w:val="center"/>
              <w:rPr>
                <w:sz w:val="18"/>
                <w:szCs w:val="18"/>
              </w:rPr>
            </w:pPr>
            <w:r w:rsidRPr="00717195">
              <w:rPr>
                <w:sz w:val="18"/>
                <w:szCs w:val="18"/>
              </w:rPr>
              <w:t>11</w:t>
            </w:r>
          </w:p>
        </w:tc>
        <w:tc>
          <w:tcPr>
            <w:tcW w:w="1225" w:type="dxa"/>
            <w:hideMark/>
          </w:tcPr>
          <w:p w14:paraId="3B33C1F3" w14:textId="77777777" w:rsidR="001832A0" w:rsidRPr="00717195" w:rsidRDefault="001832A0" w:rsidP="002D3963">
            <w:pPr>
              <w:pStyle w:val="NormalWeb"/>
              <w:jc w:val="center"/>
              <w:rPr>
                <w:sz w:val="18"/>
                <w:szCs w:val="18"/>
              </w:rPr>
            </w:pPr>
            <w:r w:rsidRPr="00717195">
              <w:rPr>
                <w:sz w:val="18"/>
                <w:szCs w:val="18"/>
              </w:rPr>
              <w:t>(47.8)</w:t>
            </w:r>
          </w:p>
        </w:tc>
        <w:tc>
          <w:tcPr>
            <w:tcW w:w="1326" w:type="dxa"/>
            <w:hideMark/>
          </w:tcPr>
          <w:p w14:paraId="4BA45E1E" w14:textId="77777777" w:rsidR="001832A0" w:rsidRPr="00717195" w:rsidRDefault="001832A0" w:rsidP="002D3963">
            <w:pPr>
              <w:pStyle w:val="NormalWeb"/>
              <w:jc w:val="center"/>
              <w:rPr>
                <w:sz w:val="18"/>
                <w:szCs w:val="18"/>
              </w:rPr>
            </w:pPr>
            <w:r w:rsidRPr="00717195">
              <w:rPr>
                <w:sz w:val="18"/>
                <w:szCs w:val="18"/>
              </w:rPr>
              <w:t>7</w:t>
            </w:r>
          </w:p>
        </w:tc>
        <w:tc>
          <w:tcPr>
            <w:tcW w:w="1418" w:type="dxa"/>
            <w:hideMark/>
          </w:tcPr>
          <w:p w14:paraId="7BBB92BD" w14:textId="77777777" w:rsidR="001832A0" w:rsidRPr="00717195" w:rsidRDefault="001832A0" w:rsidP="002D3963">
            <w:pPr>
              <w:pStyle w:val="NormalWeb"/>
              <w:jc w:val="center"/>
              <w:rPr>
                <w:sz w:val="18"/>
                <w:szCs w:val="18"/>
              </w:rPr>
            </w:pPr>
            <w:r w:rsidRPr="00717195">
              <w:rPr>
                <w:sz w:val="18"/>
                <w:szCs w:val="18"/>
              </w:rPr>
              <w:t>(30.4)</w:t>
            </w:r>
          </w:p>
        </w:tc>
        <w:tc>
          <w:tcPr>
            <w:tcW w:w="1275" w:type="dxa"/>
            <w:hideMark/>
          </w:tcPr>
          <w:p w14:paraId="65F967CD" w14:textId="77777777" w:rsidR="001832A0" w:rsidRPr="00717195" w:rsidRDefault="001832A0" w:rsidP="002D3963">
            <w:pPr>
              <w:pStyle w:val="NormalWeb"/>
              <w:jc w:val="center"/>
              <w:rPr>
                <w:sz w:val="18"/>
                <w:szCs w:val="18"/>
              </w:rPr>
            </w:pPr>
            <w:r w:rsidRPr="00717195">
              <w:rPr>
                <w:sz w:val="18"/>
                <w:szCs w:val="18"/>
              </w:rPr>
              <w:t>16</w:t>
            </w:r>
          </w:p>
        </w:tc>
        <w:tc>
          <w:tcPr>
            <w:tcW w:w="1307" w:type="dxa"/>
            <w:hideMark/>
          </w:tcPr>
          <w:p w14:paraId="2C100927" w14:textId="77777777" w:rsidR="001832A0" w:rsidRPr="00717195" w:rsidRDefault="001832A0" w:rsidP="002D3963">
            <w:pPr>
              <w:pStyle w:val="NormalWeb"/>
              <w:jc w:val="center"/>
              <w:rPr>
                <w:sz w:val="18"/>
                <w:szCs w:val="18"/>
              </w:rPr>
            </w:pPr>
            <w:r w:rsidRPr="00717195">
              <w:rPr>
                <w:sz w:val="18"/>
                <w:szCs w:val="18"/>
              </w:rPr>
              <w:t>(69.6)</w:t>
            </w:r>
          </w:p>
        </w:tc>
      </w:tr>
      <w:tr w:rsidR="00427EF4" w:rsidRPr="00717195" w14:paraId="7D2AD179" w14:textId="77777777" w:rsidTr="00C25476">
        <w:tc>
          <w:tcPr>
            <w:tcW w:w="0" w:type="auto"/>
            <w:hideMark/>
          </w:tcPr>
          <w:p w14:paraId="5A8BDB69" w14:textId="77777777" w:rsidR="001832A0" w:rsidRPr="00717195" w:rsidRDefault="001832A0">
            <w:pPr>
              <w:pStyle w:val="NormalWeb"/>
              <w:rPr>
                <w:sz w:val="18"/>
                <w:szCs w:val="18"/>
              </w:rPr>
            </w:pPr>
            <w:r w:rsidRPr="00717195">
              <w:rPr>
                <w:sz w:val="18"/>
                <w:szCs w:val="18"/>
              </w:rPr>
              <w:t>Cold Sweat</w:t>
            </w:r>
          </w:p>
        </w:tc>
        <w:tc>
          <w:tcPr>
            <w:tcW w:w="1644" w:type="dxa"/>
            <w:hideMark/>
          </w:tcPr>
          <w:p w14:paraId="426D2E46" w14:textId="77777777" w:rsidR="001832A0" w:rsidRPr="00717195" w:rsidRDefault="001832A0" w:rsidP="002D3963">
            <w:pPr>
              <w:pStyle w:val="NormalWeb"/>
              <w:jc w:val="center"/>
              <w:rPr>
                <w:sz w:val="18"/>
                <w:szCs w:val="18"/>
              </w:rPr>
            </w:pPr>
            <w:r w:rsidRPr="00717195">
              <w:rPr>
                <w:sz w:val="18"/>
                <w:szCs w:val="18"/>
              </w:rPr>
              <w:t>22</w:t>
            </w:r>
          </w:p>
        </w:tc>
        <w:tc>
          <w:tcPr>
            <w:tcW w:w="1134" w:type="dxa"/>
            <w:hideMark/>
          </w:tcPr>
          <w:p w14:paraId="7195192E" w14:textId="77777777" w:rsidR="001832A0" w:rsidRPr="00717195" w:rsidRDefault="001832A0" w:rsidP="002D3963">
            <w:pPr>
              <w:pStyle w:val="NormalWeb"/>
              <w:jc w:val="center"/>
              <w:rPr>
                <w:sz w:val="18"/>
                <w:szCs w:val="18"/>
              </w:rPr>
            </w:pPr>
            <w:r w:rsidRPr="00717195">
              <w:rPr>
                <w:sz w:val="18"/>
                <w:szCs w:val="18"/>
              </w:rPr>
              <w:t>0</w:t>
            </w:r>
          </w:p>
        </w:tc>
        <w:tc>
          <w:tcPr>
            <w:tcW w:w="1134" w:type="dxa"/>
            <w:hideMark/>
          </w:tcPr>
          <w:p w14:paraId="7FF3ED2C" w14:textId="77777777" w:rsidR="001832A0" w:rsidRPr="00717195" w:rsidRDefault="001832A0" w:rsidP="002D3963">
            <w:pPr>
              <w:pStyle w:val="NormalWeb"/>
              <w:jc w:val="center"/>
              <w:rPr>
                <w:sz w:val="18"/>
                <w:szCs w:val="18"/>
              </w:rPr>
            </w:pPr>
            <w:r w:rsidRPr="00717195">
              <w:rPr>
                <w:sz w:val="18"/>
                <w:szCs w:val="18"/>
              </w:rPr>
              <w:t>(0.0)</w:t>
            </w:r>
          </w:p>
        </w:tc>
        <w:tc>
          <w:tcPr>
            <w:tcW w:w="1134" w:type="dxa"/>
            <w:hideMark/>
          </w:tcPr>
          <w:p w14:paraId="4BDEADBD" w14:textId="77777777" w:rsidR="001832A0" w:rsidRPr="00717195" w:rsidRDefault="001832A0" w:rsidP="002D3963">
            <w:pPr>
              <w:pStyle w:val="NormalWeb"/>
              <w:jc w:val="center"/>
              <w:rPr>
                <w:sz w:val="18"/>
                <w:szCs w:val="18"/>
              </w:rPr>
            </w:pPr>
            <w:r w:rsidRPr="00717195">
              <w:rPr>
                <w:sz w:val="18"/>
                <w:szCs w:val="18"/>
              </w:rPr>
              <w:t>1</w:t>
            </w:r>
          </w:p>
        </w:tc>
        <w:tc>
          <w:tcPr>
            <w:tcW w:w="1225" w:type="dxa"/>
            <w:hideMark/>
          </w:tcPr>
          <w:p w14:paraId="38BC1622" w14:textId="77777777" w:rsidR="001832A0" w:rsidRPr="00717195" w:rsidRDefault="001832A0" w:rsidP="002D3963">
            <w:pPr>
              <w:pStyle w:val="NormalWeb"/>
              <w:jc w:val="center"/>
              <w:rPr>
                <w:sz w:val="18"/>
                <w:szCs w:val="18"/>
              </w:rPr>
            </w:pPr>
            <w:r w:rsidRPr="00717195">
              <w:rPr>
                <w:sz w:val="18"/>
                <w:szCs w:val="18"/>
              </w:rPr>
              <w:t>(4.5)</w:t>
            </w:r>
          </w:p>
        </w:tc>
        <w:tc>
          <w:tcPr>
            <w:tcW w:w="1326" w:type="dxa"/>
            <w:hideMark/>
          </w:tcPr>
          <w:p w14:paraId="22A9F477" w14:textId="77777777" w:rsidR="001832A0" w:rsidRPr="00717195" w:rsidRDefault="001832A0" w:rsidP="002D3963">
            <w:pPr>
              <w:pStyle w:val="NormalWeb"/>
              <w:jc w:val="center"/>
              <w:rPr>
                <w:sz w:val="18"/>
                <w:szCs w:val="18"/>
              </w:rPr>
            </w:pPr>
            <w:r w:rsidRPr="00717195">
              <w:rPr>
                <w:sz w:val="18"/>
                <w:szCs w:val="18"/>
              </w:rPr>
              <w:t>2</w:t>
            </w:r>
          </w:p>
        </w:tc>
        <w:tc>
          <w:tcPr>
            <w:tcW w:w="1418" w:type="dxa"/>
            <w:hideMark/>
          </w:tcPr>
          <w:p w14:paraId="6D143219" w14:textId="77777777" w:rsidR="001832A0" w:rsidRPr="00717195" w:rsidRDefault="001832A0" w:rsidP="002D3963">
            <w:pPr>
              <w:pStyle w:val="NormalWeb"/>
              <w:jc w:val="center"/>
              <w:rPr>
                <w:sz w:val="18"/>
                <w:szCs w:val="18"/>
              </w:rPr>
            </w:pPr>
            <w:r w:rsidRPr="00717195">
              <w:rPr>
                <w:sz w:val="18"/>
                <w:szCs w:val="18"/>
              </w:rPr>
              <w:t>(9.1)</w:t>
            </w:r>
          </w:p>
        </w:tc>
        <w:tc>
          <w:tcPr>
            <w:tcW w:w="1275" w:type="dxa"/>
            <w:hideMark/>
          </w:tcPr>
          <w:p w14:paraId="3AD2E41D" w14:textId="77777777" w:rsidR="001832A0" w:rsidRPr="00717195" w:rsidRDefault="001832A0" w:rsidP="002D3963">
            <w:pPr>
              <w:pStyle w:val="NormalWeb"/>
              <w:jc w:val="center"/>
              <w:rPr>
                <w:sz w:val="18"/>
                <w:szCs w:val="18"/>
              </w:rPr>
            </w:pPr>
            <w:r w:rsidRPr="00717195">
              <w:rPr>
                <w:sz w:val="18"/>
                <w:szCs w:val="18"/>
              </w:rPr>
              <w:t>20</w:t>
            </w:r>
          </w:p>
        </w:tc>
        <w:tc>
          <w:tcPr>
            <w:tcW w:w="1307" w:type="dxa"/>
            <w:hideMark/>
          </w:tcPr>
          <w:p w14:paraId="47861044" w14:textId="77777777" w:rsidR="001832A0" w:rsidRPr="00717195" w:rsidRDefault="001832A0" w:rsidP="002D3963">
            <w:pPr>
              <w:pStyle w:val="NormalWeb"/>
              <w:jc w:val="center"/>
              <w:rPr>
                <w:sz w:val="18"/>
                <w:szCs w:val="18"/>
              </w:rPr>
            </w:pPr>
            <w:r w:rsidRPr="00717195">
              <w:rPr>
                <w:sz w:val="18"/>
                <w:szCs w:val="18"/>
              </w:rPr>
              <w:t>90.9</w:t>
            </w:r>
          </w:p>
        </w:tc>
      </w:tr>
      <w:tr w:rsidR="00DF1085" w:rsidRPr="00717195" w14:paraId="0DC7503C"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6EB307D0" w14:textId="77777777" w:rsidR="001832A0" w:rsidRPr="00717195" w:rsidRDefault="001832A0">
            <w:pPr>
              <w:pStyle w:val="NormalWeb"/>
              <w:rPr>
                <w:sz w:val="18"/>
                <w:szCs w:val="18"/>
              </w:rPr>
            </w:pPr>
            <w:r w:rsidRPr="00717195">
              <w:rPr>
                <w:sz w:val="18"/>
                <w:szCs w:val="18"/>
              </w:rPr>
              <w:t>Chest Pain</w:t>
            </w:r>
          </w:p>
        </w:tc>
        <w:tc>
          <w:tcPr>
            <w:tcW w:w="1644" w:type="dxa"/>
            <w:hideMark/>
          </w:tcPr>
          <w:p w14:paraId="653FB650" w14:textId="77777777" w:rsidR="001832A0" w:rsidRPr="00717195" w:rsidRDefault="001832A0" w:rsidP="002D3963">
            <w:pPr>
              <w:pStyle w:val="NormalWeb"/>
              <w:jc w:val="center"/>
              <w:rPr>
                <w:sz w:val="18"/>
                <w:szCs w:val="18"/>
              </w:rPr>
            </w:pPr>
            <w:r w:rsidRPr="00717195">
              <w:rPr>
                <w:sz w:val="18"/>
                <w:szCs w:val="18"/>
              </w:rPr>
              <w:t>18</w:t>
            </w:r>
          </w:p>
        </w:tc>
        <w:tc>
          <w:tcPr>
            <w:tcW w:w="1134" w:type="dxa"/>
            <w:hideMark/>
          </w:tcPr>
          <w:p w14:paraId="58420FBA" w14:textId="77777777" w:rsidR="001832A0" w:rsidRPr="00717195" w:rsidRDefault="001832A0" w:rsidP="002D3963">
            <w:pPr>
              <w:pStyle w:val="NormalWeb"/>
              <w:jc w:val="center"/>
              <w:rPr>
                <w:sz w:val="18"/>
                <w:szCs w:val="18"/>
              </w:rPr>
            </w:pPr>
            <w:r w:rsidRPr="00717195">
              <w:rPr>
                <w:sz w:val="18"/>
                <w:szCs w:val="18"/>
              </w:rPr>
              <w:t>1</w:t>
            </w:r>
          </w:p>
        </w:tc>
        <w:tc>
          <w:tcPr>
            <w:tcW w:w="1134" w:type="dxa"/>
            <w:hideMark/>
          </w:tcPr>
          <w:p w14:paraId="7962254A" w14:textId="77777777" w:rsidR="001832A0" w:rsidRPr="00717195" w:rsidRDefault="001832A0" w:rsidP="002D3963">
            <w:pPr>
              <w:pStyle w:val="NormalWeb"/>
              <w:jc w:val="center"/>
              <w:rPr>
                <w:sz w:val="18"/>
                <w:szCs w:val="18"/>
              </w:rPr>
            </w:pPr>
            <w:r w:rsidRPr="00717195">
              <w:rPr>
                <w:sz w:val="18"/>
                <w:szCs w:val="18"/>
              </w:rPr>
              <w:t>(5.6)</w:t>
            </w:r>
          </w:p>
        </w:tc>
        <w:tc>
          <w:tcPr>
            <w:tcW w:w="1134" w:type="dxa"/>
            <w:hideMark/>
          </w:tcPr>
          <w:p w14:paraId="453D761A" w14:textId="77777777" w:rsidR="001832A0" w:rsidRPr="00717195" w:rsidRDefault="001832A0" w:rsidP="002D3963">
            <w:pPr>
              <w:pStyle w:val="NormalWeb"/>
              <w:jc w:val="center"/>
              <w:rPr>
                <w:sz w:val="18"/>
                <w:szCs w:val="18"/>
              </w:rPr>
            </w:pPr>
            <w:r w:rsidRPr="00717195">
              <w:rPr>
                <w:sz w:val="18"/>
                <w:szCs w:val="18"/>
              </w:rPr>
              <w:t>7</w:t>
            </w:r>
          </w:p>
        </w:tc>
        <w:tc>
          <w:tcPr>
            <w:tcW w:w="1225" w:type="dxa"/>
            <w:hideMark/>
          </w:tcPr>
          <w:p w14:paraId="61E8A4C7" w14:textId="77777777" w:rsidR="001832A0" w:rsidRPr="00717195" w:rsidRDefault="001832A0" w:rsidP="002D3963">
            <w:pPr>
              <w:pStyle w:val="NormalWeb"/>
              <w:jc w:val="center"/>
              <w:rPr>
                <w:sz w:val="18"/>
                <w:szCs w:val="18"/>
              </w:rPr>
            </w:pPr>
            <w:r w:rsidRPr="00717195">
              <w:rPr>
                <w:sz w:val="18"/>
                <w:szCs w:val="18"/>
              </w:rPr>
              <w:t>(38.9)</w:t>
            </w:r>
          </w:p>
        </w:tc>
        <w:tc>
          <w:tcPr>
            <w:tcW w:w="1326" w:type="dxa"/>
            <w:hideMark/>
          </w:tcPr>
          <w:p w14:paraId="35063E43" w14:textId="77777777" w:rsidR="001832A0" w:rsidRPr="00717195" w:rsidRDefault="001832A0" w:rsidP="002D3963">
            <w:pPr>
              <w:pStyle w:val="NormalWeb"/>
              <w:jc w:val="center"/>
              <w:rPr>
                <w:sz w:val="18"/>
                <w:szCs w:val="18"/>
              </w:rPr>
            </w:pPr>
            <w:r w:rsidRPr="00717195">
              <w:rPr>
                <w:sz w:val="18"/>
                <w:szCs w:val="18"/>
              </w:rPr>
              <w:t>1</w:t>
            </w:r>
          </w:p>
        </w:tc>
        <w:tc>
          <w:tcPr>
            <w:tcW w:w="1418" w:type="dxa"/>
            <w:hideMark/>
          </w:tcPr>
          <w:p w14:paraId="4B8F4D42" w14:textId="77777777" w:rsidR="001832A0" w:rsidRPr="00717195" w:rsidRDefault="001832A0" w:rsidP="002D3963">
            <w:pPr>
              <w:pStyle w:val="NormalWeb"/>
              <w:jc w:val="center"/>
              <w:rPr>
                <w:sz w:val="18"/>
                <w:szCs w:val="18"/>
              </w:rPr>
            </w:pPr>
            <w:r w:rsidRPr="00717195">
              <w:rPr>
                <w:sz w:val="18"/>
                <w:szCs w:val="18"/>
              </w:rPr>
              <w:t>(5.6)</w:t>
            </w:r>
          </w:p>
        </w:tc>
        <w:tc>
          <w:tcPr>
            <w:tcW w:w="1275" w:type="dxa"/>
            <w:hideMark/>
          </w:tcPr>
          <w:p w14:paraId="5393AA4D" w14:textId="77777777" w:rsidR="001832A0" w:rsidRPr="00717195" w:rsidRDefault="001832A0" w:rsidP="002D3963">
            <w:pPr>
              <w:pStyle w:val="NormalWeb"/>
              <w:jc w:val="center"/>
              <w:rPr>
                <w:sz w:val="18"/>
                <w:szCs w:val="18"/>
              </w:rPr>
            </w:pPr>
            <w:r w:rsidRPr="00717195">
              <w:rPr>
                <w:sz w:val="18"/>
                <w:szCs w:val="18"/>
              </w:rPr>
              <w:t>17</w:t>
            </w:r>
          </w:p>
        </w:tc>
        <w:tc>
          <w:tcPr>
            <w:tcW w:w="1307" w:type="dxa"/>
            <w:hideMark/>
          </w:tcPr>
          <w:p w14:paraId="62F93731" w14:textId="77777777" w:rsidR="001832A0" w:rsidRPr="00717195" w:rsidRDefault="001832A0" w:rsidP="002D3963">
            <w:pPr>
              <w:pStyle w:val="NormalWeb"/>
              <w:jc w:val="center"/>
              <w:rPr>
                <w:sz w:val="18"/>
                <w:szCs w:val="18"/>
              </w:rPr>
            </w:pPr>
            <w:r w:rsidRPr="00717195">
              <w:rPr>
                <w:sz w:val="18"/>
                <w:szCs w:val="18"/>
              </w:rPr>
              <w:t>94.4</w:t>
            </w:r>
          </w:p>
        </w:tc>
      </w:tr>
      <w:tr w:rsidR="00427EF4" w:rsidRPr="00717195" w14:paraId="03EED4C3" w14:textId="77777777" w:rsidTr="00C25476">
        <w:tc>
          <w:tcPr>
            <w:tcW w:w="0" w:type="auto"/>
            <w:hideMark/>
          </w:tcPr>
          <w:p w14:paraId="325DC3D2" w14:textId="77777777" w:rsidR="001832A0" w:rsidRPr="00717195" w:rsidRDefault="001832A0">
            <w:pPr>
              <w:pStyle w:val="NormalWeb"/>
              <w:rPr>
                <w:sz w:val="18"/>
                <w:szCs w:val="18"/>
              </w:rPr>
            </w:pPr>
            <w:r w:rsidRPr="00717195">
              <w:rPr>
                <w:sz w:val="18"/>
                <w:szCs w:val="18"/>
              </w:rPr>
              <w:t>Haematochezia</w:t>
            </w:r>
          </w:p>
        </w:tc>
        <w:tc>
          <w:tcPr>
            <w:tcW w:w="1644" w:type="dxa"/>
            <w:hideMark/>
          </w:tcPr>
          <w:p w14:paraId="522E27B4" w14:textId="77777777" w:rsidR="001832A0" w:rsidRPr="00717195" w:rsidRDefault="001832A0" w:rsidP="002D3963">
            <w:pPr>
              <w:pStyle w:val="NormalWeb"/>
              <w:jc w:val="center"/>
              <w:rPr>
                <w:sz w:val="18"/>
                <w:szCs w:val="18"/>
              </w:rPr>
            </w:pPr>
            <w:r w:rsidRPr="00717195">
              <w:rPr>
                <w:sz w:val="18"/>
                <w:szCs w:val="18"/>
              </w:rPr>
              <w:t>16</w:t>
            </w:r>
          </w:p>
        </w:tc>
        <w:tc>
          <w:tcPr>
            <w:tcW w:w="1134" w:type="dxa"/>
            <w:hideMark/>
          </w:tcPr>
          <w:p w14:paraId="4FB60B1E" w14:textId="77777777" w:rsidR="001832A0" w:rsidRPr="00717195" w:rsidRDefault="001832A0" w:rsidP="002D3963">
            <w:pPr>
              <w:pStyle w:val="NormalWeb"/>
              <w:jc w:val="center"/>
              <w:rPr>
                <w:sz w:val="18"/>
                <w:szCs w:val="18"/>
              </w:rPr>
            </w:pPr>
            <w:r w:rsidRPr="00717195">
              <w:rPr>
                <w:sz w:val="18"/>
                <w:szCs w:val="18"/>
              </w:rPr>
              <w:t>7</w:t>
            </w:r>
          </w:p>
        </w:tc>
        <w:tc>
          <w:tcPr>
            <w:tcW w:w="1134" w:type="dxa"/>
            <w:hideMark/>
          </w:tcPr>
          <w:p w14:paraId="15D558DD" w14:textId="77777777" w:rsidR="001832A0" w:rsidRPr="00717195" w:rsidRDefault="001832A0" w:rsidP="002D3963">
            <w:pPr>
              <w:pStyle w:val="NormalWeb"/>
              <w:jc w:val="center"/>
              <w:rPr>
                <w:sz w:val="18"/>
                <w:szCs w:val="18"/>
              </w:rPr>
            </w:pPr>
            <w:r w:rsidRPr="00717195">
              <w:rPr>
                <w:sz w:val="18"/>
                <w:szCs w:val="18"/>
              </w:rPr>
              <w:t>(43.8)</w:t>
            </w:r>
          </w:p>
        </w:tc>
        <w:tc>
          <w:tcPr>
            <w:tcW w:w="1134" w:type="dxa"/>
            <w:hideMark/>
          </w:tcPr>
          <w:p w14:paraId="34BEDD65" w14:textId="77777777" w:rsidR="001832A0" w:rsidRPr="00717195" w:rsidRDefault="001832A0" w:rsidP="002D3963">
            <w:pPr>
              <w:pStyle w:val="NormalWeb"/>
              <w:jc w:val="center"/>
              <w:rPr>
                <w:sz w:val="18"/>
                <w:szCs w:val="18"/>
              </w:rPr>
            </w:pPr>
            <w:r w:rsidRPr="00717195">
              <w:rPr>
                <w:sz w:val="18"/>
                <w:szCs w:val="18"/>
              </w:rPr>
              <w:t>2</w:t>
            </w:r>
          </w:p>
        </w:tc>
        <w:tc>
          <w:tcPr>
            <w:tcW w:w="1225" w:type="dxa"/>
            <w:hideMark/>
          </w:tcPr>
          <w:p w14:paraId="19402DA2" w14:textId="77777777" w:rsidR="001832A0" w:rsidRPr="00717195" w:rsidRDefault="001832A0" w:rsidP="002D3963">
            <w:pPr>
              <w:pStyle w:val="NormalWeb"/>
              <w:jc w:val="center"/>
              <w:rPr>
                <w:sz w:val="18"/>
                <w:szCs w:val="18"/>
              </w:rPr>
            </w:pPr>
            <w:r w:rsidRPr="00717195">
              <w:rPr>
                <w:sz w:val="18"/>
                <w:szCs w:val="18"/>
              </w:rPr>
              <w:t>(12.5)</w:t>
            </w:r>
          </w:p>
        </w:tc>
        <w:tc>
          <w:tcPr>
            <w:tcW w:w="1326" w:type="dxa"/>
            <w:hideMark/>
          </w:tcPr>
          <w:p w14:paraId="4E234D55" w14:textId="77777777" w:rsidR="001832A0" w:rsidRPr="00717195" w:rsidRDefault="001832A0" w:rsidP="002D3963">
            <w:pPr>
              <w:pStyle w:val="NormalWeb"/>
              <w:jc w:val="center"/>
              <w:rPr>
                <w:sz w:val="18"/>
                <w:szCs w:val="18"/>
              </w:rPr>
            </w:pPr>
            <w:r w:rsidRPr="00717195">
              <w:rPr>
                <w:sz w:val="18"/>
                <w:szCs w:val="18"/>
              </w:rPr>
              <w:t>16</w:t>
            </w:r>
          </w:p>
        </w:tc>
        <w:tc>
          <w:tcPr>
            <w:tcW w:w="1418" w:type="dxa"/>
            <w:hideMark/>
          </w:tcPr>
          <w:p w14:paraId="3B5A9989" w14:textId="77777777" w:rsidR="001832A0" w:rsidRPr="00717195" w:rsidRDefault="001832A0" w:rsidP="002D3963">
            <w:pPr>
              <w:pStyle w:val="NormalWeb"/>
              <w:jc w:val="center"/>
              <w:rPr>
                <w:sz w:val="18"/>
                <w:szCs w:val="18"/>
              </w:rPr>
            </w:pPr>
            <w:r w:rsidRPr="00717195">
              <w:rPr>
                <w:sz w:val="18"/>
                <w:szCs w:val="18"/>
              </w:rPr>
              <w:t>(100.0)</w:t>
            </w:r>
          </w:p>
        </w:tc>
        <w:tc>
          <w:tcPr>
            <w:tcW w:w="1275" w:type="dxa"/>
            <w:hideMark/>
          </w:tcPr>
          <w:p w14:paraId="1DC0E694" w14:textId="77777777" w:rsidR="001832A0" w:rsidRPr="00717195" w:rsidRDefault="001832A0" w:rsidP="002D3963">
            <w:pPr>
              <w:pStyle w:val="NormalWeb"/>
              <w:jc w:val="center"/>
              <w:rPr>
                <w:sz w:val="18"/>
                <w:szCs w:val="18"/>
              </w:rPr>
            </w:pPr>
            <w:r w:rsidRPr="00717195">
              <w:rPr>
                <w:sz w:val="18"/>
                <w:szCs w:val="18"/>
              </w:rPr>
              <w:t>0</w:t>
            </w:r>
          </w:p>
        </w:tc>
        <w:tc>
          <w:tcPr>
            <w:tcW w:w="1307" w:type="dxa"/>
            <w:hideMark/>
          </w:tcPr>
          <w:p w14:paraId="0C5A6C06" w14:textId="77777777" w:rsidR="001832A0" w:rsidRPr="00717195" w:rsidRDefault="001832A0" w:rsidP="002D3963">
            <w:pPr>
              <w:pStyle w:val="NormalWeb"/>
              <w:jc w:val="center"/>
              <w:rPr>
                <w:sz w:val="18"/>
                <w:szCs w:val="18"/>
              </w:rPr>
            </w:pPr>
            <w:r w:rsidRPr="00717195">
              <w:rPr>
                <w:sz w:val="18"/>
                <w:szCs w:val="18"/>
              </w:rPr>
              <w:t>(0.0)</w:t>
            </w:r>
          </w:p>
        </w:tc>
      </w:tr>
      <w:tr w:rsidR="00DF1085" w:rsidRPr="00717195" w14:paraId="1A4AC2A0"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7C64E140" w14:textId="77777777" w:rsidR="001832A0" w:rsidRPr="00717195" w:rsidRDefault="001832A0">
            <w:pPr>
              <w:pStyle w:val="NormalWeb"/>
              <w:rPr>
                <w:sz w:val="18"/>
                <w:szCs w:val="18"/>
              </w:rPr>
            </w:pPr>
            <w:r w:rsidRPr="00717195">
              <w:rPr>
                <w:sz w:val="18"/>
                <w:szCs w:val="18"/>
              </w:rPr>
              <w:t>Hypotonia</w:t>
            </w:r>
          </w:p>
        </w:tc>
        <w:tc>
          <w:tcPr>
            <w:tcW w:w="1644" w:type="dxa"/>
            <w:hideMark/>
          </w:tcPr>
          <w:p w14:paraId="45225F18" w14:textId="77777777" w:rsidR="001832A0" w:rsidRPr="00717195" w:rsidRDefault="001832A0" w:rsidP="002D3963">
            <w:pPr>
              <w:pStyle w:val="NormalWeb"/>
              <w:jc w:val="center"/>
              <w:rPr>
                <w:sz w:val="18"/>
                <w:szCs w:val="18"/>
              </w:rPr>
            </w:pPr>
            <w:r w:rsidRPr="00717195">
              <w:rPr>
                <w:sz w:val="18"/>
                <w:szCs w:val="18"/>
              </w:rPr>
              <w:t>16</w:t>
            </w:r>
          </w:p>
        </w:tc>
        <w:tc>
          <w:tcPr>
            <w:tcW w:w="1134" w:type="dxa"/>
            <w:hideMark/>
          </w:tcPr>
          <w:p w14:paraId="52A6E586" w14:textId="77777777" w:rsidR="001832A0" w:rsidRPr="00717195" w:rsidRDefault="001832A0" w:rsidP="002D3963">
            <w:pPr>
              <w:pStyle w:val="NormalWeb"/>
              <w:jc w:val="center"/>
              <w:rPr>
                <w:sz w:val="18"/>
                <w:szCs w:val="18"/>
              </w:rPr>
            </w:pPr>
            <w:r w:rsidRPr="00717195">
              <w:rPr>
                <w:sz w:val="18"/>
                <w:szCs w:val="18"/>
              </w:rPr>
              <w:t>0</w:t>
            </w:r>
          </w:p>
        </w:tc>
        <w:tc>
          <w:tcPr>
            <w:tcW w:w="1134" w:type="dxa"/>
            <w:hideMark/>
          </w:tcPr>
          <w:p w14:paraId="67C01C4B" w14:textId="77777777" w:rsidR="001832A0" w:rsidRPr="00717195" w:rsidRDefault="001832A0" w:rsidP="002D3963">
            <w:pPr>
              <w:pStyle w:val="NormalWeb"/>
              <w:jc w:val="center"/>
              <w:rPr>
                <w:sz w:val="18"/>
                <w:szCs w:val="18"/>
              </w:rPr>
            </w:pPr>
            <w:r w:rsidRPr="00717195">
              <w:rPr>
                <w:sz w:val="18"/>
                <w:szCs w:val="18"/>
              </w:rPr>
              <w:t>(0.0)</w:t>
            </w:r>
          </w:p>
        </w:tc>
        <w:tc>
          <w:tcPr>
            <w:tcW w:w="1134" w:type="dxa"/>
            <w:hideMark/>
          </w:tcPr>
          <w:p w14:paraId="500A688C" w14:textId="77777777" w:rsidR="001832A0" w:rsidRPr="00717195" w:rsidRDefault="001832A0" w:rsidP="002D3963">
            <w:pPr>
              <w:pStyle w:val="NormalWeb"/>
              <w:jc w:val="center"/>
              <w:rPr>
                <w:sz w:val="18"/>
                <w:szCs w:val="18"/>
              </w:rPr>
            </w:pPr>
            <w:r w:rsidRPr="00717195">
              <w:rPr>
                <w:sz w:val="18"/>
                <w:szCs w:val="18"/>
              </w:rPr>
              <w:t>8</w:t>
            </w:r>
          </w:p>
        </w:tc>
        <w:tc>
          <w:tcPr>
            <w:tcW w:w="1225" w:type="dxa"/>
            <w:hideMark/>
          </w:tcPr>
          <w:p w14:paraId="3A59B400" w14:textId="77777777" w:rsidR="001832A0" w:rsidRPr="00717195" w:rsidRDefault="001832A0" w:rsidP="002D3963">
            <w:pPr>
              <w:pStyle w:val="NormalWeb"/>
              <w:jc w:val="center"/>
              <w:rPr>
                <w:sz w:val="18"/>
                <w:szCs w:val="18"/>
              </w:rPr>
            </w:pPr>
            <w:r w:rsidRPr="00717195">
              <w:rPr>
                <w:sz w:val="18"/>
                <w:szCs w:val="18"/>
              </w:rPr>
              <w:t>(50.0)</w:t>
            </w:r>
          </w:p>
        </w:tc>
        <w:tc>
          <w:tcPr>
            <w:tcW w:w="1326" w:type="dxa"/>
            <w:hideMark/>
          </w:tcPr>
          <w:p w14:paraId="1E5B487B" w14:textId="77777777" w:rsidR="001832A0" w:rsidRPr="00717195" w:rsidRDefault="001832A0" w:rsidP="002D3963">
            <w:pPr>
              <w:pStyle w:val="NormalWeb"/>
              <w:jc w:val="center"/>
              <w:rPr>
                <w:sz w:val="18"/>
                <w:szCs w:val="18"/>
              </w:rPr>
            </w:pPr>
            <w:r w:rsidRPr="00717195">
              <w:rPr>
                <w:sz w:val="18"/>
                <w:szCs w:val="18"/>
              </w:rPr>
              <w:t>15</w:t>
            </w:r>
          </w:p>
        </w:tc>
        <w:tc>
          <w:tcPr>
            <w:tcW w:w="1418" w:type="dxa"/>
            <w:hideMark/>
          </w:tcPr>
          <w:p w14:paraId="2EF8606A" w14:textId="77777777" w:rsidR="001832A0" w:rsidRPr="00717195" w:rsidRDefault="001832A0" w:rsidP="002D3963">
            <w:pPr>
              <w:pStyle w:val="NormalWeb"/>
              <w:jc w:val="center"/>
              <w:rPr>
                <w:sz w:val="18"/>
                <w:szCs w:val="18"/>
              </w:rPr>
            </w:pPr>
            <w:r w:rsidRPr="00717195">
              <w:rPr>
                <w:sz w:val="18"/>
                <w:szCs w:val="18"/>
              </w:rPr>
              <w:t>(93.8)</w:t>
            </w:r>
          </w:p>
        </w:tc>
        <w:tc>
          <w:tcPr>
            <w:tcW w:w="1275" w:type="dxa"/>
            <w:hideMark/>
          </w:tcPr>
          <w:p w14:paraId="09979229" w14:textId="77777777" w:rsidR="001832A0" w:rsidRPr="00717195" w:rsidRDefault="001832A0" w:rsidP="002D3963">
            <w:pPr>
              <w:pStyle w:val="NormalWeb"/>
              <w:jc w:val="center"/>
              <w:rPr>
                <w:sz w:val="18"/>
                <w:szCs w:val="18"/>
              </w:rPr>
            </w:pPr>
            <w:r w:rsidRPr="00717195">
              <w:rPr>
                <w:sz w:val="18"/>
                <w:szCs w:val="18"/>
              </w:rPr>
              <w:t>1</w:t>
            </w:r>
          </w:p>
        </w:tc>
        <w:tc>
          <w:tcPr>
            <w:tcW w:w="1307" w:type="dxa"/>
            <w:hideMark/>
          </w:tcPr>
          <w:p w14:paraId="16CEE598" w14:textId="77777777" w:rsidR="001832A0" w:rsidRPr="00717195" w:rsidRDefault="001832A0" w:rsidP="002D3963">
            <w:pPr>
              <w:pStyle w:val="NormalWeb"/>
              <w:jc w:val="center"/>
              <w:rPr>
                <w:sz w:val="18"/>
                <w:szCs w:val="18"/>
              </w:rPr>
            </w:pPr>
            <w:r w:rsidRPr="00717195">
              <w:rPr>
                <w:sz w:val="18"/>
                <w:szCs w:val="18"/>
              </w:rPr>
              <w:t>(6.3)</w:t>
            </w:r>
          </w:p>
        </w:tc>
      </w:tr>
      <w:tr w:rsidR="00427EF4" w:rsidRPr="00717195" w14:paraId="1CA6862E" w14:textId="77777777" w:rsidTr="00C25476">
        <w:tc>
          <w:tcPr>
            <w:tcW w:w="0" w:type="auto"/>
            <w:hideMark/>
          </w:tcPr>
          <w:p w14:paraId="411935C3" w14:textId="77777777" w:rsidR="001832A0" w:rsidRPr="00717195" w:rsidRDefault="001832A0">
            <w:pPr>
              <w:pStyle w:val="NormalWeb"/>
              <w:rPr>
                <w:sz w:val="18"/>
                <w:szCs w:val="18"/>
              </w:rPr>
            </w:pPr>
            <w:r w:rsidRPr="00717195">
              <w:rPr>
                <w:sz w:val="18"/>
                <w:szCs w:val="18"/>
              </w:rPr>
              <w:t>Guillain-Barre syndrome</w:t>
            </w:r>
          </w:p>
        </w:tc>
        <w:tc>
          <w:tcPr>
            <w:tcW w:w="1644" w:type="dxa"/>
            <w:hideMark/>
          </w:tcPr>
          <w:p w14:paraId="7F30582C" w14:textId="77777777" w:rsidR="001832A0" w:rsidRPr="00717195" w:rsidRDefault="001832A0" w:rsidP="002D3963">
            <w:pPr>
              <w:pStyle w:val="NormalWeb"/>
              <w:jc w:val="center"/>
              <w:rPr>
                <w:sz w:val="18"/>
                <w:szCs w:val="18"/>
              </w:rPr>
            </w:pPr>
            <w:r w:rsidRPr="00717195">
              <w:rPr>
                <w:sz w:val="18"/>
                <w:szCs w:val="18"/>
              </w:rPr>
              <w:t>14</w:t>
            </w:r>
          </w:p>
        </w:tc>
        <w:tc>
          <w:tcPr>
            <w:tcW w:w="1134" w:type="dxa"/>
            <w:hideMark/>
          </w:tcPr>
          <w:p w14:paraId="7CB3841F" w14:textId="77777777" w:rsidR="001832A0" w:rsidRPr="00717195" w:rsidRDefault="001832A0" w:rsidP="002D3963">
            <w:pPr>
              <w:pStyle w:val="NormalWeb"/>
              <w:jc w:val="center"/>
              <w:rPr>
                <w:sz w:val="18"/>
                <w:szCs w:val="18"/>
              </w:rPr>
            </w:pPr>
            <w:r w:rsidRPr="00717195">
              <w:rPr>
                <w:sz w:val="18"/>
                <w:szCs w:val="18"/>
              </w:rPr>
              <w:t>11</w:t>
            </w:r>
          </w:p>
        </w:tc>
        <w:tc>
          <w:tcPr>
            <w:tcW w:w="1134" w:type="dxa"/>
            <w:hideMark/>
          </w:tcPr>
          <w:p w14:paraId="0DE08816" w14:textId="77777777" w:rsidR="001832A0" w:rsidRPr="00717195" w:rsidRDefault="001832A0" w:rsidP="002D3963">
            <w:pPr>
              <w:pStyle w:val="NormalWeb"/>
              <w:jc w:val="center"/>
              <w:rPr>
                <w:sz w:val="18"/>
                <w:szCs w:val="18"/>
              </w:rPr>
            </w:pPr>
            <w:r w:rsidRPr="00717195">
              <w:rPr>
                <w:sz w:val="18"/>
                <w:szCs w:val="18"/>
              </w:rPr>
              <w:t>(78.6)</w:t>
            </w:r>
          </w:p>
        </w:tc>
        <w:tc>
          <w:tcPr>
            <w:tcW w:w="1134" w:type="dxa"/>
            <w:hideMark/>
          </w:tcPr>
          <w:p w14:paraId="79D159FA" w14:textId="77777777" w:rsidR="001832A0" w:rsidRPr="00717195" w:rsidRDefault="001832A0" w:rsidP="002D3963">
            <w:pPr>
              <w:pStyle w:val="NormalWeb"/>
              <w:jc w:val="center"/>
              <w:rPr>
                <w:sz w:val="18"/>
                <w:szCs w:val="18"/>
              </w:rPr>
            </w:pPr>
            <w:r w:rsidRPr="00717195">
              <w:rPr>
                <w:sz w:val="18"/>
                <w:szCs w:val="18"/>
              </w:rPr>
              <w:t>14</w:t>
            </w:r>
          </w:p>
        </w:tc>
        <w:tc>
          <w:tcPr>
            <w:tcW w:w="1225" w:type="dxa"/>
            <w:hideMark/>
          </w:tcPr>
          <w:p w14:paraId="6F75CF8B" w14:textId="77777777" w:rsidR="001832A0" w:rsidRPr="00717195" w:rsidRDefault="001832A0" w:rsidP="002D3963">
            <w:pPr>
              <w:pStyle w:val="NormalWeb"/>
              <w:jc w:val="center"/>
              <w:rPr>
                <w:sz w:val="18"/>
                <w:szCs w:val="18"/>
              </w:rPr>
            </w:pPr>
            <w:r w:rsidRPr="00717195">
              <w:rPr>
                <w:sz w:val="18"/>
                <w:szCs w:val="18"/>
              </w:rPr>
              <w:t>(100.0)</w:t>
            </w:r>
          </w:p>
        </w:tc>
        <w:tc>
          <w:tcPr>
            <w:tcW w:w="1326" w:type="dxa"/>
            <w:hideMark/>
          </w:tcPr>
          <w:p w14:paraId="15A7EDED" w14:textId="77777777" w:rsidR="001832A0" w:rsidRPr="00717195" w:rsidRDefault="001832A0" w:rsidP="002D3963">
            <w:pPr>
              <w:pStyle w:val="NormalWeb"/>
              <w:jc w:val="center"/>
              <w:rPr>
                <w:sz w:val="18"/>
                <w:szCs w:val="18"/>
              </w:rPr>
            </w:pPr>
            <w:r w:rsidRPr="00717195">
              <w:rPr>
                <w:sz w:val="18"/>
                <w:szCs w:val="18"/>
              </w:rPr>
              <w:t>4</w:t>
            </w:r>
          </w:p>
        </w:tc>
        <w:tc>
          <w:tcPr>
            <w:tcW w:w="1418" w:type="dxa"/>
            <w:hideMark/>
          </w:tcPr>
          <w:p w14:paraId="665F5C43" w14:textId="77777777" w:rsidR="001832A0" w:rsidRPr="00717195" w:rsidRDefault="001832A0" w:rsidP="002D3963">
            <w:pPr>
              <w:pStyle w:val="NormalWeb"/>
              <w:jc w:val="center"/>
              <w:rPr>
                <w:sz w:val="18"/>
                <w:szCs w:val="18"/>
              </w:rPr>
            </w:pPr>
            <w:r w:rsidRPr="00717195">
              <w:rPr>
                <w:sz w:val="18"/>
                <w:szCs w:val="18"/>
              </w:rPr>
              <w:t>(28.6)</w:t>
            </w:r>
          </w:p>
        </w:tc>
        <w:tc>
          <w:tcPr>
            <w:tcW w:w="1275" w:type="dxa"/>
            <w:hideMark/>
          </w:tcPr>
          <w:p w14:paraId="736354E6" w14:textId="77777777" w:rsidR="001832A0" w:rsidRPr="00717195" w:rsidRDefault="001832A0" w:rsidP="002D3963">
            <w:pPr>
              <w:pStyle w:val="NormalWeb"/>
              <w:jc w:val="center"/>
              <w:rPr>
                <w:sz w:val="18"/>
                <w:szCs w:val="18"/>
              </w:rPr>
            </w:pPr>
            <w:r w:rsidRPr="00717195">
              <w:rPr>
                <w:sz w:val="18"/>
                <w:szCs w:val="18"/>
              </w:rPr>
              <w:t>10</w:t>
            </w:r>
          </w:p>
        </w:tc>
        <w:tc>
          <w:tcPr>
            <w:tcW w:w="1307" w:type="dxa"/>
            <w:hideMark/>
          </w:tcPr>
          <w:p w14:paraId="44BCDE3C" w14:textId="77777777" w:rsidR="001832A0" w:rsidRPr="00717195" w:rsidRDefault="001832A0" w:rsidP="002D3963">
            <w:pPr>
              <w:pStyle w:val="NormalWeb"/>
              <w:jc w:val="center"/>
              <w:rPr>
                <w:sz w:val="18"/>
                <w:szCs w:val="18"/>
              </w:rPr>
            </w:pPr>
            <w:r w:rsidRPr="00717195">
              <w:rPr>
                <w:sz w:val="18"/>
                <w:szCs w:val="18"/>
              </w:rPr>
              <w:t>(71.4)</w:t>
            </w:r>
          </w:p>
        </w:tc>
      </w:tr>
      <w:tr w:rsidR="00DF1085" w:rsidRPr="00717195" w14:paraId="2D4B04F8"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3B765925" w14:textId="77777777" w:rsidR="001832A0" w:rsidRPr="00717195" w:rsidRDefault="001832A0">
            <w:pPr>
              <w:pStyle w:val="NormalWeb"/>
              <w:rPr>
                <w:sz w:val="18"/>
                <w:szCs w:val="18"/>
              </w:rPr>
            </w:pPr>
            <w:r w:rsidRPr="00717195">
              <w:rPr>
                <w:sz w:val="18"/>
                <w:szCs w:val="18"/>
              </w:rPr>
              <w:t>Hypotension</w:t>
            </w:r>
          </w:p>
        </w:tc>
        <w:tc>
          <w:tcPr>
            <w:tcW w:w="1644" w:type="dxa"/>
            <w:hideMark/>
          </w:tcPr>
          <w:p w14:paraId="4646B064" w14:textId="77777777" w:rsidR="001832A0" w:rsidRPr="00717195" w:rsidRDefault="001832A0" w:rsidP="002D3963">
            <w:pPr>
              <w:pStyle w:val="NormalWeb"/>
              <w:jc w:val="center"/>
              <w:rPr>
                <w:sz w:val="18"/>
                <w:szCs w:val="18"/>
              </w:rPr>
            </w:pPr>
            <w:r w:rsidRPr="00717195">
              <w:rPr>
                <w:sz w:val="18"/>
                <w:szCs w:val="18"/>
              </w:rPr>
              <w:t>12</w:t>
            </w:r>
          </w:p>
        </w:tc>
        <w:tc>
          <w:tcPr>
            <w:tcW w:w="1134" w:type="dxa"/>
            <w:hideMark/>
          </w:tcPr>
          <w:p w14:paraId="20E9BEE7" w14:textId="77777777" w:rsidR="001832A0" w:rsidRPr="00717195" w:rsidRDefault="001832A0" w:rsidP="002D3963">
            <w:pPr>
              <w:pStyle w:val="NormalWeb"/>
              <w:jc w:val="center"/>
              <w:rPr>
                <w:sz w:val="18"/>
                <w:szCs w:val="18"/>
              </w:rPr>
            </w:pPr>
            <w:r w:rsidRPr="00717195">
              <w:rPr>
                <w:sz w:val="18"/>
                <w:szCs w:val="18"/>
              </w:rPr>
              <w:t>1</w:t>
            </w:r>
          </w:p>
        </w:tc>
        <w:tc>
          <w:tcPr>
            <w:tcW w:w="1134" w:type="dxa"/>
            <w:hideMark/>
          </w:tcPr>
          <w:p w14:paraId="424D5DD6" w14:textId="77777777" w:rsidR="001832A0" w:rsidRPr="00717195" w:rsidRDefault="001832A0" w:rsidP="002D3963">
            <w:pPr>
              <w:pStyle w:val="NormalWeb"/>
              <w:jc w:val="center"/>
              <w:rPr>
                <w:sz w:val="18"/>
                <w:szCs w:val="18"/>
              </w:rPr>
            </w:pPr>
            <w:r w:rsidRPr="00717195">
              <w:rPr>
                <w:sz w:val="18"/>
                <w:szCs w:val="18"/>
              </w:rPr>
              <w:t>(8.3)</w:t>
            </w:r>
          </w:p>
        </w:tc>
        <w:tc>
          <w:tcPr>
            <w:tcW w:w="1134" w:type="dxa"/>
            <w:hideMark/>
          </w:tcPr>
          <w:p w14:paraId="2D15C43E" w14:textId="77777777" w:rsidR="001832A0" w:rsidRPr="00717195" w:rsidRDefault="001832A0" w:rsidP="002D3963">
            <w:pPr>
              <w:pStyle w:val="NormalWeb"/>
              <w:jc w:val="center"/>
              <w:rPr>
                <w:sz w:val="18"/>
                <w:szCs w:val="18"/>
              </w:rPr>
            </w:pPr>
            <w:r w:rsidRPr="00717195">
              <w:rPr>
                <w:sz w:val="18"/>
                <w:szCs w:val="18"/>
              </w:rPr>
              <w:t>5</w:t>
            </w:r>
          </w:p>
        </w:tc>
        <w:tc>
          <w:tcPr>
            <w:tcW w:w="1225" w:type="dxa"/>
            <w:hideMark/>
          </w:tcPr>
          <w:p w14:paraId="37164EC6" w14:textId="77777777" w:rsidR="001832A0" w:rsidRPr="00717195" w:rsidRDefault="001832A0" w:rsidP="002D3963">
            <w:pPr>
              <w:pStyle w:val="NormalWeb"/>
              <w:jc w:val="center"/>
              <w:rPr>
                <w:sz w:val="18"/>
                <w:szCs w:val="18"/>
              </w:rPr>
            </w:pPr>
            <w:r w:rsidRPr="00717195">
              <w:rPr>
                <w:sz w:val="18"/>
                <w:szCs w:val="18"/>
              </w:rPr>
              <w:t>(41.7)</w:t>
            </w:r>
          </w:p>
        </w:tc>
        <w:tc>
          <w:tcPr>
            <w:tcW w:w="1326" w:type="dxa"/>
            <w:hideMark/>
          </w:tcPr>
          <w:p w14:paraId="6DD8CA02" w14:textId="77777777" w:rsidR="001832A0" w:rsidRPr="00717195" w:rsidRDefault="001832A0" w:rsidP="002D3963">
            <w:pPr>
              <w:pStyle w:val="NormalWeb"/>
              <w:jc w:val="center"/>
              <w:rPr>
                <w:sz w:val="18"/>
                <w:szCs w:val="18"/>
              </w:rPr>
            </w:pPr>
            <w:r w:rsidRPr="00717195">
              <w:rPr>
                <w:sz w:val="18"/>
                <w:szCs w:val="18"/>
              </w:rPr>
              <w:t>1</w:t>
            </w:r>
          </w:p>
        </w:tc>
        <w:tc>
          <w:tcPr>
            <w:tcW w:w="1418" w:type="dxa"/>
            <w:hideMark/>
          </w:tcPr>
          <w:p w14:paraId="30CAA4E4" w14:textId="77777777" w:rsidR="001832A0" w:rsidRPr="00717195" w:rsidRDefault="001832A0" w:rsidP="002D3963">
            <w:pPr>
              <w:pStyle w:val="NormalWeb"/>
              <w:jc w:val="center"/>
              <w:rPr>
                <w:sz w:val="18"/>
                <w:szCs w:val="18"/>
              </w:rPr>
            </w:pPr>
            <w:r w:rsidRPr="00717195">
              <w:rPr>
                <w:sz w:val="18"/>
                <w:szCs w:val="18"/>
              </w:rPr>
              <w:t>(8.3)</w:t>
            </w:r>
          </w:p>
        </w:tc>
        <w:tc>
          <w:tcPr>
            <w:tcW w:w="1275" w:type="dxa"/>
            <w:hideMark/>
          </w:tcPr>
          <w:p w14:paraId="69248389" w14:textId="77777777" w:rsidR="001832A0" w:rsidRPr="00717195" w:rsidRDefault="001832A0" w:rsidP="002D3963">
            <w:pPr>
              <w:pStyle w:val="NormalWeb"/>
              <w:jc w:val="center"/>
              <w:rPr>
                <w:sz w:val="18"/>
                <w:szCs w:val="18"/>
              </w:rPr>
            </w:pPr>
            <w:r w:rsidRPr="00717195">
              <w:rPr>
                <w:sz w:val="18"/>
                <w:szCs w:val="18"/>
              </w:rPr>
              <w:t>11</w:t>
            </w:r>
          </w:p>
        </w:tc>
        <w:tc>
          <w:tcPr>
            <w:tcW w:w="1307" w:type="dxa"/>
            <w:hideMark/>
          </w:tcPr>
          <w:p w14:paraId="38D70E43" w14:textId="77777777" w:rsidR="001832A0" w:rsidRPr="00717195" w:rsidRDefault="001832A0" w:rsidP="002D3963">
            <w:pPr>
              <w:pStyle w:val="NormalWeb"/>
              <w:jc w:val="center"/>
              <w:rPr>
                <w:sz w:val="18"/>
                <w:szCs w:val="18"/>
              </w:rPr>
            </w:pPr>
            <w:r w:rsidRPr="00717195">
              <w:rPr>
                <w:sz w:val="18"/>
                <w:szCs w:val="18"/>
              </w:rPr>
              <w:t>(91.7)</w:t>
            </w:r>
          </w:p>
        </w:tc>
      </w:tr>
      <w:tr w:rsidR="00427EF4" w:rsidRPr="00717195" w14:paraId="437F7FF7" w14:textId="77777777" w:rsidTr="00C25476">
        <w:tc>
          <w:tcPr>
            <w:tcW w:w="0" w:type="auto"/>
            <w:hideMark/>
          </w:tcPr>
          <w:p w14:paraId="320A75C3" w14:textId="77777777" w:rsidR="001832A0" w:rsidRPr="00717195" w:rsidRDefault="001832A0">
            <w:pPr>
              <w:pStyle w:val="NormalWeb"/>
              <w:rPr>
                <w:sz w:val="18"/>
                <w:szCs w:val="18"/>
              </w:rPr>
            </w:pPr>
            <w:r w:rsidRPr="00717195">
              <w:rPr>
                <w:sz w:val="18"/>
                <w:szCs w:val="18"/>
              </w:rPr>
              <w:t>Blister</w:t>
            </w:r>
          </w:p>
        </w:tc>
        <w:tc>
          <w:tcPr>
            <w:tcW w:w="1644" w:type="dxa"/>
            <w:hideMark/>
          </w:tcPr>
          <w:p w14:paraId="5654813F" w14:textId="77777777" w:rsidR="001832A0" w:rsidRPr="00717195" w:rsidRDefault="001832A0" w:rsidP="002D3963">
            <w:pPr>
              <w:pStyle w:val="NormalWeb"/>
              <w:jc w:val="center"/>
              <w:rPr>
                <w:sz w:val="18"/>
                <w:szCs w:val="18"/>
              </w:rPr>
            </w:pPr>
            <w:r w:rsidRPr="00717195">
              <w:rPr>
                <w:sz w:val="18"/>
                <w:szCs w:val="18"/>
              </w:rPr>
              <w:t>11</w:t>
            </w:r>
          </w:p>
        </w:tc>
        <w:tc>
          <w:tcPr>
            <w:tcW w:w="1134" w:type="dxa"/>
            <w:hideMark/>
          </w:tcPr>
          <w:p w14:paraId="02EF2BB3" w14:textId="77777777" w:rsidR="001832A0" w:rsidRPr="00717195" w:rsidRDefault="001832A0" w:rsidP="002D3963">
            <w:pPr>
              <w:pStyle w:val="NormalWeb"/>
              <w:jc w:val="center"/>
              <w:rPr>
                <w:sz w:val="18"/>
                <w:szCs w:val="18"/>
              </w:rPr>
            </w:pPr>
            <w:r w:rsidRPr="00717195">
              <w:rPr>
                <w:sz w:val="18"/>
                <w:szCs w:val="18"/>
              </w:rPr>
              <w:t>1</w:t>
            </w:r>
          </w:p>
        </w:tc>
        <w:tc>
          <w:tcPr>
            <w:tcW w:w="1134" w:type="dxa"/>
            <w:hideMark/>
          </w:tcPr>
          <w:p w14:paraId="2C6C3564" w14:textId="77777777" w:rsidR="001832A0" w:rsidRPr="00717195" w:rsidRDefault="001832A0" w:rsidP="002D3963">
            <w:pPr>
              <w:pStyle w:val="NormalWeb"/>
              <w:jc w:val="center"/>
              <w:rPr>
                <w:sz w:val="18"/>
                <w:szCs w:val="18"/>
              </w:rPr>
            </w:pPr>
            <w:r w:rsidRPr="00717195">
              <w:rPr>
                <w:sz w:val="18"/>
                <w:szCs w:val="18"/>
              </w:rPr>
              <w:t>(9.1)</w:t>
            </w:r>
          </w:p>
        </w:tc>
        <w:tc>
          <w:tcPr>
            <w:tcW w:w="1134" w:type="dxa"/>
            <w:hideMark/>
          </w:tcPr>
          <w:p w14:paraId="4E48FC1F" w14:textId="77777777" w:rsidR="001832A0" w:rsidRPr="00717195" w:rsidRDefault="001832A0" w:rsidP="002D3963">
            <w:pPr>
              <w:pStyle w:val="NormalWeb"/>
              <w:jc w:val="center"/>
              <w:rPr>
                <w:sz w:val="18"/>
                <w:szCs w:val="18"/>
              </w:rPr>
            </w:pPr>
            <w:r w:rsidRPr="00717195">
              <w:rPr>
                <w:sz w:val="18"/>
                <w:szCs w:val="18"/>
              </w:rPr>
              <w:t>3</w:t>
            </w:r>
          </w:p>
        </w:tc>
        <w:tc>
          <w:tcPr>
            <w:tcW w:w="1225" w:type="dxa"/>
            <w:hideMark/>
          </w:tcPr>
          <w:p w14:paraId="60FD03FB" w14:textId="77777777" w:rsidR="001832A0" w:rsidRPr="00717195" w:rsidRDefault="001832A0" w:rsidP="002D3963">
            <w:pPr>
              <w:pStyle w:val="NormalWeb"/>
              <w:jc w:val="center"/>
              <w:rPr>
                <w:sz w:val="18"/>
                <w:szCs w:val="18"/>
              </w:rPr>
            </w:pPr>
            <w:r w:rsidRPr="00717195">
              <w:rPr>
                <w:sz w:val="18"/>
                <w:szCs w:val="18"/>
              </w:rPr>
              <w:t>(27.3)</w:t>
            </w:r>
          </w:p>
        </w:tc>
        <w:tc>
          <w:tcPr>
            <w:tcW w:w="1326" w:type="dxa"/>
            <w:hideMark/>
          </w:tcPr>
          <w:p w14:paraId="658EA267" w14:textId="77777777" w:rsidR="001832A0" w:rsidRPr="00717195" w:rsidRDefault="001832A0" w:rsidP="002D3963">
            <w:pPr>
              <w:pStyle w:val="NormalWeb"/>
              <w:jc w:val="center"/>
              <w:rPr>
                <w:sz w:val="18"/>
                <w:szCs w:val="18"/>
              </w:rPr>
            </w:pPr>
            <w:r w:rsidRPr="00717195">
              <w:rPr>
                <w:sz w:val="18"/>
                <w:szCs w:val="18"/>
              </w:rPr>
              <w:t>6</w:t>
            </w:r>
          </w:p>
        </w:tc>
        <w:tc>
          <w:tcPr>
            <w:tcW w:w="1418" w:type="dxa"/>
            <w:hideMark/>
          </w:tcPr>
          <w:p w14:paraId="2BF92AAD" w14:textId="77777777" w:rsidR="001832A0" w:rsidRPr="00717195" w:rsidRDefault="001832A0" w:rsidP="002D3963">
            <w:pPr>
              <w:pStyle w:val="NormalWeb"/>
              <w:jc w:val="center"/>
              <w:rPr>
                <w:sz w:val="18"/>
                <w:szCs w:val="18"/>
              </w:rPr>
            </w:pPr>
            <w:r w:rsidRPr="00717195">
              <w:rPr>
                <w:sz w:val="18"/>
                <w:szCs w:val="18"/>
              </w:rPr>
              <w:t>(54.5)</w:t>
            </w:r>
          </w:p>
        </w:tc>
        <w:tc>
          <w:tcPr>
            <w:tcW w:w="1275" w:type="dxa"/>
            <w:hideMark/>
          </w:tcPr>
          <w:p w14:paraId="10E6FFD9" w14:textId="77777777" w:rsidR="001832A0" w:rsidRPr="00717195" w:rsidRDefault="001832A0" w:rsidP="002D3963">
            <w:pPr>
              <w:pStyle w:val="NormalWeb"/>
              <w:jc w:val="center"/>
              <w:rPr>
                <w:sz w:val="18"/>
                <w:szCs w:val="18"/>
              </w:rPr>
            </w:pPr>
            <w:r w:rsidRPr="00717195">
              <w:rPr>
                <w:sz w:val="18"/>
                <w:szCs w:val="18"/>
              </w:rPr>
              <w:t>5</w:t>
            </w:r>
          </w:p>
        </w:tc>
        <w:tc>
          <w:tcPr>
            <w:tcW w:w="1307" w:type="dxa"/>
            <w:hideMark/>
          </w:tcPr>
          <w:p w14:paraId="08F1E8E0" w14:textId="77777777" w:rsidR="001832A0" w:rsidRPr="00717195" w:rsidRDefault="001832A0" w:rsidP="002D3963">
            <w:pPr>
              <w:pStyle w:val="NormalWeb"/>
              <w:jc w:val="center"/>
              <w:rPr>
                <w:sz w:val="18"/>
                <w:szCs w:val="18"/>
              </w:rPr>
            </w:pPr>
            <w:r w:rsidRPr="00717195">
              <w:rPr>
                <w:sz w:val="18"/>
                <w:szCs w:val="18"/>
              </w:rPr>
              <w:t>(45.5)</w:t>
            </w:r>
          </w:p>
        </w:tc>
      </w:tr>
      <w:tr w:rsidR="00DF1085" w:rsidRPr="00717195" w14:paraId="2CEAD19B"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0D5CEF1D" w14:textId="77777777" w:rsidR="001832A0" w:rsidRPr="00717195" w:rsidRDefault="001832A0">
            <w:pPr>
              <w:pStyle w:val="NormalWeb"/>
              <w:rPr>
                <w:sz w:val="18"/>
                <w:szCs w:val="18"/>
              </w:rPr>
            </w:pPr>
            <w:r w:rsidRPr="00717195">
              <w:rPr>
                <w:sz w:val="18"/>
                <w:szCs w:val="18"/>
              </w:rPr>
              <w:lastRenderedPageBreak/>
              <w:t>Tremor</w:t>
            </w:r>
          </w:p>
        </w:tc>
        <w:tc>
          <w:tcPr>
            <w:tcW w:w="1644" w:type="dxa"/>
            <w:hideMark/>
          </w:tcPr>
          <w:p w14:paraId="414DF0D8" w14:textId="77777777" w:rsidR="001832A0" w:rsidRPr="00717195" w:rsidRDefault="001832A0" w:rsidP="002D3963">
            <w:pPr>
              <w:pStyle w:val="NormalWeb"/>
              <w:jc w:val="center"/>
              <w:rPr>
                <w:sz w:val="18"/>
                <w:szCs w:val="18"/>
              </w:rPr>
            </w:pPr>
            <w:r w:rsidRPr="00717195">
              <w:rPr>
                <w:sz w:val="18"/>
                <w:szCs w:val="18"/>
              </w:rPr>
              <w:t>10</w:t>
            </w:r>
          </w:p>
        </w:tc>
        <w:tc>
          <w:tcPr>
            <w:tcW w:w="1134" w:type="dxa"/>
            <w:hideMark/>
          </w:tcPr>
          <w:p w14:paraId="661D68FB" w14:textId="77777777" w:rsidR="001832A0" w:rsidRPr="00717195" w:rsidRDefault="001832A0" w:rsidP="002D3963">
            <w:pPr>
              <w:pStyle w:val="NormalWeb"/>
              <w:jc w:val="center"/>
              <w:rPr>
                <w:sz w:val="18"/>
                <w:szCs w:val="18"/>
              </w:rPr>
            </w:pPr>
            <w:r w:rsidRPr="00717195">
              <w:rPr>
                <w:sz w:val="18"/>
                <w:szCs w:val="18"/>
              </w:rPr>
              <w:t>1</w:t>
            </w:r>
          </w:p>
        </w:tc>
        <w:tc>
          <w:tcPr>
            <w:tcW w:w="1134" w:type="dxa"/>
            <w:hideMark/>
          </w:tcPr>
          <w:p w14:paraId="11514F36" w14:textId="77777777" w:rsidR="001832A0" w:rsidRPr="00717195" w:rsidRDefault="001832A0" w:rsidP="002D3963">
            <w:pPr>
              <w:pStyle w:val="NormalWeb"/>
              <w:jc w:val="center"/>
              <w:rPr>
                <w:sz w:val="18"/>
                <w:szCs w:val="18"/>
              </w:rPr>
            </w:pPr>
            <w:r w:rsidRPr="00717195">
              <w:rPr>
                <w:sz w:val="18"/>
                <w:szCs w:val="18"/>
              </w:rPr>
              <w:t>(10.0)</w:t>
            </w:r>
          </w:p>
        </w:tc>
        <w:tc>
          <w:tcPr>
            <w:tcW w:w="1134" w:type="dxa"/>
            <w:hideMark/>
          </w:tcPr>
          <w:p w14:paraId="77587EEA" w14:textId="77777777" w:rsidR="001832A0" w:rsidRPr="00717195" w:rsidRDefault="001832A0" w:rsidP="002D3963">
            <w:pPr>
              <w:pStyle w:val="NormalWeb"/>
              <w:jc w:val="center"/>
              <w:rPr>
                <w:sz w:val="18"/>
                <w:szCs w:val="18"/>
              </w:rPr>
            </w:pPr>
            <w:r w:rsidRPr="00717195">
              <w:rPr>
                <w:sz w:val="18"/>
                <w:szCs w:val="18"/>
              </w:rPr>
              <w:t>3</w:t>
            </w:r>
          </w:p>
        </w:tc>
        <w:tc>
          <w:tcPr>
            <w:tcW w:w="1225" w:type="dxa"/>
            <w:hideMark/>
          </w:tcPr>
          <w:p w14:paraId="1909CEF9" w14:textId="77777777" w:rsidR="001832A0" w:rsidRPr="00717195" w:rsidRDefault="001832A0" w:rsidP="002D3963">
            <w:pPr>
              <w:pStyle w:val="NormalWeb"/>
              <w:jc w:val="center"/>
              <w:rPr>
                <w:sz w:val="18"/>
                <w:szCs w:val="18"/>
              </w:rPr>
            </w:pPr>
            <w:r w:rsidRPr="00717195">
              <w:rPr>
                <w:sz w:val="18"/>
                <w:szCs w:val="18"/>
              </w:rPr>
              <w:t>(30.0)</w:t>
            </w:r>
          </w:p>
        </w:tc>
        <w:tc>
          <w:tcPr>
            <w:tcW w:w="1326" w:type="dxa"/>
            <w:hideMark/>
          </w:tcPr>
          <w:p w14:paraId="2855D297" w14:textId="77777777" w:rsidR="001832A0" w:rsidRPr="00717195" w:rsidRDefault="001832A0" w:rsidP="002D3963">
            <w:pPr>
              <w:pStyle w:val="NormalWeb"/>
              <w:jc w:val="center"/>
              <w:rPr>
                <w:sz w:val="18"/>
                <w:szCs w:val="18"/>
              </w:rPr>
            </w:pPr>
            <w:r w:rsidRPr="00717195">
              <w:rPr>
                <w:sz w:val="18"/>
                <w:szCs w:val="18"/>
              </w:rPr>
              <w:t>1</w:t>
            </w:r>
          </w:p>
        </w:tc>
        <w:tc>
          <w:tcPr>
            <w:tcW w:w="1418" w:type="dxa"/>
            <w:hideMark/>
          </w:tcPr>
          <w:p w14:paraId="7F7CC42B" w14:textId="77777777" w:rsidR="001832A0" w:rsidRPr="00717195" w:rsidRDefault="001832A0" w:rsidP="002D3963">
            <w:pPr>
              <w:pStyle w:val="NormalWeb"/>
              <w:jc w:val="center"/>
              <w:rPr>
                <w:sz w:val="18"/>
                <w:szCs w:val="18"/>
              </w:rPr>
            </w:pPr>
            <w:r w:rsidRPr="00717195">
              <w:rPr>
                <w:sz w:val="18"/>
                <w:szCs w:val="18"/>
              </w:rPr>
              <w:t>(10.0)</w:t>
            </w:r>
          </w:p>
        </w:tc>
        <w:tc>
          <w:tcPr>
            <w:tcW w:w="1275" w:type="dxa"/>
            <w:hideMark/>
          </w:tcPr>
          <w:p w14:paraId="707E933D" w14:textId="77777777" w:rsidR="001832A0" w:rsidRPr="00717195" w:rsidRDefault="001832A0" w:rsidP="002D3963">
            <w:pPr>
              <w:pStyle w:val="NormalWeb"/>
              <w:jc w:val="center"/>
              <w:rPr>
                <w:sz w:val="18"/>
                <w:szCs w:val="18"/>
              </w:rPr>
            </w:pPr>
            <w:r w:rsidRPr="00717195">
              <w:rPr>
                <w:sz w:val="18"/>
                <w:szCs w:val="18"/>
              </w:rPr>
              <w:t>8</w:t>
            </w:r>
          </w:p>
        </w:tc>
        <w:tc>
          <w:tcPr>
            <w:tcW w:w="1307" w:type="dxa"/>
            <w:hideMark/>
          </w:tcPr>
          <w:p w14:paraId="42E38179" w14:textId="77777777" w:rsidR="001832A0" w:rsidRPr="00717195" w:rsidRDefault="001832A0" w:rsidP="002D3963">
            <w:pPr>
              <w:pStyle w:val="NormalWeb"/>
              <w:jc w:val="center"/>
              <w:rPr>
                <w:sz w:val="18"/>
                <w:szCs w:val="18"/>
              </w:rPr>
            </w:pPr>
            <w:r w:rsidRPr="00717195">
              <w:rPr>
                <w:sz w:val="18"/>
                <w:szCs w:val="18"/>
              </w:rPr>
              <w:t>(80.0)</w:t>
            </w:r>
          </w:p>
        </w:tc>
      </w:tr>
      <w:tr w:rsidR="00427EF4" w:rsidRPr="00717195" w14:paraId="6FCAFE14" w14:textId="77777777" w:rsidTr="00C25476">
        <w:tc>
          <w:tcPr>
            <w:tcW w:w="0" w:type="auto"/>
            <w:hideMark/>
          </w:tcPr>
          <w:p w14:paraId="4777E832" w14:textId="77777777" w:rsidR="001832A0" w:rsidRPr="00717195" w:rsidRDefault="001832A0">
            <w:pPr>
              <w:pStyle w:val="NormalWeb"/>
              <w:rPr>
                <w:sz w:val="18"/>
                <w:szCs w:val="18"/>
              </w:rPr>
            </w:pPr>
            <w:r w:rsidRPr="00717195">
              <w:rPr>
                <w:sz w:val="18"/>
                <w:szCs w:val="18"/>
              </w:rPr>
              <w:t>Lymphadenitis</w:t>
            </w:r>
          </w:p>
        </w:tc>
        <w:tc>
          <w:tcPr>
            <w:tcW w:w="1644" w:type="dxa"/>
            <w:hideMark/>
          </w:tcPr>
          <w:p w14:paraId="5E13AB8A" w14:textId="77777777" w:rsidR="001832A0" w:rsidRPr="00717195" w:rsidRDefault="001832A0" w:rsidP="002D3963">
            <w:pPr>
              <w:pStyle w:val="NormalWeb"/>
              <w:jc w:val="center"/>
              <w:rPr>
                <w:sz w:val="18"/>
                <w:szCs w:val="18"/>
              </w:rPr>
            </w:pPr>
            <w:r w:rsidRPr="00717195">
              <w:rPr>
                <w:sz w:val="18"/>
                <w:szCs w:val="18"/>
              </w:rPr>
              <w:t>9</w:t>
            </w:r>
          </w:p>
        </w:tc>
        <w:tc>
          <w:tcPr>
            <w:tcW w:w="1134" w:type="dxa"/>
            <w:hideMark/>
          </w:tcPr>
          <w:p w14:paraId="33A8C41F" w14:textId="77777777" w:rsidR="001832A0" w:rsidRPr="00717195" w:rsidRDefault="001832A0" w:rsidP="002D3963">
            <w:pPr>
              <w:pStyle w:val="NormalWeb"/>
              <w:jc w:val="center"/>
              <w:rPr>
                <w:sz w:val="18"/>
                <w:szCs w:val="18"/>
              </w:rPr>
            </w:pPr>
            <w:r w:rsidRPr="00717195">
              <w:rPr>
                <w:sz w:val="18"/>
                <w:szCs w:val="18"/>
              </w:rPr>
              <w:t>4</w:t>
            </w:r>
          </w:p>
        </w:tc>
        <w:tc>
          <w:tcPr>
            <w:tcW w:w="1134" w:type="dxa"/>
            <w:hideMark/>
          </w:tcPr>
          <w:p w14:paraId="6C789DD2" w14:textId="77777777" w:rsidR="001832A0" w:rsidRPr="00717195" w:rsidRDefault="001832A0" w:rsidP="002D3963">
            <w:pPr>
              <w:pStyle w:val="NormalWeb"/>
              <w:jc w:val="center"/>
              <w:rPr>
                <w:sz w:val="18"/>
                <w:szCs w:val="18"/>
              </w:rPr>
            </w:pPr>
            <w:r w:rsidRPr="00717195">
              <w:rPr>
                <w:sz w:val="18"/>
                <w:szCs w:val="18"/>
              </w:rPr>
              <w:t>(44.4)</w:t>
            </w:r>
          </w:p>
        </w:tc>
        <w:tc>
          <w:tcPr>
            <w:tcW w:w="1134" w:type="dxa"/>
            <w:hideMark/>
          </w:tcPr>
          <w:p w14:paraId="6A4B62D8" w14:textId="77777777" w:rsidR="001832A0" w:rsidRPr="00717195" w:rsidRDefault="001832A0" w:rsidP="002D3963">
            <w:pPr>
              <w:pStyle w:val="NormalWeb"/>
              <w:jc w:val="center"/>
              <w:rPr>
                <w:sz w:val="18"/>
                <w:szCs w:val="18"/>
              </w:rPr>
            </w:pPr>
            <w:r w:rsidRPr="00717195">
              <w:rPr>
                <w:sz w:val="18"/>
                <w:szCs w:val="18"/>
              </w:rPr>
              <w:t>2</w:t>
            </w:r>
          </w:p>
        </w:tc>
        <w:tc>
          <w:tcPr>
            <w:tcW w:w="1225" w:type="dxa"/>
            <w:hideMark/>
          </w:tcPr>
          <w:p w14:paraId="691BE57D" w14:textId="77777777" w:rsidR="001832A0" w:rsidRPr="00717195" w:rsidRDefault="001832A0" w:rsidP="002D3963">
            <w:pPr>
              <w:pStyle w:val="NormalWeb"/>
              <w:jc w:val="center"/>
              <w:rPr>
                <w:sz w:val="18"/>
                <w:szCs w:val="18"/>
              </w:rPr>
            </w:pPr>
            <w:r w:rsidRPr="00717195">
              <w:rPr>
                <w:sz w:val="18"/>
                <w:szCs w:val="18"/>
              </w:rPr>
              <w:t>(22.2)</w:t>
            </w:r>
          </w:p>
        </w:tc>
        <w:tc>
          <w:tcPr>
            <w:tcW w:w="1326" w:type="dxa"/>
            <w:hideMark/>
          </w:tcPr>
          <w:p w14:paraId="6E3FD143" w14:textId="77777777" w:rsidR="001832A0" w:rsidRPr="00717195" w:rsidRDefault="001832A0" w:rsidP="002D3963">
            <w:pPr>
              <w:pStyle w:val="NormalWeb"/>
              <w:jc w:val="center"/>
              <w:rPr>
                <w:sz w:val="18"/>
                <w:szCs w:val="18"/>
              </w:rPr>
            </w:pPr>
            <w:r w:rsidRPr="00717195">
              <w:rPr>
                <w:sz w:val="18"/>
                <w:szCs w:val="18"/>
              </w:rPr>
              <w:t>1</w:t>
            </w:r>
          </w:p>
        </w:tc>
        <w:tc>
          <w:tcPr>
            <w:tcW w:w="1418" w:type="dxa"/>
            <w:hideMark/>
          </w:tcPr>
          <w:p w14:paraId="214BE3EA" w14:textId="77777777" w:rsidR="001832A0" w:rsidRPr="00717195" w:rsidRDefault="001832A0" w:rsidP="002D3963">
            <w:pPr>
              <w:pStyle w:val="NormalWeb"/>
              <w:jc w:val="center"/>
              <w:rPr>
                <w:sz w:val="18"/>
                <w:szCs w:val="18"/>
              </w:rPr>
            </w:pPr>
            <w:r w:rsidRPr="00717195">
              <w:rPr>
                <w:sz w:val="18"/>
                <w:szCs w:val="18"/>
              </w:rPr>
              <w:t>(11.1)</w:t>
            </w:r>
          </w:p>
        </w:tc>
        <w:tc>
          <w:tcPr>
            <w:tcW w:w="1275" w:type="dxa"/>
            <w:hideMark/>
          </w:tcPr>
          <w:p w14:paraId="77734320" w14:textId="77777777" w:rsidR="001832A0" w:rsidRPr="00717195" w:rsidRDefault="001832A0" w:rsidP="002D3963">
            <w:pPr>
              <w:pStyle w:val="NormalWeb"/>
              <w:jc w:val="center"/>
              <w:rPr>
                <w:sz w:val="18"/>
                <w:szCs w:val="18"/>
              </w:rPr>
            </w:pPr>
            <w:r w:rsidRPr="00717195">
              <w:rPr>
                <w:sz w:val="18"/>
                <w:szCs w:val="18"/>
              </w:rPr>
              <w:t>8</w:t>
            </w:r>
          </w:p>
        </w:tc>
        <w:tc>
          <w:tcPr>
            <w:tcW w:w="1307" w:type="dxa"/>
            <w:hideMark/>
          </w:tcPr>
          <w:p w14:paraId="1BE30888" w14:textId="77777777" w:rsidR="001832A0" w:rsidRPr="00717195" w:rsidRDefault="001832A0" w:rsidP="002D3963">
            <w:pPr>
              <w:pStyle w:val="NormalWeb"/>
              <w:jc w:val="center"/>
              <w:rPr>
                <w:sz w:val="18"/>
                <w:szCs w:val="18"/>
              </w:rPr>
            </w:pPr>
            <w:r w:rsidRPr="00717195">
              <w:rPr>
                <w:sz w:val="18"/>
                <w:szCs w:val="18"/>
              </w:rPr>
              <w:t>(88.9)</w:t>
            </w:r>
          </w:p>
        </w:tc>
      </w:tr>
      <w:tr w:rsidR="00DF1085" w:rsidRPr="00717195" w14:paraId="159C0DE4" w14:textId="77777777" w:rsidTr="00C25476">
        <w:trPr>
          <w:cnfStyle w:val="000000010000" w:firstRow="0" w:lastRow="0" w:firstColumn="0" w:lastColumn="0" w:oddVBand="0" w:evenVBand="0" w:oddHBand="0" w:evenHBand="1" w:firstRowFirstColumn="0" w:firstRowLastColumn="0" w:lastRowFirstColumn="0" w:lastRowLastColumn="0"/>
        </w:trPr>
        <w:tc>
          <w:tcPr>
            <w:tcW w:w="0" w:type="auto"/>
            <w:hideMark/>
          </w:tcPr>
          <w:p w14:paraId="598239B4" w14:textId="77777777" w:rsidR="001832A0" w:rsidRPr="00717195" w:rsidRDefault="001832A0">
            <w:pPr>
              <w:pStyle w:val="NormalWeb"/>
              <w:rPr>
                <w:sz w:val="18"/>
                <w:szCs w:val="18"/>
              </w:rPr>
            </w:pPr>
            <w:r w:rsidRPr="00717195">
              <w:rPr>
                <w:sz w:val="18"/>
                <w:szCs w:val="18"/>
              </w:rPr>
              <w:t>Intussusception</w:t>
            </w:r>
          </w:p>
        </w:tc>
        <w:tc>
          <w:tcPr>
            <w:tcW w:w="1644" w:type="dxa"/>
            <w:hideMark/>
          </w:tcPr>
          <w:p w14:paraId="73EC92B7" w14:textId="77777777" w:rsidR="001832A0" w:rsidRPr="00717195" w:rsidRDefault="001832A0" w:rsidP="002D3963">
            <w:pPr>
              <w:pStyle w:val="NormalWeb"/>
              <w:jc w:val="center"/>
              <w:rPr>
                <w:sz w:val="18"/>
                <w:szCs w:val="18"/>
              </w:rPr>
            </w:pPr>
            <w:r w:rsidRPr="00717195">
              <w:rPr>
                <w:sz w:val="18"/>
                <w:szCs w:val="18"/>
              </w:rPr>
              <w:t>8</w:t>
            </w:r>
          </w:p>
        </w:tc>
        <w:tc>
          <w:tcPr>
            <w:tcW w:w="1134" w:type="dxa"/>
            <w:hideMark/>
          </w:tcPr>
          <w:p w14:paraId="55C57F00" w14:textId="77777777" w:rsidR="001832A0" w:rsidRPr="00717195" w:rsidRDefault="001832A0" w:rsidP="002D3963">
            <w:pPr>
              <w:pStyle w:val="NormalWeb"/>
              <w:jc w:val="center"/>
              <w:rPr>
                <w:sz w:val="18"/>
                <w:szCs w:val="18"/>
              </w:rPr>
            </w:pPr>
            <w:r w:rsidRPr="00717195">
              <w:rPr>
                <w:sz w:val="18"/>
                <w:szCs w:val="18"/>
              </w:rPr>
              <w:t>7</w:t>
            </w:r>
          </w:p>
        </w:tc>
        <w:tc>
          <w:tcPr>
            <w:tcW w:w="1134" w:type="dxa"/>
            <w:hideMark/>
          </w:tcPr>
          <w:p w14:paraId="14A5FB0B" w14:textId="77777777" w:rsidR="001832A0" w:rsidRPr="00717195" w:rsidRDefault="001832A0" w:rsidP="002D3963">
            <w:pPr>
              <w:pStyle w:val="NormalWeb"/>
              <w:jc w:val="center"/>
              <w:rPr>
                <w:sz w:val="18"/>
                <w:szCs w:val="18"/>
              </w:rPr>
            </w:pPr>
            <w:r w:rsidRPr="00717195">
              <w:rPr>
                <w:sz w:val="18"/>
                <w:szCs w:val="18"/>
              </w:rPr>
              <w:t>(87.5)</w:t>
            </w:r>
          </w:p>
        </w:tc>
        <w:tc>
          <w:tcPr>
            <w:tcW w:w="1134" w:type="dxa"/>
            <w:hideMark/>
          </w:tcPr>
          <w:p w14:paraId="3E9C98E2" w14:textId="77777777" w:rsidR="001832A0" w:rsidRPr="00717195" w:rsidRDefault="001832A0" w:rsidP="002D3963">
            <w:pPr>
              <w:pStyle w:val="NormalWeb"/>
              <w:jc w:val="center"/>
              <w:rPr>
                <w:sz w:val="18"/>
                <w:szCs w:val="18"/>
              </w:rPr>
            </w:pPr>
            <w:r w:rsidRPr="00717195">
              <w:rPr>
                <w:sz w:val="18"/>
                <w:szCs w:val="18"/>
              </w:rPr>
              <w:t>5</w:t>
            </w:r>
          </w:p>
        </w:tc>
        <w:tc>
          <w:tcPr>
            <w:tcW w:w="1225" w:type="dxa"/>
            <w:hideMark/>
          </w:tcPr>
          <w:p w14:paraId="18A1DF4F" w14:textId="77777777" w:rsidR="001832A0" w:rsidRPr="00717195" w:rsidRDefault="001832A0" w:rsidP="002D3963">
            <w:pPr>
              <w:pStyle w:val="NormalWeb"/>
              <w:jc w:val="center"/>
              <w:rPr>
                <w:sz w:val="18"/>
                <w:szCs w:val="18"/>
              </w:rPr>
            </w:pPr>
            <w:r w:rsidRPr="00717195">
              <w:rPr>
                <w:sz w:val="18"/>
                <w:szCs w:val="18"/>
              </w:rPr>
              <w:t>(62.5)</w:t>
            </w:r>
          </w:p>
        </w:tc>
        <w:tc>
          <w:tcPr>
            <w:tcW w:w="1326" w:type="dxa"/>
            <w:hideMark/>
          </w:tcPr>
          <w:p w14:paraId="15009EF0" w14:textId="77777777" w:rsidR="001832A0" w:rsidRPr="00717195" w:rsidRDefault="001832A0" w:rsidP="002D3963">
            <w:pPr>
              <w:pStyle w:val="NormalWeb"/>
              <w:jc w:val="center"/>
              <w:rPr>
                <w:sz w:val="18"/>
                <w:szCs w:val="18"/>
              </w:rPr>
            </w:pPr>
            <w:r w:rsidRPr="00717195">
              <w:rPr>
                <w:sz w:val="18"/>
                <w:szCs w:val="18"/>
              </w:rPr>
              <w:t>8</w:t>
            </w:r>
          </w:p>
        </w:tc>
        <w:tc>
          <w:tcPr>
            <w:tcW w:w="1418" w:type="dxa"/>
            <w:hideMark/>
          </w:tcPr>
          <w:p w14:paraId="53DE0A5E" w14:textId="77777777" w:rsidR="001832A0" w:rsidRPr="00717195" w:rsidRDefault="001832A0" w:rsidP="002D3963">
            <w:pPr>
              <w:pStyle w:val="NormalWeb"/>
              <w:jc w:val="center"/>
              <w:rPr>
                <w:sz w:val="18"/>
                <w:szCs w:val="18"/>
              </w:rPr>
            </w:pPr>
            <w:r w:rsidRPr="00717195">
              <w:rPr>
                <w:sz w:val="18"/>
                <w:szCs w:val="18"/>
              </w:rPr>
              <w:t>(100.0)</w:t>
            </w:r>
          </w:p>
        </w:tc>
        <w:tc>
          <w:tcPr>
            <w:tcW w:w="1275" w:type="dxa"/>
            <w:hideMark/>
          </w:tcPr>
          <w:p w14:paraId="0840A64C" w14:textId="77777777" w:rsidR="001832A0" w:rsidRPr="00717195" w:rsidRDefault="001832A0" w:rsidP="002D3963">
            <w:pPr>
              <w:pStyle w:val="NormalWeb"/>
              <w:jc w:val="center"/>
              <w:rPr>
                <w:sz w:val="18"/>
                <w:szCs w:val="18"/>
              </w:rPr>
            </w:pPr>
            <w:r w:rsidRPr="00717195">
              <w:rPr>
                <w:sz w:val="18"/>
                <w:szCs w:val="18"/>
              </w:rPr>
              <w:t>0</w:t>
            </w:r>
          </w:p>
        </w:tc>
        <w:tc>
          <w:tcPr>
            <w:tcW w:w="1307" w:type="dxa"/>
            <w:hideMark/>
          </w:tcPr>
          <w:p w14:paraId="33386589" w14:textId="77777777" w:rsidR="001832A0" w:rsidRPr="00717195" w:rsidRDefault="001832A0" w:rsidP="002D3963">
            <w:pPr>
              <w:pStyle w:val="NormalWeb"/>
              <w:jc w:val="center"/>
              <w:rPr>
                <w:sz w:val="18"/>
                <w:szCs w:val="18"/>
              </w:rPr>
            </w:pPr>
            <w:r w:rsidRPr="00717195">
              <w:rPr>
                <w:sz w:val="18"/>
                <w:szCs w:val="18"/>
              </w:rPr>
              <w:t>(0.0)</w:t>
            </w:r>
          </w:p>
        </w:tc>
      </w:tr>
      <w:tr w:rsidR="00427EF4" w:rsidRPr="00717195" w14:paraId="3E7443A6" w14:textId="77777777" w:rsidTr="00C25476">
        <w:tc>
          <w:tcPr>
            <w:tcW w:w="0" w:type="auto"/>
            <w:hideMark/>
          </w:tcPr>
          <w:p w14:paraId="1ECDA47E" w14:textId="77777777" w:rsidR="001832A0" w:rsidRPr="00717195" w:rsidRDefault="001832A0">
            <w:pPr>
              <w:pStyle w:val="NormalWeb"/>
              <w:rPr>
                <w:sz w:val="18"/>
                <w:szCs w:val="18"/>
              </w:rPr>
            </w:pPr>
            <w:r w:rsidRPr="00717195">
              <w:rPr>
                <w:sz w:val="18"/>
                <w:szCs w:val="18"/>
              </w:rPr>
              <w:t>Hypersensitivity</w:t>
            </w:r>
          </w:p>
        </w:tc>
        <w:tc>
          <w:tcPr>
            <w:tcW w:w="1644" w:type="dxa"/>
            <w:hideMark/>
          </w:tcPr>
          <w:p w14:paraId="522C463F" w14:textId="77777777" w:rsidR="001832A0" w:rsidRPr="00717195" w:rsidRDefault="001832A0" w:rsidP="002D3963">
            <w:pPr>
              <w:pStyle w:val="NormalWeb"/>
              <w:jc w:val="center"/>
              <w:rPr>
                <w:sz w:val="18"/>
                <w:szCs w:val="18"/>
              </w:rPr>
            </w:pPr>
            <w:r w:rsidRPr="00717195">
              <w:rPr>
                <w:sz w:val="18"/>
                <w:szCs w:val="18"/>
              </w:rPr>
              <w:t>8</w:t>
            </w:r>
          </w:p>
        </w:tc>
        <w:tc>
          <w:tcPr>
            <w:tcW w:w="1134" w:type="dxa"/>
            <w:hideMark/>
          </w:tcPr>
          <w:p w14:paraId="078FBBE0" w14:textId="77777777" w:rsidR="001832A0" w:rsidRPr="00717195" w:rsidRDefault="001832A0" w:rsidP="002D3963">
            <w:pPr>
              <w:pStyle w:val="NormalWeb"/>
              <w:jc w:val="center"/>
              <w:rPr>
                <w:sz w:val="18"/>
                <w:szCs w:val="18"/>
              </w:rPr>
            </w:pPr>
            <w:r w:rsidRPr="00717195">
              <w:rPr>
                <w:sz w:val="18"/>
                <w:szCs w:val="18"/>
              </w:rPr>
              <w:t>1</w:t>
            </w:r>
          </w:p>
        </w:tc>
        <w:tc>
          <w:tcPr>
            <w:tcW w:w="1134" w:type="dxa"/>
            <w:hideMark/>
          </w:tcPr>
          <w:p w14:paraId="302743D0" w14:textId="77777777" w:rsidR="001832A0" w:rsidRPr="00717195" w:rsidRDefault="001832A0" w:rsidP="002D3963">
            <w:pPr>
              <w:pStyle w:val="NormalWeb"/>
              <w:jc w:val="center"/>
              <w:rPr>
                <w:sz w:val="18"/>
                <w:szCs w:val="18"/>
              </w:rPr>
            </w:pPr>
            <w:r w:rsidRPr="00717195">
              <w:rPr>
                <w:sz w:val="18"/>
                <w:szCs w:val="18"/>
              </w:rPr>
              <w:t>(12.5)</w:t>
            </w:r>
          </w:p>
        </w:tc>
        <w:tc>
          <w:tcPr>
            <w:tcW w:w="1134" w:type="dxa"/>
            <w:hideMark/>
          </w:tcPr>
          <w:p w14:paraId="6D614851" w14:textId="77777777" w:rsidR="001832A0" w:rsidRPr="00717195" w:rsidRDefault="001832A0" w:rsidP="002D3963">
            <w:pPr>
              <w:pStyle w:val="NormalWeb"/>
              <w:jc w:val="center"/>
              <w:rPr>
                <w:sz w:val="18"/>
                <w:szCs w:val="18"/>
              </w:rPr>
            </w:pPr>
            <w:r w:rsidRPr="00717195">
              <w:rPr>
                <w:sz w:val="18"/>
                <w:szCs w:val="18"/>
              </w:rPr>
              <w:t>2</w:t>
            </w:r>
          </w:p>
        </w:tc>
        <w:tc>
          <w:tcPr>
            <w:tcW w:w="1225" w:type="dxa"/>
            <w:hideMark/>
          </w:tcPr>
          <w:p w14:paraId="48204FC0" w14:textId="77777777" w:rsidR="001832A0" w:rsidRPr="00717195" w:rsidRDefault="001832A0" w:rsidP="002D3963">
            <w:pPr>
              <w:pStyle w:val="NormalWeb"/>
              <w:jc w:val="center"/>
              <w:rPr>
                <w:sz w:val="18"/>
                <w:szCs w:val="18"/>
              </w:rPr>
            </w:pPr>
            <w:r w:rsidRPr="00717195">
              <w:rPr>
                <w:sz w:val="18"/>
                <w:szCs w:val="18"/>
              </w:rPr>
              <w:t>(25.0)</w:t>
            </w:r>
          </w:p>
        </w:tc>
        <w:tc>
          <w:tcPr>
            <w:tcW w:w="1326" w:type="dxa"/>
            <w:hideMark/>
          </w:tcPr>
          <w:p w14:paraId="1AA04A33" w14:textId="77777777" w:rsidR="001832A0" w:rsidRPr="00717195" w:rsidRDefault="001832A0" w:rsidP="002D3963">
            <w:pPr>
              <w:pStyle w:val="NormalWeb"/>
              <w:jc w:val="center"/>
              <w:rPr>
                <w:sz w:val="18"/>
                <w:szCs w:val="18"/>
              </w:rPr>
            </w:pPr>
            <w:r w:rsidRPr="00717195">
              <w:rPr>
                <w:sz w:val="18"/>
                <w:szCs w:val="18"/>
              </w:rPr>
              <w:t>1</w:t>
            </w:r>
          </w:p>
        </w:tc>
        <w:tc>
          <w:tcPr>
            <w:tcW w:w="1418" w:type="dxa"/>
            <w:hideMark/>
          </w:tcPr>
          <w:p w14:paraId="124B4B04" w14:textId="77777777" w:rsidR="001832A0" w:rsidRPr="00717195" w:rsidRDefault="001832A0" w:rsidP="002D3963">
            <w:pPr>
              <w:pStyle w:val="NormalWeb"/>
              <w:jc w:val="center"/>
              <w:rPr>
                <w:sz w:val="18"/>
                <w:szCs w:val="18"/>
              </w:rPr>
            </w:pPr>
            <w:r w:rsidRPr="00717195">
              <w:rPr>
                <w:sz w:val="18"/>
                <w:szCs w:val="18"/>
              </w:rPr>
              <w:t>(12.5)</w:t>
            </w:r>
          </w:p>
        </w:tc>
        <w:tc>
          <w:tcPr>
            <w:tcW w:w="1275" w:type="dxa"/>
            <w:hideMark/>
          </w:tcPr>
          <w:p w14:paraId="6D898CAD" w14:textId="77777777" w:rsidR="001832A0" w:rsidRPr="00717195" w:rsidRDefault="001832A0" w:rsidP="002D3963">
            <w:pPr>
              <w:pStyle w:val="NormalWeb"/>
              <w:jc w:val="center"/>
              <w:rPr>
                <w:sz w:val="18"/>
                <w:szCs w:val="18"/>
              </w:rPr>
            </w:pPr>
            <w:r w:rsidRPr="00717195">
              <w:rPr>
                <w:sz w:val="18"/>
                <w:szCs w:val="18"/>
              </w:rPr>
              <w:t>7</w:t>
            </w:r>
          </w:p>
        </w:tc>
        <w:tc>
          <w:tcPr>
            <w:tcW w:w="1307" w:type="dxa"/>
            <w:hideMark/>
          </w:tcPr>
          <w:p w14:paraId="50E6B9D7" w14:textId="77777777" w:rsidR="001832A0" w:rsidRPr="00717195" w:rsidRDefault="001832A0" w:rsidP="002D3963">
            <w:pPr>
              <w:pStyle w:val="NormalWeb"/>
              <w:jc w:val="center"/>
              <w:rPr>
                <w:sz w:val="18"/>
                <w:szCs w:val="18"/>
              </w:rPr>
            </w:pPr>
            <w:r w:rsidRPr="00717195">
              <w:rPr>
                <w:sz w:val="18"/>
                <w:szCs w:val="18"/>
              </w:rPr>
              <w:t>(87.5)</w:t>
            </w:r>
          </w:p>
        </w:tc>
      </w:tr>
    </w:tbl>
    <w:p w14:paraId="0D540948" w14:textId="77777777" w:rsidR="001832A0" w:rsidRDefault="001832A0" w:rsidP="00E02CC4">
      <w:pPr>
        <w:pStyle w:val="CDIfootnotes"/>
      </w:pPr>
      <w:r>
        <w:t>a</w:t>
      </w:r>
      <w:r>
        <w:tab/>
        <w:t>A complete list of adverse events as classified by individual Preferred Terms is available on request.</w:t>
      </w:r>
    </w:p>
    <w:p w14:paraId="6BF4B7B1" w14:textId="77777777" w:rsidR="001832A0" w:rsidRDefault="001832A0" w:rsidP="00E02CC4">
      <w:pPr>
        <w:pStyle w:val="CDIfootnotes"/>
      </w:pPr>
      <w:r>
        <w:t>b</w:t>
      </w:r>
      <w:r>
        <w:tab/>
        <w:t>Selected reported adverse events reported during January to December 2018. Note: for injection site reaction, rash and convulsions, PTs were grouped as described below.</w:t>
      </w:r>
    </w:p>
    <w:p w14:paraId="2637E568" w14:textId="77777777" w:rsidR="001832A0" w:rsidRDefault="001832A0" w:rsidP="00E02CC4">
      <w:pPr>
        <w:pStyle w:val="CDIfootnotes"/>
      </w:pPr>
      <w:r>
        <w:t xml:space="preserve">c </w:t>
      </w:r>
      <w:r>
        <w:tab/>
        <w:t>AEFI records where only one adverse event was reported.</w:t>
      </w:r>
    </w:p>
    <w:p w14:paraId="49689408" w14:textId="77777777" w:rsidR="001832A0" w:rsidRDefault="001832A0" w:rsidP="00E02CC4">
      <w:pPr>
        <w:pStyle w:val="CDIfootnotes"/>
      </w:pPr>
      <w:r>
        <w:t>d</w:t>
      </w:r>
      <w:r>
        <w:tab/>
        <w:t>‘Serious’ outcomes are defined in the Methods section.</w:t>
      </w:r>
    </w:p>
    <w:p w14:paraId="4C03DB29" w14:textId="77777777" w:rsidR="001832A0" w:rsidRDefault="001832A0" w:rsidP="00E02CC4">
      <w:pPr>
        <w:pStyle w:val="CDIfootnotes"/>
      </w:pPr>
      <w:r>
        <w:t>e</w:t>
      </w:r>
      <w:r>
        <w:tab/>
        <w:t>Includes only AEFI records where an age or date of birth has been reported</w:t>
      </w:r>
    </w:p>
    <w:p w14:paraId="4AFB8F15" w14:textId="77777777" w:rsidR="001832A0" w:rsidRDefault="001832A0" w:rsidP="00E02CC4">
      <w:pPr>
        <w:pStyle w:val="CDIfootnotes"/>
      </w:pPr>
      <w:r>
        <w:t>f</w:t>
      </w:r>
      <w:r>
        <w:tab/>
        <w:t>Percentages relate to the number of AEFI records in which the specific adverse event was listed</w:t>
      </w:r>
    </w:p>
    <w:p w14:paraId="2FACF4A4" w14:textId="77777777" w:rsidR="001832A0" w:rsidRDefault="001832A0" w:rsidP="00E02CC4">
      <w:pPr>
        <w:pStyle w:val="CDIfootnotes"/>
      </w:pPr>
      <w:r>
        <w:t xml:space="preserve">g </w:t>
      </w:r>
      <w:r>
        <w:tab/>
        <w:t>Injection site reaction includes the following MedDRA PTs: injection site reaction, injection site swelling, injection site pain, injection site mass, injection site erythema, injection site cellulitis, injection site rash, injection site induration, injection site abscess, injection site pruritus, injection site nodule, injected limb mobility decreased, injection site urticaria, injection site inflammation, injection site bruising, injection site infection, and injection site warmth.</w:t>
      </w:r>
    </w:p>
    <w:p w14:paraId="19321385" w14:textId="77777777" w:rsidR="001832A0" w:rsidRDefault="001832A0" w:rsidP="00E02CC4">
      <w:pPr>
        <w:pStyle w:val="CDIfootnotes"/>
      </w:pPr>
      <w:r>
        <w:t>h</w:t>
      </w:r>
      <w:r>
        <w:tab/>
        <w:t>Rash includes the following MedDRA PTs: rash, rash generalised, rash erythematous, rash pruritic, rash maculo-papular, rash macular, rash vesicular, rash papular, rash morbilliform, and rash pustular.</w:t>
      </w:r>
    </w:p>
    <w:p w14:paraId="312383EC" w14:textId="77777777" w:rsidR="001832A0" w:rsidRDefault="001832A0" w:rsidP="00E02CC4">
      <w:pPr>
        <w:pStyle w:val="CDIfootnotes"/>
      </w:pPr>
      <w:r>
        <w:t>i</w:t>
      </w:r>
      <w:r>
        <w:tab/>
        <w:t>Convulsion includes the following MedDRA PTs: febrile convulsion, convulsion, grand mal convulsion, and partial seizures.</w:t>
      </w:r>
    </w:p>
    <w:p w14:paraId="3A88CDD3" w14:textId="77777777" w:rsidR="00E97403" w:rsidRDefault="00E97403">
      <w:pPr>
        <w:pStyle w:val="Heading2"/>
        <w:rPr>
          <w:rFonts w:eastAsia="Times New Roman"/>
        </w:rPr>
        <w:sectPr w:rsidR="00E97403" w:rsidSect="00E97403">
          <w:pgSz w:w="16838" w:h="11906" w:orient="landscape"/>
          <w:pgMar w:top="720" w:right="720" w:bottom="720" w:left="1134" w:header="709" w:footer="284" w:gutter="0"/>
          <w:cols w:space="708"/>
          <w:titlePg/>
          <w:docGrid w:linePitch="360"/>
        </w:sectPr>
      </w:pPr>
    </w:p>
    <w:p w14:paraId="2D4CF05E" w14:textId="77777777" w:rsidR="001832A0" w:rsidRPr="009A77E7" w:rsidRDefault="001832A0" w:rsidP="009A77E7">
      <w:pPr>
        <w:pStyle w:val="Heading2"/>
      </w:pPr>
      <w:r w:rsidRPr="009A77E7">
        <w:lastRenderedPageBreak/>
        <w:t xml:space="preserve">Geographical distribution </w:t>
      </w:r>
    </w:p>
    <w:p w14:paraId="7BAE2262" w14:textId="77777777" w:rsidR="001832A0" w:rsidRDefault="001832A0" w:rsidP="0065794F">
      <w:r>
        <w:t xml:space="preserve">Population-based AEFI reporting patterns varied between states and territories during 2018 (Table 3). </w:t>
      </w:r>
    </w:p>
    <w:p w14:paraId="6269FA71" w14:textId="77777777" w:rsidR="001832A0" w:rsidRPr="009A77E7" w:rsidRDefault="001832A0" w:rsidP="009A77E7">
      <w:pPr>
        <w:pStyle w:val="Heading2"/>
      </w:pPr>
      <w:r w:rsidRPr="009A77E7">
        <w:t xml:space="preserve">Vaccines </w:t>
      </w:r>
    </w:p>
    <w:p w14:paraId="16B9B02C" w14:textId="77777777" w:rsidR="001832A0" w:rsidRDefault="001832A0" w:rsidP="0065794F">
      <w:r>
        <w:t>The vaccine most frequently reported as associated with AEFI was seasonal influenza vaccine (1</w:t>
      </w:r>
      <w:r w:rsidR="00951557">
        <w:t>,</w:t>
      </w:r>
      <w:r>
        <w:t xml:space="preserve">261 records; 29.9% of 2018 records) followed by 13vPCV (n = 450, 10.7%), DTPa-IPV (n = 446; n = 10.6%) hexavalent DTPa-IPV-HepB-Hib (n = 426; 10.1%), meningococcal ACWY (n = 396; 9.4%), dTpa (n = 357; n = 8.5%) rotavirus (n = 324; 7.7%), HPV (n = 307; 7.3%), meningococcal B (n = 301; 7.1%), and MMR (n = 301; 7.1%) (Table 4). </w:t>
      </w:r>
    </w:p>
    <w:p w14:paraId="6CA849C5" w14:textId="77777777" w:rsidR="001832A0" w:rsidRDefault="001832A0" w:rsidP="0065794F">
      <w:r>
        <w:t>Of the 1</w:t>
      </w:r>
      <w:r w:rsidR="00951557">
        <w:t>,</w:t>
      </w:r>
      <w:r>
        <w:t xml:space="preserve">261 adverse events following seasonal influenza vaccination, 338 (26.8%) were reported in adults aged ≥65 years, with most of these following enhanced immunogenicity influenza vaccines, Fluad® (128) and Fluzone® High Dose (195). </w:t>
      </w:r>
    </w:p>
    <w:p w14:paraId="0F22F6D7" w14:textId="77777777" w:rsidR="001832A0" w:rsidRDefault="001832A0" w:rsidP="0065794F">
      <w:r>
        <w:t xml:space="preserve">There were 396 reported adverse events following meningococcal ACWY vaccination with 53.3% of these (211) in children &lt; 7 years of age (Table 4). </w:t>
      </w:r>
    </w:p>
    <w:p w14:paraId="4B645BB7" w14:textId="77777777" w:rsidR="001832A0" w:rsidRPr="009A77E7" w:rsidRDefault="001832A0" w:rsidP="009A77E7">
      <w:pPr>
        <w:pStyle w:val="Heading2"/>
      </w:pPr>
      <w:r w:rsidRPr="009A77E7">
        <w:t xml:space="preserve">Adverse events </w:t>
      </w:r>
    </w:p>
    <w:p w14:paraId="641F4B81" w14:textId="77777777" w:rsidR="001832A0" w:rsidRDefault="001832A0" w:rsidP="0065794F">
      <w:r>
        <w:t>The most frequently reported adverse events in 2018 were injection site reactions (ISRs) (n = 1</w:t>
      </w:r>
      <w:r w:rsidR="00E23B8D">
        <w:t>,</w:t>
      </w:r>
      <w:r>
        <w:t xml:space="preserve">419; 33.6% of total), pyrexia (n = 639; 15.1%), rash (n = 631; 14.9%), vomiting (n = 324; 7.7%), headache (n = 274; 6.5%) and pain (n = 240; 5.7%) (Table 5, Figure 6). Adverse events of particular interest included convulsions (n = 74; 1.8%), hypotonic-hyporesponsive episode (n = 60; 1.4%), anaphylaxis (n = 40; 0.9%), Guillain-Barré Syndrome (GBS) (n = 14; 0.3%) and intussusception (n = 8; 0.2%) (Table 5). </w:t>
      </w:r>
    </w:p>
    <w:p w14:paraId="1FA06D68" w14:textId="77777777" w:rsidR="001832A0" w:rsidRDefault="001832A0" w:rsidP="0065794F">
      <w:r>
        <w:t xml:space="preserve">Of the 14 GBS cases, 6 were in adults aged ≥65 years and 5 of these cases had received an enhanced immunogenicity influenza vaccine. </w:t>
      </w:r>
    </w:p>
    <w:p w14:paraId="6891E494" w14:textId="77777777" w:rsidR="001832A0" w:rsidRDefault="001832A0" w:rsidP="0065794F">
      <w:r>
        <w:t xml:space="preserve">The number of reports of particular adverse events has changed over time (Figure 6) and these relate to changes in the vaccination schedule (Table 1). </w:t>
      </w:r>
    </w:p>
    <w:p w14:paraId="3FFAEBA4" w14:textId="77777777" w:rsidR="001832A0" w:rsidRPr="009A77E7" w:rsidRDefault="001832A0" w:rsidP="009A77E7">
      <w:pPr>
        <w:pStyle w:val="Heading2"/>
      </w:pPr>
      <w:r w:rsidRPr="009A77E7">
        <w:t xml:space="preserve">Serious adverse events </w:t>
      </w:r>
    </w:p>
    <w:p w14:paraId="182EBF4F" w14:textId="77777777" w:rsidR="001832A0" w:rsidRDefault="001832A0" w:rsidP="0065794F">
      <w:r>
        <w:t>There were variations in the proportions with outcomes defined as serious (Table 4), although these remained generally low as in previous years. The majority of reported adverse events in 2018 were defined as non-serious (n = 3</w:t>
      </w:r>
      <w:r w:rsidR="00E23B8D">
        <w:t>,</w:t>
      </w:r>
      <w:r>
        <w:t xml:space="preserve">538, 84%). Sixteen percent of reported adverse events in 2018 were coded as serious, noting that not all reports included detailed or clinically verified data. </w:t>
      </w:r>
    </w:p>
    <w:p w14:paraId="546DED2D" w14:textId="77777777" w:rsidR="001832A0" w:rsidRDefault="001832A0" w:rsidP="0065794F">
      <w:r>
        <w:t xml:space="preserve">Two deaths were reported to the TGA, but no clear causal relationship with vaccination was found. </w:t>
      </w:r>
    </w:p>
    <w:p w14:paraId="1830A906" w14:textId="77777777" w:rsidR="001832A0" w:rsidRPr="009A77E7" w:rsidRDefault="001832A0" w:rsidP="009A77E7">
      <w:pPr>
        <w:pStyle w:val="ListParagraph"/>
        <w:numPr>
          <w:ilvl w:val="0"/>
          <w:numId w:val="24"/>
        </w:numPr>
        <w:rPr>
          <w:rFonts w:eastAsia="Times New Roman"/>
        </w:rPr>
      </w:pPr>
      <w:r w:rsidRPr="009A77E7">
        <w:rPr>
          <w:rFonts w:eastAsia="Times New Roman"/>
        </w:rPr>
        <w:t xml:space="preserve">A 22-month-old female died in late March 2018, approximately 5 months after receiving a dose of DTPa-containing vaccine and the MMRV vaccine in early November 2017. The child had a &gt;3 month history of a refractory seizure disorder, likely mitochondrial based on genetic testing. </w:t>
      </w:r>
    </w:p>
    <w:p w14:paraId="1DD0FE35" w14:textId="77777777" w:rsidR="001832A0" w:rsidRPr="009A77E7" w:rsidRDefault="001832A0" w:rsidP="009A77E7">
      <w:pPr>
        <w:pStyle w:val="ListParagraph"/>
        <w:numPr>
          <w:ilvl w:val="0"/>
          <w:numId w:val="24"/>
        </w:numPr>
        <w:rPr>
          <w:rFonts w:eastAsia="Times New Roman"/>
        </w:rPr>
      </w:pPr>
      <w:r w:rsidRPr="009A77E7">
        <w:rPr>
          <w:rFonts w:eastAsia="Times New Roman"/>
        </w:rPr>
        <w:t xml:space="preserve">A 77-year-old male died in late June 2018, a month after receiving an enhanced immunogenicity seasonal trivalent influenza vaccine. He was diagnosed with sporadic Creutzfeldt-Jakob Disease–Heidenhain variant. </w:t>
      </w:r>
    </w:p>
    <w:p w14:paraId="75B5057A" w14:textId="77777777" w:rsidR="001832A0" w:rsidRDefault="001832A0" w:rsidP="0065794F">
      <w:r>
        <w:t>Two miscarriages (spontaneous abortion) were reported in this period, noting that spontaneous abortions are known to occur in 11–22% of all pregnancies.</w:t>
      </w:r>
      <w:r>
        <w:rPr>
          <w:vertAlign w:val="superscript"/>
        </w:rPr>
        <w:t>33,34</w:t>
      </w:r>
      <w:r>
        <w:t xml:space="preserve"> </w:t>
      </w:r>
    </w:p>
    <w:p w14:paraId="3CA00B70" w14:textId="77777777" w:rsidR="001832A0" w:rsidRPr="009A77E7" w:rsidRDefault="001832A0" w:rsidP="009A77E7">
      <w:pPr>
        <w:pStyle w:val="ListParagraph"/>
        <w:numPr>
          <w:ilvl w:val="0"/>
          <w:numId w:val="25"/>
        </w:numPr>
        <w:rPr>
          <w:rFonts w:eastAsia="Times New Roman"/>
        </w:rPr>
      </w:pPr>
      <w:r w:rsidRPr="009A77E7">
        <w:rPr>
          <w:rFonts w:eastAsia="Times New Roman"/>
        </w:rPr>
        <w:t xml:space="preserve">A 27-year-old female who was known to be pregnant was vaccinated with hepatitis B vaccine for occupational purposes, following advice from her physician on the risks and benefits of vaccination. She was previously unvaccinated. She presented to the emergency department 2 days after vaccination with vaginal bleeding and abdominal cramping. Ultrasound showed a pregnancy with an absent yolk sac and she had a miscarriage at the hospital. </w:t>
      </w:r>
    </w:p>
    <w:p w14:paraId="62E393BD" w14:textId="77777777" w:rsidR="001832A0" w:rsidRPr="009A77E7" w:rsidRDefault="001832A0" w:rsidP="009A77E7">
      <w:pPr>
        <w:pStyle w:val="ListParagraph"/>
        <w:numPr>
          <w:ilvl w:val="0"/>
          <w:numId w:val="25"/>
        </w:numPr>
        <w:rPr>
          <w:rFonts w:eastAsia="Times New Roman"/>
        </w:rPr>
      </w:pPr>
      <w:r w:rsidRPr="009A77E7">
        <w:rPr>
          <w:rFonts w:eastAsia="Times New Roman"/>
        </w:rPr>
        <w:lastRenderedPageBreak/>
        <w:t xml:space="preserve">A female patient was vaccinated with a dose of Japanese encephalitis vaccine. Following vaccination, testing confirmed pregnancy. The patient subsequently suffered a miscarriage. The patient had a history of two previous miscarriages. The report did not include information such as the age of the patient, past medical history, medications, date of vaccination, date of miscarriage, or any other clinical detail but stated that the miscarriage was not thought to be related to the vaccine. </w:t>
      </w:r>
    </w:p>
    <w:p w14:paraId="4FA7A183" w14:textId="77777777" w:rsidR="001832A0" w:rsidRDefault="001832A0" w:rsidP="0065794F">
      <w:r>
        <w:t xml:space="preserve">In summary, all deaths following immunisation reported to the TGA were reviewed by the TGA and where relevant, other relevant authorities, based on the information received from reporters. The TGA encourages all reporters to provide sufficient information to allow the TGA to assess any causal relationship between the administration of a vaccine and the adverse event reported. Both deaths were assessed as being most likely due to concomitant disease that was pre-existing at the time of vaccination and both miscarriages were assessed as being unlikely to have been caused by vaccination. </w:t>
      </w:r>
    </w:p>
    <w:p w14:paraId="6CEBEEFC" w14:textId="77777777" w:rsidR="001832A0" w:rsidRPr="00F169A5" w:rsidRDefault="001832A0" w:rsidP="00F169A5">
      <w:pPr>
        <w:pStyle w:val="Heading1"/>
      </w:pPr>
      <w:r w:rsidRPr="00F169A5">
        <w:t xml:space="preserve">Discussion </w:t>
      </w:r>
    </w:p>
    <w:p w14:paraId="323C35EE" w14:textId="77777777" w:rsidR="001832A0" w:rsidRDefault="001832A0" w:rsidP="0065794F">
      <w:r>
        <w:t>This report uses similar methodology to the previous five annual reports.</w:t>
      </w:r>
      <w:r>
        <w:rPr>
          <w:vertAlign w:val="superscript"/>
        </w:rPr>
        <w:t>2,15,35–37</w:t>
      </w:r>
      <w:r>
        <w:t xml:space="preserve"> The use of MedDRA preferred terms for analysis allows for clearer reporting of adverse events, but needs to be taken into account when comparing the data in this report with data from annual reports prior to 2013. </w:t>
      </w:r>
    </w:p>
    <w:p w14:paraId="4AEDB304" w14:textId="77777777" w:rsidR="001832A0" w:rsidRDefault="001832A0" w:rsidP="0065794F">
      <w:r>
        <w:t>In 2018, there was a 2.9% increase in the AEFI reporting rate compared to the previous year, though reporting rates were not significantly different (with overlapping confidence intervals) in the majority of jurisdictions in 2018 compared with 2017.</w:t>
      </w:r>
      <w:r>
        <w:rPr>
          <w:vertAlign w:val="superscript"/>
        </w:rPr>
        <w:t>37</w:t>
      </w:r>
      <w:r>
        <w:t xml:space="preserve"> </w:t>
      </w:r>
    </w:p>
    <w:p w14:paraId="1BF98C34" w14:textId="77777777" w:rsidR="001832A0" w:rsidRDefault="001832A0" w:rsidP="0065794F">
      <w:r>
        <w:t>This increase was mainly attributable to NIP funding for the meningococcal ACWY conjugate vaccine for all children at 12 months of age; the enhanced trivalent influenza vaccines (high-dose and adjuvanted) for all adults aged ≥65 years; and also state- and territory-funded annual seasonal influenza vaccination for all children aged 6 months to &lt;5</w:t>
      </w:r>
      <w:r w:rsidR="00892B62">
        <w:t> </w:t>
      </w:r>
      <w:r>
        <w:t xml:space="preserve">years. </w:t>
      </w:r>
    </w:p>
    <w:p w14:paraId="4F846202" w14:textId="77777777" w:rsidR="001832A0" w:rsidRDefault="001832A0" w:rsidP="0065794F">
      <w:r>
        <w:t>There is usually an increase in reporting of adverse events when a new program or scheduled dose is rolled out, as immunisation providers are more likely to report milder, less serious AEFI for vaccines they are not as familiar with, or that are being given to a new population group. The variation in reporting of injection site reactions is related to changes in the immunisation schedule for vaccines that are known to have higher rates of ISR, including DTPa-containing vaccines, 23vPPV and HPV vaccine.</w:t>
      </w:r>
      <w:r>
        <w:rPr>
          <w:vertAlign w:val="superscript"/>
        </w:rPr>
        <w:t>3–14,38,39</w:t>
      </w:r>
      <w:r>
        <w:t xml:space="preserve"> Increases in reported AEFI were largely associated with time periods when new vaccines were added to the NIP, or eligibility extended, including: 7vPCV (2005) and HPV (2007); the extension of seasonal influenza vaccine on the NIP to include persons &lt;65 years at high risk of influenza in 2010; 13vPCV replacing 7vPCV in July 2011; the extension of HPV to males in 2013; seasonal influenza vaccine funded for Aboriginal and Torres Strait Islander children aged 6 months to &lt;5 years in 2015; booster dose of DTPa for children at 18 months of age in 2016; zoster vaccine funded for adults aged 70 years with a five year catch-up program for people aged 71–79 years from November 2016; and in 2018, NIP funding for the meningococcal ACWY conjugate vaccine for all children at 12 months of age; the enhanced trivalent influenza vaccines (high-dose and adjuvanted) for all adults aged ≥65 years; and also state- and territory-funded annual seasonal influenza vaccination for all children aged 6 months to &lt;5 years. </w:t>
      </w:r>
    </w:p>
    <w:p w14:paraId="24B0CCA2" w14:textId="77777777" w:rsidR="001832A0" w:rsidRDefault="001832A0" w:rsidP="0065794F">
      <w:r>
        <w:t>A reduction and stabilisation of reporting rates over time often occurs thereafter.</w:t>
      </w:r>
      <w:r>
        <w:rPr>
          <w:vertAlign w:val="superscript"/>
        </w:rPr>
        <w:t>2,4,5,7,10,12–15,35–37,40</w:t>
      </w:r>
      <w:r>
        <w:t xml:space="preserve"> During this second year of implementation of the zoster vaccination program, there were 135 AEFI reports in adults who received the zoster vaccine, although the majority (83%) were not serious. </w:t>
      </w:r>
    </w:p>
    <w:p w14:paraId="2DA71787" w14:textId="77777777" w:rsidR="001832A0" w:rsidRDefault="001832A0" w:rsidP="0065794F">
      <w:r>
        <w:lastRenderedPageBreak/>
        <w:t>Overall, injection site reaction, pyrexia, rash, vomiting, headache and pain were the most commonly reported adverse events to the TGA in 2018. AEFI reporting rates for most individual vaccines in 2018 were similar to those for 2017. These findings are similar to nationally-representative vaccine safety data from AusVaxSafety,</w:t>
      </w:r>
      <w:r>
        <w:rPr>
          <w:vertAlign w:val="superscript"/>
        </w:rPr>
        <w:t>41</w:t>
      </w:r>
      <w:r>
        <w:t xml:space="preserve"> which actively monitors the safety of vaccines (e.g. pertussis, zoster, influenza, HPV) in vaccinated people from more than 300 sentinel surveillance sites nationwide. From 1 February 2018, AusVaxSafety monitored the safety of a new HPV vaccine, Gardasil®9, in 11- to 14-year old adolescents. During the reporting period 1 February 2018 to 31 December 2018, AusVaxSafety received data from 15,959 adolescents aged 11–14 years; 7.9% of those receiving only HPV vaccine, and 9.6% of those receiving HPV and dTpa vaccines, reported an adverse event, demonstrating event rates that were consistent with what are expected according to the existing data. Injection site reactions were the most commonly reported events. Zoster vaccine was monitored by AusVaxSafety through to November 2018. Approximately 17,500 AusVaxSafety participants received zoster vaccine from 1 January 2018; of these participants, approximately 8.0% reported an adverse event, typically an injection site reaction. No safety signals were observed for pertussis, zoster, influenza and HPV vaccines in 2018 in AusVaxSafety.</w:t>
      </w:r>
      <w:r>
        <w:rPr>
          <w:vertAlign w:val="superscript"/>
        </w:rPr>
        <w:t>41</w:t>
      </w:r>
      <w:r>
        <w:t xml:space="preserve"> </w:t>
      </w:r>
    </w:p>
    <w:p w14:paraId="7E3E641D" w14:textId="77777777" w:rsidR="001832A0" w:rsidRDefault="001832A0" w:rsidP="0065794F">
      <w:r>
        <w:t xml:space="preserve">Overall for data from the AEMS, the majority of AEFI reports detailed non-serious events and no new safety concerns arose during this period (2018). More than half (56.4%) of reported events were in females and 1.5% were reported in Aboriginal and Torres Strait Islander people. Two deaths were reported during 2018, which were assessed as being most likely due to concomitant disease that was pre-existing at the time of vaccination. </w:t>
      </w:r>
    </w:p>
    <w:p w14:paraId="3A93B714" w14:textId="77777777" w:rsidR="001832A0" w:rsidRPr="00F169A5" w:rsidRDefault="001832A0" w:rsidP="00F169A5">
      <w:pPr>
        <w:pStyle w:val="Heading1"/>
      </w:pPr>
      <w:r w:rsidRPr="00F169A5">
        <w:t xml:space="preserve">Conclusion </w:t>
      </w:r>
    </w:p>
    <w:p w14:paraId="4FE34E8F" w14:textId="77777777" w:rsidR="001832A0" w:rsidRDefault="001832A0" w:rsidP="0065794F">
      <w:r>
        <w:t>The number of reported AEFI increased slightly in 2018 compared to 2017, though the majority were non-serious transient events. The data reported here are consistent with an overall high level of safety for vaccines used in Australia when administered according to the clinical recommendations contained within the Australian Immunisation Handbook.</w:t>
      </w:r>
      <w:r>
        <w:rPr>
          <w:vertAlign w:val="superscript"/>
        </w:rPr>
        <w:t>16</w:t>
      </w:r>
      <w:r>
        <w:t xml:space="preserve"> </w:t>
      </w:r>
    </w:p>
    <w:p w14:paraId="5E49AB0D" w14:textId="77777777" w:rsidR="001832A0" w:rsidRPr="00F169A5" w:rsidRDefault="001832A0" w:rsidP="00F169A5">
      <w:pPr>
        <w:pStyle w:val="Heading1"/>
      </w:pPr>
      <w:r w:rsidRPr="00F169A5">
        <w:t xml:space="preserve">Acknowledgments </w:t>
      </w:r>
    </w:p>
    <w:p w14:paraId="4B33E92A" w14:textId="77777777" w:rsidR="001832A0" w:rsidRDefault="001832A0" w:rsidP="00CD25D7">
      <w:r>
        <w:t xml:space="preserve">We thank Alexandra Hendry, NCIRS, for providing vaccine dose data from the Australian Immunisation Register. </w:t>
      </w:r>
    </w:p>
    <w:p w14:paraId="2184C920" w14:textId="77777777" w:rsidR="001832A0" w:rsidRDefault="001832A0" w:rsidP="00CD25D7">
      <w:r>
        <w:t xml:space="preserve">The National Centre for Immunisation Research and Surveillance is supported by the Australian Government Department of Health, New South Wales Health and The Children’s Hospital at Westmead, Australia. </w:t>
      </w:r>
    </w:p>
    <w:p w14:paraId="7E24946E" w14:textId="77777777" w:rsidR="00E23B8D" w:rsidRDefault="00E23B8D">
      <w:pPr>
        <w:rPr>
          <w:rFonts w:asciiTheme="majorHAnsi" w:eastAsiaTheme="majorEastAsia" w:hAnsiTheme="majorHAnsi" w:cstheme="majorBidi"/>
          <w:b/>
          <w:bCs/>
          <w:sz w:val="32"/>
          <w:szCs w:val="28"/>
        </w:rPr>
      </w:pPr>
      <w:r>
        <w:br w:type="page"/>
      </w:r>
    </w:p>
    <w:p w14:paraId="5C5F4EEC" w14:textId="77777777" w:rsidR="001832A0" w:rsidRPr="00F169A5" w:rsidRDefault="001832A0" w:rsidP="00F169A5">
      <w:pPr>
        <w:pStyle w:val="Heading1"/>
      </w:pPr>
      <w:r w:rsidRPr="00F169A5">
        <w:lastRenderedPageBreak/>
        <w:t xml:space="preserve">Author details </w:t>
      </w:r>
    </w:p>
    <w:p w14:paraId="4F63A374" w14:textId="77777777" w:rsidR="00E23B8D" w:rsidRDefault="001832A0" w:rsidP="00F169A5">
      <w:r>
        <w:t>Aditi Dey</w:t>
      </w:r>
      <w:r>
        <w:rPr>
          <w:vertAlign w:val="superscript"/>
        </w:rPr>
        <w:t>1</w:t>
      </w:r>
      <w:r>
        <w:t xml:space="preserve"> </w:t>
      </w:r>
    </w:p>
    <w:p w14:paraId="3C826C50" w14:textId="77777777" w:rsidR="00E23B8D" w:rsidRDefault="001832A0" w:rsidP="00F169A5">
      <w:r>
        <w:t>Han Wang</w:t>
      </w:r>
      <w:r>
        <w:rPr>
          <w:vertAlign w:val="superscript"/>
        </w:rPr>
        <w:t>1</w:t>
      </w:r>
      <w:r>
        <w:t xml:space="preserve"> </w:t>
      </w:r>
    </w:p>
    <w:p w14:paraId="7282045D" w14:textId="77777777" w:rsidR="00E23B8D" w:rsidRDefault="001832A0" w:rsidP="00F169A5">
      <w:r>
        <w:t>Helen Quinn</w:t>
      </w:r>
      <w:r>
        <w:rPr>
          <w:vertAlign w:val="superscript"/>
        </w:rPr>
        <w:t>1</w:t>
      </w:r>
      <w:r>
        <w:t xml:space="preserve"> </w:t>
      </w:r>
    </w:p>
    <w:p w14:paraId="00EE52AF" w14:textId="77777777" w:rsidR="00E23B8D" w:rsidRDefault="001832A0" w:rsidP="00F169A5">
      <w:r>
        <w:t>Alexis Pillsbury</w:t>
      </w:r>
      <w:r>
        <w:rPr>
          <w:vertAlign w:val="superscript"/>
        </w:rPr>
        <w:t>1</w:t>
      </w:r>
      <w:r>
        <w:t xml:space="preserve"> </w:t>
      </w:r>
    </w:p>
    <w:p w14:paraId="51E6B075" w14:textId="77777777" w:rsidR="00E23B8D" w:rsidRDefault="001832A0" w:rsidP="00F169A5">
      <w:r>
        <w:t>Catherine Glover</w:t>
      </w:r>
      <w:r>
        <w:rPr>
          <w:vertAlign w:val="superscript"/>
        </w:rPr>
        <w:t>1</w:t>
      </w:r>
      <w:r>
        <w:t xml:space="preserve"> </w:t>
      </w:r>
    </w:p>
    <w:p w14:paraId="1A0C4AC7" w14:textId="77777777" w:rsidR="00E23B8D" w:rsidRDefault="001832A0" w:rsidP="00F169A5">
      <w:r>
        <w:t>Megan Hickie</w:t>
      </w:r>
      <w:r>
        <w:rPr>
          <w:vertAlign w:val="superscript"/>
        </w:rPr>
        <w:t>2</w:t>
      </w:r>
      <w:r>
        <w:t xml:space="preserve"> </w:t>
      </w:r>
    </w:p>
    <w:p w14:paraId="649D842A" w14:textId="77777777" w:rsidR="00E23B8D" w:rsidRDefault="001832A0" w:rsidP="00F169A5">
      <w:r>
        <w:t>Nicholas Wood</w:t>
      </w:r>
      <w:r>
        <w:rPr>
          <w:vertAlign w:val="superscript"/>
        </w:rPr>
        <w:t>1</w:t>
      </w:r>
      <w:r>
        <w:t xml:space="preserve"> </w:t>
      </w:r>
    </w:p>
    <w:p w14:paraId="09E4313A" w14:textId="77777777" w:rsidR="00E23B8D" w:rsidRDefault="001832A0" w:rsidP="00F169A5">
      <w:pPr>
        <w:rPr>
          <w:vertAlign w:val="superscript"/>
        </w:rPr>
      </w:pPr>
      <w:r>
        <w:t>Frank Beard</w:t>
      </w:r>
      <w:r>
        <w:rPr>
          <w:vertAlign w:val="superscript"/>
        </w:rPr>
        <w:t xml:space="preserve">1 </w:t>
      </w:r>
    </w:p>
    <w:p w14:paraId="12413C1D" w14:textId="77777777" w:rsidR="001832A0" w:rsidRDefault="001832A0" w:rsidP="00F169A5">
      <w:r>
        <w:t>Kristine Macartney</w:t>
      </w:r>
      <w:r>
        <w:rPr>
          <w:vertAlign w:val="superscript"/>
        </w:rPr>
        <w:t xml:space="preserve">1 </w:t>
      </w:r>
    </w:p>
    <w:p w14:paraId="6BABE74B" w14:textId="77777777" w:rsidR="001832A0" w:rsidRPr="00F169A5" w:rsidRDefault="001832A0" w:rsidP="00F169A5">
      <w:pPr>
        <w:pStyle w:val="ListParagraph"/>
        <w:numPr>
          <w:ilvl w:val="0"/>
          <w:numId w:val="27"/>
        </w:numPr>
        <w:rPr>
          <w:rFonts w:eastAsia="Times New Roman"/>
        </w:rPr>
      </w:pPr>
      <w:r w:rsidRPr="00F169A5">
        <w:rPr>
          <w:rFonts w:eastAsia="Times New Roman"/>
        </w:rPr>
        <w:t xml:space="preserve">National Centre for Immunisation Research and Surveillance, The University of Sydney and The Children’s Hospital at Westmead, Sydney, Australia </w:t>
      </w:r>
    </w:p>
    <w:p w14:paraId="3CD52261" w14:textId="77777777" w:rsidR="001832A0" w:rsidRPr="00F169A5" w:rsidRDefault="001832A0" w:rsidP="00F169A5">
      <w:pPr>
        <w:pStyle w:val="ListParagraph"/>
        <w:numPr>
          <w:ilvl w:val="0"/>
          <w:numId w:val="27"/>
        </w:numPr>
        <w:rPr>
          <w:rFonts w:eastAsia="Times New Roman"/>
        </w:rPr>
      </w:pPr>
      <w:r w:rsidRPr="00F169A5">
        <w:rPr>
          <w:rFonts w:eastAsia="Times New Roman"/>
        </w:rPr>
        <w:t xml:space="preserve">Pharmacovigilance and Special Access Branch, Therapeutic Goods Administration, Department of Health, Canberra, Australia </w:t>
      </w:r>
    </w:p>
    <w:p w14:paraId="5794C013" w14:textId="77777777" w:rsidR="001832A0" w:rsidRPr="00800BCB" w:rsidRDefault="001832A0" w:rsidP="00800BCB">
      <w:pPr>
        <w:pStyle w:val="Heading2"/>
      </w:pPr>
      <w:r w:rsidRPr="00800BCB">
        <w:t xml:space="preserve">Corresponding author </w:t>
      </w:r>
    </w:p>
    <w:p w14:paraId="009974C5" w14:textId="77777777" w:rsidR="00E23B8D" w:rsidRDefault="001832A0" w:rsidP="00E23B8D">
      <w:pPr>
        <w:spacing w:after="0"/>
      </w:pPr>
      <w:r>
        <w:t xml:space="preserve">Dr Aditi Dey </w:t>
      </w:r>
    </w:p>
    <w:p w14:paraId="1A215135" w14:textId="77777777" w:rsidR="00E23B8D" w:rsidRDefault="001832A0" w:rsidP="00E23B8D">
      <w:pPr>
        <w:spacing w:after="0"/>
      </w:pPr>
      <w:r>
        <w:t>National Centre for Immunisation Research and Surveillance</w:t>
      </w:r>
      <w:r w:rsidR="00E23B8D">
        <w:t>,</w:t>
      </w:r>
      <w:r>
        <w:t xml:space="preserve"> Locked Bag 4001</w:t>
      </w:r>
      <w:r w:rsidR="00E23B8D">
        <w:t>,</w:t>
      </w:r>
      <w:r>
        <w:t xml:space="preserve"> Westmead NSW 2145 </w:t>
      </w:r>
    </w:p>
    <w:p w14:paraId="0B35151B" w14:textId="77777777" w:rsidR="00E23B8D" w:rsidRDefault="001832A0" w:rsidP="00E23B8D">
      <w:pPr>
        <w:spacing w:after="0"/>
      </w:pPr>
      <w:r>
        <w:t xml:space="preserve">Phone: (02) 9845 1416 </w:t>
      </w:r>
    </w:p>
    <w:p w14:paraId="0E776A4A" w14:textId="77777777" w:rsidR="00E23B8D" w:rsidRDefault="001832A0" w:rsidP="00E23B8D">
      <w:pPr>
        <w:spacing w:after="0"/>
      </w:pPr>
      <w:r>
        <w:t xml:space="preserve">Fax: (02) 9845 1418 </w:t>
      </w:r>
    </w:p>
    <w:p w14:paraId="163560EE" w14:textId="77777777" w:rsidR="001832A0" w:rsidRDefault="001832A0" w:rsidP="0065794F">
      <w:r>
        <w:t xml:space="preserve">Email: aditi.dey@health.nsw.gov.au </w:t>
      </w:r>
    </w:p>
    <w:p w14:paraId="18D44399" w14:textId="77777777" w:rsidR="001832A0" w:rsidRPr="00800BCB" w:rsidRDefault="001832A0" w:rsidP="00800BCB">
      <w:pPr>
        <w:pStyle w:val="Heading1"/>
      </w:pPr>
      <w:r w:rsidRPr="00800BCB">
        <w:t xml:space="preserve">References </w:t>
      </w:r>
    </w:p>
    <w:p w14:paraId="2231F819"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Council for International Organizations of Medical Sciences (CIOMS) c/o World Health Organization. </w:t>
      </w:r>
      <w:r w:rsidRPr="00CA2AB2">
        <w:rPr>
          <w:rStyle w:val="Emphasis"/>
          <w:rFonts w:eastAsia="Times New Roman"/>
          <w:b w:val="0"/>
        </w:rPr>
        <w:t>Definition and Application of Terms for Vaccine Pharmacovigilance: Report of CIOMS/WHO Working Group on Vaccine Pharmacovigilance.</w:t>
      </w:r>
      <w:r>
        <w:rPr>
          <w:rFonts w:eastAsia="Times New Roman"/>
        </w:rPr>
        <w:t xml:space="preserve"> Geneva: World Health Organization; 2012. Available from: https://www.who.int/vaccine_safety/initiative/tools/CIOMS_report_WG_vaccine.pdf </w:t>
      </w:r>
    </w:p>
    <w:p w14:paraId="7207990E"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Dey A, Wang H, Quinn H, Hill R, Macartney K. Surveillance of adverse events following immunisation in Australia annual report, 2014. </w:t>
      </w:r>
      <w:r w:rsidRPr="00CA2AB2">
        <w:rPr>
          <w:rStyle w:val="Emphasis"/>
          <w:rFonts w:eastAsia="Times New Roman"/>
          <w:b w:val="0"/>
        </w:rPr>
        <w:t>Commun Dis Intell Q Rep</w:t>
      </w:r>
      <w:r>
        <w:rPr>
          <w:rFonts w:eastAsia="Times New Roman"/>
        </w:rPr>
        <w:t xml:space="preserve">. 2016;40(3):E377–90. </w:t>
      </w:r>
    </w:p>
    <w:p w14:paraId="28879899"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Lawrence G, Boyd I, McIntyre P, Isaacs D. Surveillance of adverse events following immunisation: Australia 2002 to 2003. </w:t>
      </w:r>
      <w:r w:rsidRPr="00CA2AB2">
        <w:rPr>
          <w:rStyle w:val="Emphasis"/>
          <w:rFonts w:eastAsia="Times New Roman"/>
          <w:b w:val="0"/>
        </w:rPr>
        <w:t>Commun Dis Intell Q Rep</w:t>
      </w:r>
      <w:r>
        <w:rPr>
          <w:rFonts w:eastAsia="Times New Roman"/>
        </w:rPr>
        <w:t xml:space="preserve">. 2004;28(3):324–38. </w:t>
      </w:r>
    </w:p>
    <w:p w14:paraId="74F5F407"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Lawrence G, Boyd I, McIntyre P, Isaacs D. Annual report: surveillance of adverse events following immunisation in Australia, 2005. </w:t>
      </w:r>
      <w:r w:rsidRPr="00CA2AB2">
        <w:rPr>
          <w:rStyle w:val="Emphasis"/>
          <w:rFonts w:eastAsia="Times New Roman"/>
          <w:b w:val="0"/>
        </w:rPr>
        <w:t>Commun Dis Intell Q Rep</w:t>
      </w:r>
      <w:r>
        <w:rPr>
          <w:rFonts w:eastAsia="Times New Roman"/>
        </w:rPr>
        <w:t xml:space="preserve">. 2006;30(3):319–33. </w:t>
      </w:r>
    </w:p>
    <w:p w14:paraId="1A9FB791"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Lawrence G, Gold MS, Hill R, Deeks S, Glasswell A, McIntyre PB. Annual report: surveillance of adverse events following immunisation in Australia, 2007. </w:t>
      </w:r>
      <w:r w:rsidRPr="00CA2AB2">
        <w:rPr>
          <w:rStyle w:val="Emphasis"/>
          <w:rFonts w:eastAsia="Times New Roman"/>
          <w:b w:val="0"/>
        </w:rPr>
        <w:t>Commun Dis Intell Q Rep</w:t>
      </w:r>
      <w:r>
        <w:rPr>
          <w:rFonts w:eastAsia="Times New Roman"/>
        </w:rPr>
        <w:t xml:space="preserve">. 2008;32(4):371–87. </w:t>
      </w:r>
    </w:p>
    <w:p w14:paraId="7C51F570"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Lawrence G, Menzies R, Burgess M, McIntyre P, Wood N, Boyd I et al. Surveillance of adverse events following immunisation: Australia, 2000–2002. </w:t>
      </w:r>
      <w:r w:rsidRPr="00CA2AB2">
        <w:rPr>
          <w:rStyle w:val="Emphasis"/>
          <w:rFonts w:eastAsia="Times New Roman"/>
          <w:b w:val="0"/>
        </w:rPr>
        <w:t>Commun Dis Intell Q Rep</w:t>
      </w:r>
      <w:r>
        <w:rPr>
          <w:rFonts w:eastAsia="Times New Roman"/>
        </w:rPr>
        <w:t xml:space="preserve">. 2003;27(3):307–23. </w:t>
      </w:r>
    </w:p>
    <w:p w14:paraId="6F41B9A1"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Lawrence GL, Aratchige PE, Boyd I, McIntyre PB, Gold MS. Annual report on surveillance of adverse events following immunisation in Australia, 2006. </w:t>
      </w:r>
      <w:r w:rsidRPr="00CA2AB2">
        <w:rPr>
          <w:rStyle w:val="Emphasis"/>
          <w:rFonts w:eastAsia="Times New Roman"/>
          <w:b w:val="0"/>
        </w:rPr>
        <w:t>Commun Dis Intell Q Rep</w:t>
      </w:r>
      <w:r>
        <w:rPr>
          <w:rFonts w:eastAsia="Times New Roman"/>
        </w:rPr>
        <w:t xml:space="preserve">. 2007;31(3):269–82. </w:t>
      </w:r>
    </w:p>
    <w:p w14:paraId="477B3DB7"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lastRenderedPageBreak/>
        <w:t xml:space="preserve">Lawrence GL, Boyd I, McIntyre PB, Isaacs D. Annual report: surveillance of adverse events following immunisation in Australia, 2004 </w:t>
      </w:r>
      <w:r w:rsidRPr="00CA2AB2">
        <w:rPr>
          <w:rStyle w:val="Emphasis"/>
          <w:rFonts w:eastAsia="Times New Roman"/>
          <w:b w:val="0"/>
        </w:rPr>
        <w:t>Commun Dis Intell Q Rep</w:t>
      </w:r>
      <w:r>
        <w:rPr>
          <w:rFonts w:eastAsia="Times New Roman"/>
        </w:rPr>
        <w:t xml:space="preserve">. 2005;29(3):248–62. </w:t>
      </w:r>
    </w:p>
    <w:p w14:paraId="5DFB626E"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Mahajan D, Cook J, Dey A, Macartney K, Menzies R. Supplementary report: surveillance of adverse events following immunisation among children aged less than seven years in Australia, 1 January to 30 June 2012. </w:t>
      </w:r>
      <w:r w:rsidRPr="00CA2AB2">
        <w:rPr>
          <w:rStyle w:val="Emphasis"/>
          <w:rFonts w:eastAsia="Times New Roman"/>
          <w:b w:val="0"/>
        </w:rPr>
        <w:t>Commun Dis Intell Q Rep</w:t>
      </w:r>
      <w:r>
        <w:rPr>
          <w:rFonts w:eastAsia="Times New Roman"/>
        </w:rPr>
        <w:t xml:space="preserve">. 2013;37(2):E130–4. </w:t>
      </w:r>
    </w:p>
    <w:p w14:paraId="0FFC04B5"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Mahajan D, Cook J, Dey A, Macartney K, Menzies RI. Annual report: surveillance of adverse events following immunisation in Australia, 2011. </w:t>
      </w:r>
      <w:r w:rsidRPr="00CA2AB2">
        <w:rPr>
          <w:rStyle w:val="Emphasis"/>
          <w:rFonts w:eastAsia="Times New Roman"/>
          <w:b w:val="0"/>
        </w:rPr>
        <w:t>Commun Dis Intell Q Rep</w:t>
      </w:r>
      <w:r>
        <w:rPr>
          <w:rFonts w:eastAsia="Times New Roman"/>
        </w:rPr>
        <w:t xml:space="preserve">. 2012;36(4):E315–32. </w:t>
      </w:r>
    </w:p>
    <w:p w14:paraId="524D5910"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Mahajan D, Cook J, McIntyre P, Macartney K, Menzies R. Supplementary report: surveillance of adverse events following immunisation among children aged less than seven years in Australia, 1 January to 30 June 2011. </w:t>
      </w:r>
      <w:r w:rsidRPr="00CA2AB2">
        <w:rPr>
          <w:rStyle w:val="Emphasis"/>
          <w:rFonts w:eastAsia="Times New Roman"/>
          <w:b w:val="0"/>
        </w:rPr>
        <w:t>Commun Dis Intell Q Rep</w:t>
      </w:r>
      <w:r>
        <w:rPr>
          <w:rFonts w:eastAsia="Times New Roman"/>
        </w:rPr>
        <w:t xml:space="preserve">. 2012;36(1):114–9. </w:t>
      </w:r>
    </w:p>
    <w:p w14:paraId="7C5E9553"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Mahajan D, Cook J, McIntyre PB, Macartney K, Menzies RI. Annual report: surveillance of adverse events following immunisation in Australia, 2010. </w:t>
      </w:r>
      <w:r w:rsidRPr="00CA2AB2">
        <w:rPr>
          <w:rStyle w:val="Emphasis"/>
          <w:rFonts w:eastAsia="Times New Roman"/>
          <w:b w:val="0"/>
        </w:rPr>
        <w:t>Commun Dis Intell Q Rep</w:t>
      </w:r>
      <w:r>
        <w:rPr>
          <w:rFonts w:eastAsia="Times New Roman"/>
        </w:rPr>
        <w:t xml:space="preserve">. 2011;35(4):263–80. </w:t>
      </w:r>
    </w:p>
    <w:p w14:paraId="53937B2D"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Mahajan D, Roomiani I, Gold MS, Lawrence GL, McIntyre PB, Menzies RI. Annual report: surveillance of adverse events following immunisation in Australia, 2009. </w:t>
      </w:r>
      <w:r w:rsidRPr="00CA2AB2">
        <w:rPr>
          <w:rStyle w:val="Emphasis"/>
          <w:rFonts w:eastAsia="Times New Roman"/>
          <w:b w:val="0"/>
        </w:rPr>
        <w:t>Commun Dis Intell Q Rep</w:t>
      </w:r>
      <w:r>
        <w:rPr>
          <w:rFonts w:eastAsia="Times New Roman"/>
        </w:rPr>
        <w:t xml:space="preserve">. 2010;34(3):259–76. </w:t>
      </w:r>
    </w:p>
    <w:p w14:paraId="5BE94816"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Menzies R, Mahajan D, Gold MS, Roomiani I, McIntyre P, Lawrence G. Annual report: surveillance of adverse events following immunisation in Australia, 2008. </w:t>
      </w:r>
      <w:r w:rsidRPr="00CA2AB2">
        <w:rPr>
          <w:rStyle w:val="Emphasis"/>
          <w:rFonts w:eastAsia="Times New Roman"/>
          <w:b w:val="0"/>
        </w:rPr>
        <w:t>Commun Dis Intell Q Rep</w:t>
      </w:r>
      <w:r>
        <w:rPr>
          <w:rFonts w:eastAsia="Times New Roman"/>
        </w:rPr>
        <w:t xml:space="preserve">. 2009;33(4):365–81. </w:t>
      </w:r>
    </w:p>
    <w:p w14:paraId="1F7F4C8F"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Mahajan D, Dey A, Cook J, Harvey B, Menzies R, Macartney K. Surveillance of adverse events following immunisation in Australia annual report, 2013. </w:t>
      </w:r>
      <w:r w:rsidRPr="00CA2AB2">
        <w:rPr>
          <w:rStyle w:val="Emphasis"/>
          <w:rFonts w:eastAsia="Times New Roman"/>
          <w:b w:val="0"/>
        </w:rPr>
        <w:t>Commun Dis Intell Q Rep</w:t>
      </w:r>
      <w:r>
        <w:rPr>
          <w:rFonts w:eastAsia="Times New Roman"/>
        </w:rPr>
        <w:t xml:space="preserve">. 2015;39(3):E369–86. </w:t>
      </w:r>
    </w:p>
    <w:p w14:paraId="71A8D83F"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Australian Technical Advisory Group on Immunisation (ATAGI). Australian Immunisation Handbook. [Internet.] Canberra: Australian Government Department of Health; 2018. [Accessed on 17 January 2019.] Available from: https://www.health.gov.au/resources/publications/the-australian-immunisation-handbook </w:t>
      </w:r>
    </w:p>
    <w:p w14:paraId="757CE1F8"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Uppsala Monitoring Centre. [Internet.] WHO Collaborating Centre for International Drug Monitoring. [Accessed on 9 July 2014.] Available from: http://www.who-umc.org/</w:t>
      </w:r>
    </w:p>
    <w:p w14:paraId="52F5D550"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Zhou W, Pool V, Iskander JK, English-Bullard R, Ball R, Wise RP et al. Surveillance for safety after immunization: Vaccine Adverse Event Reporting System (VAERS)--United States, 1991-2001. [erratum appears in </w:t>
      </w:r>
      <w:r w:rsidRPr="00CA2AB2">
        <w:rPr>
          <w:rStyle w:val="Emphasis"/>
          <w:rFonts w:eastAsia="Times New Roman"/>
          <w:b w:val="0"/>
        </w:rPr>
        <w:t>MMWR Morb Mortal Wkly Rep.</w:t>
      </w:r>
      <w:r>
        <w:rPr>
          <w:rFonts w:eastAsia="Times New Roman"/>
        </w:rPr>
        <w:t xml:space="preserve"> 2003;52(06):113]. </w:t>
      </w:r>
      <w:r w:rsidRPr="00CA2AB2">
        <w:rPr>
          <w:rStyle w:val="Emphasis"/>
          <w:rFonts w:eastAsia="Times New Roman"/>
          <w:b w:val="0"/>
        </w:rPr>
        <w:t>MMWR Surveill Summ</w:t>
      </w:r>
      <w:r>
        <w:rPr>
          <w:rFonts w:eastAsia="Times New Roman"/>
        </w:rPr>
        <w:t xml:space="preserve">. 2003;52(1):1–24. </w:t>
      </w:r>
    </w:p>
    <w:p w14:paraId="3C053F65"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Brown EG. Using MedDRA: implications for risk management. </w:t>
      </w:r>
      <w:r w:rsidRPr="00CA2AB2">
        <w:rPr>
          <w:rStyle w:val="Emphasis"/>
          <w:rFonts w:eastAsia="Times New Roman"/>
          <w:b w:val="0"/>
        </w:rPr>
        <w:t>Drug Saf</w:t>
      </w:r>
      <w:r>
        <w:rPr>
          <w:rFonts w:eastAsia="Times New Roman"/>
        </w:rPr>
        <w:t xml:space="preserve">. 2004;27(8):591–602. </w:t>
      </w:r>
    </w:p>
    <w:p w14:paraId="305DDDA9"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Brown EG, Wood L, Wood S. The medical dictionary for regulatory activities (MedDRA). </w:t>
      </w:r>
      <w:r w:rsidRPr="00CA2AB2">
        <w:rPr>
          <w:rStyle w:val="Emphasis"/>
          <w:rFonts w:eastAsia="Times New Roman"/>
          <w:b w:val="0"/>
        </w:rPr>
        <w:t>Drug Saf</w:t>
      </w:r>
      <w:r>
        <w:rPr>
          <w:rFonts w:eastAsia="Times New Roman"/>
        </w:rPr>
        <w:t xml:space="preserve">. 1999;20(2):109–17. </w:t>
      </w:r>
    </w:p>
    <w:p w14:paraId="1C0D5950"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National Health and Medical Research Council. </w:t>
      </w:r>
      <w:r w:rsidRPr="00CA2AB2">
        <w:rPr>
          <w:rStyle w:val="Emphasis"/>
          <w:rFonts w:eastAsia="Times New Roman"/>
          <w:b w:val="0"/>
        </w:rPr>
        <w:t>The Australian Immunisation Handbook</w:t>
      </w:r>
      <w:r>
        <w:rPr>
          <w:rFonts w:eastAsia="Times New Roman"/>
        </w:rPr>
        <w:t xml:space="preserve">. 8th edn. Canberra: Australian Government Department of Health and Ageing; 2003. </w:t>
      </w:r>
    </w:p>
    <w:p w14:paraId="47281F63"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Mahajan D, Dey A, Hill R, Harvey B, Menzies R, McIntyre P et al. Methodological framework for reporting of adverse events following immunisation (AEFI). [Conference presentation.] In: </w:t>
      </w:r>
      <w:r w:rsidRPr="00CA2AB2">
        <w:rPr>
          <w:rStyle w:val="Emphasis"/>
          <w:rFonts w:eastAsia="Times New Roman"/>
          <w:b w:val="0"/>
        </w:rPr>
        <w:t>PHAA National Immunisation Conference</w:t>
      </w:r>
      <w:r>
        <w:rPr>
          <w:rFonts w:eastAsia="Times New Roman"/>
        </w:rPr>
        <w:t xml:space="preserve">, 17–19 June 2014; Melbourne, Australia. </w:t>
      </w:r>
    </w:p>
    <w:p w14:paraId="6949042F"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Leroy Z, Broder K, Menschik D, Shimabukuro T, Martin D. Febrile seizures after 2010-2011 influenza vaccine in young children, United States: a vaccine safety signal from the vaccine adverse event reporting system. </w:t>
      </w:r>
      <w:r w:rsidRPr="00CA2AB2">
        <w:rPr>
          <w:rStyle w:val="Emphasis"/>
          <w:rFonts w:eastAsia="Times New Roman"/>
          <w:b w:val="0"/>
        </w:rPr>
        <w:t>Vaccine</w:t>
      </w:r>
      <w:r>
        <w:rPr>
          <w:rFonts w:eastAsia="Times New Roman"/>
        </w:rPr>
        <w:t xml:space="preserve">. 2012;30(11):2020–3. </w:t>
      </w:r>
    </w:p>
    <w:p w14:paraId="31327C81"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Moro PL, Broder K, Zheteyeva Y, Revzina N, Tepper N, Kissin D et al. Adverse events following administration to pregnant women of influenza A (H1N1) 2009 monovalent vaccine reported to the Vaccine Adverse Event Reporting System. </w:t>
      </w:r>
      <w:r w:rsidRPr="00CA2AB2">
        <w:rPr>
          <w:rStyle w:val="Emphasis"/>
          <w:rFonts w:eastAsia="Times New Roman"/>
          <w:b w:val="0"/>
        </w:rPr>
        <w:t>Am J Obstet Gynecol</w:t>
      </w:r>
      <w:r>
        <w:rPr>
          <w:rFonts w:eastAsia="Times New Roman"/>
        </w:rPr>
        <w:t xml:space="preserve">. 2011;205(5):473.e1–9. </w:t>
      </w:r>
    </w:p>
    <w:p w14:paraId="78DF3D3F"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Zheteyeva Y, Moro PL, Yue X, Broder K. Safety of meningococcal polysaccharide-protein conjugate vaccine in pregnancy: a review of the Vaccine Adverse Event Reporting System. </w:t>
      </w:r>
      <w:r w:rsidRPr="00CA2AB2">
        <w:rPr>
          <w:rStyle w:val="Emphasis"/>
          <w:rFonts w:eastAsia="Times New Roman"/>
          <w:b w:val="0"/>
        </w:rPr>
        <w:t>Am J Obstet Gynecol</w:t>
      </w:r>
      <w:r>
        <w:rPr>
          <w:rFonts w:eastAsia="Times New Roman"/>
        </w:rPr>
        <w:t xml:space="preserve">. 2013;208(6):478.e1–6. </w:t>
      </w:r>
    </w:p>
    <w:p w14:paraId="273D98AB"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Australian Government Department of Health, Therapeutic Goods Administration. National Adverse Events Following Immunisation (AEFI) reporting form. [Internet.] Canberra: Australian Government Department of Health. [Accessed on 26 March 2013.] Available from: https://www.tga.gov.au/form/national-adverse-events-following-immunisation-aefi-reporting-form </w:t>
      </w:r>
    </w:p>
    <w:p w14:paraId="0116987D"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SAS Institute Inc. The SAS system for Windows [computer program]. Version 9.4. Cary, N.C. 2012. </w:t>
      </w:r>
    </w:p>
    <w:p w14:paraId="5AE4A802"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Australian Bureau of Statistics. Australian Demographic Statistics, Jun 2015. [Internet.] Available from: https://www.abs.gov.au/AUSSTATS/abs@.nsf/allprimarymainfeatures/6CBA90A25BAC951DCA257F7F001CC559?opendocument </w:t>
      </w:r>
    </w:p>
    <w:p w14:paraId="110E4233"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lastRenderedPageBreak/>
        <w:t xml:space="preserve">Australian Government Department of Human Services. Australian Immunisation Register. [Internet.] Canberra: Australian Government Department of Human Services. [Accessed on 21 October 2016.] Available from: https://www.humanservices.gov.au/individuals/services/medicare/australian-immunisation-register </w:t>
      </w:r>
    </w:p>
    <w:p w14:paraId="6B0E6BED"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Australian Government Department of Health. UPDATE: Expansion of Australia’s Immunisation Registers. [Accessed on 21 October 2016.] Available from: https://sydneynorthhealthnetwork.org.au/wp-content/uploads/2015/12/Factsheet-Immunisation-Registers-Expansion-23102015.pdf</w:t>
      </w:r>
    </w:p>
    <w:p w14:paraId="234F554A"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Varricchio F, Iskander J, DeStefano F, Ball R, Pless R, Braun MM et al. Understanding vaccine safety information from the Vaccine Adverse Event Reporting System. </w:t>
      </w:r>
      <w:r w:rsidRPr="00CA2AB2">
        <w:rPr>
          <w:rStyle w:val="Emphasis"/>
          <w:rFonts w:eastAsia="Times New Roman"/>
          <w:b w:val="0"/>
        </w:rPr>
        <w:t>Pediatr Infect Dis J.</w:t>
      </w:r>
      <w:r>
        <w:rPr>
          <w:rFonts w:eastAsia="Times New Roman"/>
        </w:rPr>
        <w:t xml:space="preserve"> 2004;23(4):287–94. </w:t>
      </w:r>
    </w:p>
    <w:p w14:paraId="3587CAD4"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Australian Government Department of Health, Therapeutic Goods Administration. Database of Adverse Event Notifications. [Internet.] Canberra: Australian Government Department of Health. [Accessed on 26 March 2013.] Available from: http://www.tga.gov.au/safety/daen.htm</w:t>
      </w:r>
    </w:p>
    <w:p w14:paraId="357D03C7"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Rouse CE, Eckert LO, Babarinsa I, Fay E, Gupta M, Harrison MS et al. Spontaneous abortion and ectopic pregnancy: Case definition &amp; guidelines for data collection, analysis, and presentation of maternal immunization safety data. </w:t>
      </w:r>
      <w:r w:rsidRPr="00CA2AB2">
        <w:rPr>
          <w:rStyle w:val="Emphasis"/>
          <w:rFonts w:eastAsia="Times New Roman"/>
          <w:b w:val="0"/>
        </w:rPr>
        <w:t>Vaccine</w:t>
      </w:r>
      <w:r>
        <w:rPr>
          <w:rFonts w:eastAsia="Times New Roman"/>
        </w:rPr>
        <w:t xml:space="preserve">. 2017;35(48A):6563–74. </w:t>
      </w:r>
    </w:p>
    <w:p w14:paraId="1806BE31"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Ammon Avalos L, Galindo C, Li DK. A systematic review to calculate background miscarriage rates using life table analysis. </w:t>
      </w:r>
      <w:r w:rsidRPr="00CA2AB2">
        <w:rPr>
          <w:rStyle w:val="Emphasis"/>
          <w:rFonts w:eastAsia="Times New Roman"/>
          <w:b w:val="0"/>
        </w:rPr>
        <w:t>Birth Defects Res A Clin Mol Teratol.</w:t>
      </w:r>
      <w:r>
        <w:rPr>
          <w:rFonts w:eastAsia="Times New Roman"/>
        </w:rPr>
        <w:t xml:space="preserve"> 2012;94(6):417–23. </w:t>
      </w:r>
    </w:p>
    <w:p w14:paraId="55BB098F"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Dey A, Wang H, Quinn H, Cook J, Macartney K. Surveillance of adverse events following immunisation in Australia annual report, 2015. </w:t>
      </w:r>
      <w:r w:rsidRPr="00CA2AB2">
        <w:rPr>
          <w:rStyle w:val="Emphasis"/>
          <w:rFonts w:eastAsia="Times New Roman"/>
          <w:b w:val="0"/>
        </w:rPr>
        <w:t>Commun Dis Intell Q Rep</w:t>
      </w:r>
      <w:r>
        <w:rPr>
          <w:rFonts w:eastAsia="Times New Roman"/>
        </w:rPr>
        <w:t xml:space="preserve">. 2017;41(3):E264–278. </w:t>
      </w:r>
    </w:p>
    <w:p w14:paraId="036A8FCA"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Dey A, Wang H, Quinn H, Cook J, Macartney K. Surveillance of adverse events following immunisation in Australia annual report, 2016. </w:t>
      </w:r>
      <w:r w:rsidRPr="00CA2AB2">
        <w:rPr>
          <w:rStyle w:val="Emphasis"/>
          <w:rFonts w:eastAsia="Times New Roman"/>
          <w:b w:val="0"/>
        </w:rPr>
        <w:t>Commun Dis Intell</w:t>
      </w:r>
      <w:r>
        <w:rPr>
          <w:rFonts w:eastAsia="Times New Roman"/>
        </w:rPr>
        <w:t xml:space="preserve"> (2018). 2018;42. pii: S2209-6051(18)00011-8 </w:t>
      </w:r>
    </w:p>
    <w:p w14:paraId="2A1AEDE2"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Dey A, Wang H, Quinn H, Hiam R, Wood N, Beard F et al. Surveillance of adverse events following immunisation in Australia annual report, 2017. </w:t>
      </w:r>
      <w:r w:rsidRPr="00CA2AB2">
        <w:rPr>
          <w:rStyle w:val="Emphasis"/>
          <w:rFonts w:eastAsia="Times New Roman"/>
          <w:b w:val="0"/>
        </w:rPr>
        <w:t>Commun Dis Intell</w:t>
      </w:r>
      <w:r>
        <w:rPr>
          <w:rFonts w:eastAsia="Times New Roman"/>
        </w:rPr>
        <w:t xml:space="preserve"> (2018). 2019;43. https://doi.org/10.33321/cdi.2019.43.29. </w:t>
      </w:r>
    </w:p>
    <w:p w14:paraId="6624C51A"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Simon LS. Pharmacovigilance: towards a better understanding of the benefit to risk ratio. </w:t>
      </w:r>
      <w:r w:rsidRPr="00CA2AB2">
        <w:rPr>
          <w:rStyle w:val="Emphasis"/>
          <w:rFonts w:eastAsia="Times New Roman"/>
          <w:b w:val="0"/>
        </w:rPr>
        <w:t>Ann Rheum Dis</w:t>
      </w:r>
      <w:r>
        <w:rPr>
          <w:rFonts w:eastAsia="Times New Roman"/>
        </w:rPr>
        <w:t xml:space="preserve">. 2002;61(Suppl II):ii88–9. </w:t>
      </w:r>
    </w:p>
    <w:p w14:paraId="2BAA53A8"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Reisinger KS, Block SL, Lazcano-Ponce E, Samakoses R, Esser MT, Erick J et al. Safety and persistent immunogenicity of a quadrivalent human papillomavirus types 6, 11, 16, 18 L1 virus-like particle vaccine in preadolescents and adolescents: a randomized controlled trial. </w:t>
      </w:r>
      <w:r w:rsidRPr="00CA2AB2">
        <w:rPr>
          <w:rStyle w:val="Emphasis"/>
          <w:rFonts w:eastAsia="Times New Roman"/>
          <w:b w:val="0"/>
        </w:rPr>
        <w:t>Pediatr Infect Dis J</w:t>
      </w:r>
      <w:r>
        <w:rPr>
          <w:rFonts w:eastAsia="Times New Roman"/>
        </w:rPr>
        <w:t xml:space="preserve">. 2007;26(3):201–9. </w:t>
      </w:r>
    </w:p>
    <w:p w14:paraId="40582C5F"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 xml:space="preserve">Mahajan D, Dey A, Cook J, Harvey B, Menzies RI, Macartney KM. Surveillance of adverse events following immunisation in Australia, 2012. </w:t>
      </w:r>
      <w:r w:rsidRPr="00CA2AB2">
        <w:rPr>
          <w:rStyle w:val="Emphasis"/>
          <w:rFonts w:eastAsia="Times New Roman"/>
          <w:b w:val="0"/>
        </w:rPr>
        <w:t>Commun Dis Intell Q Rep</w:t>
      </w:r>
      <w:r>
        <w:rPr>
          <w:rFonts w:eastAsia="Times New Roman"/>
        </w:rPr>
        <w:t xml:space="preserve">. 2014;38(3):E232–46. </w:t>
      </w:r>
    </w:p>
    <w:p w14:paraId="11AB1846" w14:textId="77777777" w:rsidR="001832A0" w:rsidRDefault="001832A0" w:rsidP="001832A0">
      <w:pPr>
        <w:numPr>
          <w:ilvl w:val="0"/>
          <w:numId w:val="21"/>
        </w:numPr>
        <w:spacing w:before="100" w:beforeAutospacing="1" w:after="100" w:afterAutospacing="1" w:line="240" w:lineRule="auto"/>
        <w:rPr>
          <w:rFonts w:eastAsia="Times New Roman"/>
        </w:rPr>
      </w:pPr>
      <w:r>
        <w:rPr>
          <w:rFonts w:eastAsia="Times New Roman"/>
        </w:rPr>
        <w:t>National Centre for Immunisation Research and Surveillance. AusVaxSafety. [Internet.] Sydney: National Centre for Immunisation Research and Surveillance; 2019. [Accessed on 1 November 2019.] Available from: http://www.ausvaxsafety.org.au/</w:t>
      </w:r>
    </w:p>
    <w:p w14:paraId="6BCEEE26" w14:textId="77777777" w:rsidR="00B956FC" w:rsidRDefault="00B956FC">
      <w:pPr>
        <w:rPr>
          <w:rFonts w:asciiTheme="majorHAnsi" w:eastAsia="Times New Roman" w:hAnsiTheme="majorHAnsi" w:cstheme="majorBidi"/>
          <w:b/>
          <w:bCs/>
          <w:sz w:val="32"/>
          <w:szCs w:val="28"/>
        </w:rPr>
      </w:pPr>
      <w:r>
        <w:rPr>
          <w:rFonts w:eastAsia="Times New Roman"/>
        </w:rPr>
        <w:br w:type="page"/>
      </w:r>
    </w:p>
    <w:p w14:paraId="7C9314E6" w14:textId="77777777" w:rsidR="001832A0" w:rsidRDefault="001832A0">
      <w:pPr>
        <w:pStyle w:val="Heading1"/>
        <w:rPr>
          <w:rFonts w:eastAsia="Times New Roman"/>
        </w:rPr>
      </w:pPr>
      <w:r>
        <w:rPr>
          <w:rFonts w:eastAsia="Times New Roman"/>
        </w:rPr>
        <w:lastRenderedPageBreak/>
        <w:t>Appendix</w:t>
      </w:r>
    </w:p>
    <w:tbl>
      <w:tblPr>
        <w:tblStyle w:val="CDI-StandardTable"/>
        <w:tblW w:w="0" w:type="auto"/>
        <w:tblCellMar>
          <w:top w:w="57" w:type="dxa"/>
          <w:left w:w="57" w:type="dxa"/>
          <w:bottom w:w="57" w:type="dxa"/>
          <w:right w:w="57" w:type="dxa"/>
        </w:tblCellMar>
        <w:tblLook w:val="04A0" w:firstRow="1" w:lastRow="0" w:firstColumn="1" w:lastColumn="0" w:noHBand="0" w:noVBand="1"/>
        <w:tblCaption w:val="Abbreviations of vaccine types"/>
      </w:tblPr>
      <w:tblGrid>
        <w:gridCol w:w="2410"/>
        <w:gridCol w:w="8056"/>
      </w:tblGrid>
      <w:tr w:rsidR="00AE5750" w:rsidRPr="00B47E2B" w14:paraId="04F38FCF" w14:textId="77777777" w:rsidTr="001C0692">
        <w:trPr>
          <w:cnfStyle w:val="100000000000" w:firstRow="1" w:lastRow="0" w:firstColumn="0" w:lastColumn="0" w:oddVBand="0" w:evenVBand="0" w:oddHBand="0" w:evenHBand="0" w:firstRowFirstColumn="0" w:firstRowLastColumn="0" w:lastRowFirstColumn="0" w:lastRowLastColumn="0"/>
          <w:tblHeader/>
        </w:trPr>
        <w:tc>
          <w:tcPr>
            <w:tcW w:w="2410" w:type="dxa"/>
            <w:hideMark/>
          </w:tcPr>
          <w:p w14:paraId="3195A761" w14:textId="77777777" w:rsidR="001832A0" w:rsidRPr="00B47E2B" w:rsidRDefault="001832A0">
            <w:pPr>
              <w:pStyle w:val="NormalWeb"/>
              <w:rPr>
                <w:color w:val="FFFFFF" w:themeColor="background1"/>
                <w:sz w:val="18"/>
                <w:szCs w:val="18"/>
              </w:rPr>
            </w:pPr>
            <w:r w:rsidRPr="00B47E2B">
              <w:rPr>
                <w:color w:val="FFFFFF" w:themeColor="background1"/>
                <w:sz w:val="18"/>
                <w:szCs w:val="18"/>
              </w:rPr>
              <w:t>Abbreviations of vaccine types</w:t>
            </w:r>
          </w:p>
        </w:tc>
        <w:tc>
          <w:tcPr>
            <w:tcW w:w="8056" w:type="dxa"/>
            <w:hideMark/>
          </w:tcPr>
          <w:p w14:paraId="5542F666" w14:textId="77777777" w:rsidR="001832A0" w:rsidRPr="00B47E2B" w:rsidRDefault="001832A0">
            <w:pPr>
              <w:rPr>
                <w:color w:val="FFFFFF" w:themeColor="background1"/>
                <w:sz w:val="18"/>
                <w:szCs w:val="18"/>
              </w:rPr>
            </w:pPr>
          </w:p>
        </w:tc>
      </w:tr>
      <w:tr w:rsidR="001832A0" w:rsidRPr="00B47E2B" w14:paraId="34B3006D" w14:textId="77777777" w:rsidTr="001C0692">
        <w:tc>
          <w:tcPr>
            <w:tcW w:w="2410" w:type="dxa"/>
            <w:hideMark/>
          </w:tcPr>
          <w:p w14:paraId="0EE0A921" w14:textId="77777777" w:rsidR="001832A0" w:rsidRPr="00B47E2B" w:rsidRDefault="001832A0">
            <w:pPr>
              <w:pStyle w:val="NormalWeb"/>
              <w:rPr>
                <w:sz w:val="18"/>
                <w:szCs w:val="18"/>
              </w:rPr>
            </w:pPr>
            <w:r w:rsidRPr="00B47E2B">
              <w:rPr>
                <w:sz w:val="18"/>
                <w:szCs w:val="18"/>
              </w:rPr>
              <w:t>BCG</w:t>
            </w:r>
          </w:p>
        </w:tc>
        <w:tc>
          <w:tcPr>
            <w:tcW w:w="8056" w:type="dxa"/>
            <w:hideMark/>
          </w:tcPr>
          <w:p w14:paraId="5BC521EA" w14:textId="77777777" w:rsidR="001832A0" w:rsidRPr="00B47E2B" w:rsidRDefault="001832A0">
            <w:pPr>
              <w:pStyle w:val="NormalWeb"/>
              <w:rPr>
                <w:sz w:val="18"/>
                <w:szCs w:val="18"/>
              </w:rPr>
            </w:pPr>
            <w:r w:rsidRPr="00B47E2B">
              <w:rPr>
                <w:sz w:val="18"/>
                <w:szCs w:val="18"/>
              </w:rPr>
              <w:t>Bacille Calmette-Guérin (i.e. tuberculosis)</w:t>
            </w:r>
          </w:p>
        </w:tc>
      </w:tr>
      <w:tr w:rsidR="001832A0" w:rsidRPr="00B47E2B" w14:paraId="206F0D59" w14:textId="77777777" w:rsidTr="001C0692">
        <w:trPr>
          <w:cnfStyle w:val="000000010000" w:firstRow="0" w:lastRow="0" w:firstColumn="0" w:lastColumn="0" w:oddVBand="0" w:evenVBand="0" w:oddHBand="0" w:evenHBand="1" w:firstRowFirstColumn="0" w:firstRowLastColumn="0" w:lastRowFirstColumn="0" w:lastRowLastColumn="0"/>
        </w:trPr>
        <w:tc>
          <w:tcPr>
            <w:tcW w:w="2410" w:type="dxa"/>
            <w:hideMark/>
          </w:tcPr>
          <w:p w14:paraId="52241716" w14:textId="77777777" w:rsidR="001832A0" w:rsidRPr="00B47E2B" w:rsidRDefault="001832A0">
            <w:pPr>
              <w:pStyle w:val="NormalWeb"/>
              <w:rPr>
                <w:sz w:val="18"/>
                <w:szCs w:val="18"/>
              </w:rPr>
            </w:pPr>
            <w:r w:rsidRPr="00B47E2B">
              <w:rPr>
                <w:sz w:val="18"/>
                <w:szCs w:val="18"/>
              </w:rPr>
              <w:t>DTPa</w:t>
            </w:r>
          </w:p>
        </w:tc>
        <w:tc>
          <w:tcPr>
            <w:tcW w:w="8056" w:type="dxa"/>
            <w:hideMark/>
          </w:tcPr>
          <w:p w14:paraId="4D967764" w14:textId="77777777" w:rsidR="001832A0" w:rsidRPr="00B47E2B" w:rsidRDefault="001832A0">
            <w:pPr>
              <w:pStyle w:val="NormalWeb"/>
              <w:rPr>
                <w:sz w:val="18"/>
                <w:szCs w:val="18"/>
              </w:rPr>
            </w:pPr>
            <w:r w:rsidRPr="00B47E2B">
              <w:rPr>
                <w:sz w:val="18"/>
                <w:szCs w:val="18"/>
              </w:rPr>
              <w:t>diphtheria-tetanus-pertussis (acellular) – paediatric formulation</w:t>
            </w:r>
          </w:p>
        </w:tc>
      </w:tr>
      <w:tr w:rsidR="001832A0" w:rsidRPr="00B47E2B" w14:paraId="3FFF2F19" w14:textId="77777777" w:rsidTr="001C0692">
        <w:tc>
          <w:tcPr>
            <w:tcW w:w="2410" w:type="dxa"/>
            <w:hideMark/>
          </w:tcPr>
          <w:p w14:paraId="5F5FD6E3" w14:textId="77777777" w:rsidR="001832A0" w:rsidRPr="00B47E2B" w:rsidRDefault="001832A0">
            <w:pPr>
              <w:pStyle w:val="NormalWeb"/>
              <w:rPr>
                <w:sz w:val="18"/>
                <w:szCs w:val="18"/>
              </w:rPr>
            </w:pPr>
            <w:r w:rsidRPr="00B47E2B">
              <w:rPr>
                <w:sz w:val="18"/>
                <w:szCs w:val="18"/>
              </w:rPr>
              <w:t>dTpa</w:t>
            </w:r>
          </w:p>
        </w:tc>
        <w:tc>
          <w:tcPr>
            <w:tcW w:w="8056" w:type="dxa"/>
            <w:hideMark/>
          </w:tcPr>
          <w:p w14:paraId="7AC3AE35" w14:textId="77777777" w:rsidR="001832A0" w:rsidRPr="00B47E2B" w:rsidRDefault="001832A0">
            <w:pPr>
              <w:pStyle w:val="NormalWeb"/>
              <w:rPr>
                <w:sz w:val="18"/>
                <w:szCs w:val="18"/>
              </w:rPr>
            </w:pPr>
            <w:r w:rsidRPr="00B47E2B">
              <w:rPr>
                <w:sz w:val="18"/>
                <w:szCs w:val="18"/>
              </w:rPr>
              <w:t>diphtheria-tetanus-pertussis (acellular) – adolescent and adult formulation</w:t>
            </w:r>
          </w:p>
        </w:tc>
      </w:tr>
      <w:tr w:rsidR="001832A0" w:rsidRPr="00B47E2B" w14:paraId="2D19C776" w14:textId="77777777" w:rsidTr="001C0692">
        <w:trPr>
          <w:cnfStyle w:val="000000010000" w:firstRow="0" w:lastRow="0" w:firstColumn="0" w:lastColumn="0" w:oddVBand="0" w:evenVBand="0" w:oddHBand="0" w:evenHBand="1" w:firstRowFirstColumn="0" w:firstRowLastColumn="0" w:lastRowFirstColumn="0" w:lastRowLastColumn="0"/>
        </w:trPr>
        <w:tc>
          <w:tcPr>
            <w:tcW w:w="2410" w:type="dxa"/>
            <w:hideMark/>
          </w:tcPr>
          <w:p w14:paraId="3BBEB80F" w14:textId="77777777" w:rsidR="001832A0" w:rsidRPr="00B47E2B" w:rsidRDefault="001832A0">
            <w:pPr>
              <w:pStyle w:val="NormalWeb"/>
              <w:rPr>
                <w:sz w:val="18"/>
                <w:szCs w:val="18"/>
              </w:rPr>
            </w:pPr>
            <w:r w:rsidRPr="00B47E2B">
              <w:rPr>
                <w:sz w:val="18"/>
                <w:szCs w:val="18"/>
              </w:rPr>
              <w:t>DTPa-IPV</w:t>
            </w:r>
          </w:p>
        </w:tc>
        <w:tc>
          <w:tcPr>
            <w:tcW w:w="8056" w:type="dxa"/>
            <w:hideMark/>
          </w:tcPr>
          <w:p w14:paraId="1EA7F975" w14:textId="77777777" w:rsidR="001832A0" w:rsidRPr="00B47E2B" w:rsidRDefault="001832A0">
            <w:pPr>
              <w:pStyle w:val="NormalWeb"/>
              <w:rPr>
                <w:sz w:val="18"/>
                <w:szCs w:val="18"/>
              </w:rPr>
            </w:pPr>
            <w:r w:rsidRPr="00B47E2B">
              <w:rPr>
                <w:sz w:val="18"/>
                <w:szCs w:val="18"/>
              </w:rPr>
              <w:t>combined diphtheria-tetanus-pertussis (acellular) and inactivated poliovirus (quadrivalent)</w:t>
            </w:r>
          </w:p>
        </w:tc>
      </w:tr>
      <w:tr w:rsidR="001832A0" w:rsidRPr="00B47E2B" w14:paraId="4A40C555" w14:textId="77777777" w:rsidTr="001C0692">
        <w:tc>
          <w:tcPr>
            <w:tcW w:w="2410" w:type="dxa"/>
            <w:hideMark/>
          </w:tcPr>
          <w:p w14:paraId="5105B80F" w14:textId="77777777" w:rsidR="001832A0" w:rsidRPr="00B47E2B" w:rsidRDefault="001832A0">
            <w:pPr>
              <w:pStyle w:val="NormalWeb"/>
              <w:rPr>
                <w:sz w:val="18"/>
                <w:szCs w:val="18"/>
              </w:rPr>
            </w:pPr>
            <w:r w:rsidRPr="00B47E2B">
              <w:rPr>
                <w:sz w:val="18"/>
                <w:szCs w:val="18"/>
              </w:rPr>
              <w:t>DTPa-IPV-HepB-Hib</w:t>
            </w:r>
          </w:p>
        </w:tc>
        <w:tc>
          <w:tcPr>
            <w:tcW w:w="8056" w:type="dxa"/>
            <w:hideMark/>
          </w:tcPr>
          <w:p w14:paraId="6372E825" w14:textId="77777777" w:rsidR="001832A0" w:rsidRPr="00B47E2B" w:rsidRDefault="001832A0">
            <w:pPr>
              <w:pStyle w:val="NormalWeb"/>
              <w:rPr>
                <w:sz w:val="18"/>
                <w:szCs w:val="18"/>
              </w:rPr>
            </w:pPr>
            <w:r w:rsidRPr="00B47E2B">
              <w:rPr>
                <w:sz w:val="18"/>
                <w:szCs w:val="18"/>
              </w:rPr>
              <w:t>combined diphtheria-tetanus-pertussis (acellular), inactivated poliovirus, hepatitis B and Haemophilus influenzae type b vaccine (hexavalent)</w:t>
            </w:r>
          </w:p>
        </w:tc>
      </w:tr>
      <w:tr w:rsidR="001832A0" w:rsidRPr="00B47E2B" w14:paraId="25D96F19" w14:textId="77777777" w:rsidTr="001C0692">
        <w:trPr>
          <w:cnfStyle w:val="000000010000" w:firstRow="0" w:lastRow="0" w:firstColumn="0" w:lastColumn="0" w:oddVBand="0" w:evenVBand="0" w:oddHBand="0" w:evenHBand="1" w:firstRowFirstColumn="0" w:firstRowLastColumn="0" w:lastRowFirstColumn="0" w:lastRowLastColumn="0"/>
        </w:trPr>
        <w:tc>
          <w:tcPr>
            <w:tcW w:w="2410" w:type="dxa"/>
            <w:hideMark/>
          </w:tcPr>
          <w:p w14:paraId="31DF2B51" w14:textId="77777777" w:rsidR="001832A0" w:rsidRPr="00B47E2B" w:rsidRDefault="001832A0">
            <w:pPr>
              <w:pStyle w:val="NormalWeb"/>
              <w:rPr>
                <w:sz w:val="18"/>
                <w:szCs w:val="18"/>
              </w:rPr>
            </w:pPr>
            <w:r w:rsidRPr="00B47E2B">
              <w:rPr>
                <w:sz w:val="18"/>
                <w:szCs w:val="18"/>
              </w:rPr>
              <w:t>HepB</w:t>
            </w:r>
          </w:p>
        </w:tc>
        <w:tc>
          <w:tcPr>
            <w:tcW w:w="8056" w:type="dxa"/>
            <w:hideMark/>
          </w:tcPr>
          <w:p w14:paraId="598D894F" w14:textId="77777777" w:rsidR="001832A0" w:rsidRPr="00B47E2B" w:rsidRDefault="001832A0">
            <w:pPr>
              <w:pStyle w:val="NormalWeb"/>
              <w:rPr>
                <w:sz w:val="18"/>
                <w:szCs w:val="18"/>
              </w:rPr>
            </w:pPr>
            <w:r w:rsidRPr="00B47E2B">
              <w:rPr>
                <w:sz w:val="18"/>
                <w:szCs w:val="18"/>
              </w:rPr>
              <w:t>hepatitis B</w:t>
            </w:r>
          </w:p>
        </w:tc>
      </w:tr>
      <w:tr w:rsidR="001832A0" w:rsidRPr="00B47E2B" w14:paraId="345B65DC" w14:textId="77777777" w:rsidTr="001C0692">
        <w:tc>
          <w:tcPr>
            <w:tcW w:w="2410" w:type="dxa"/>
            <w:hideMark/>
          </w:tcPr>
          <w:p w14:paraId="2187CBEE" w14:textId="77777777" w:rsidR="001832A0" w:rsidRPr="00B47E2B" w:rsidRDefault="001832A0">
            <w:pPr>
              <w:pStyle w:val="NormalWeb"/>
              <w:rPr>
                <w:sz w:val="18"/>
                <w:szCs w:val="18"/>
              </w:rPr>
            </w:pPr>
            <w:r w:rsidRPr="00B47E2B">
              <w:rPr>
                <w:sz w:val="18"/>
                <w:szCs w:val="18"/>
              </w:rPr>
              <w:t>Hib</w:t>
            </w:r>
          </w:p>
        </w:tc>
        <w:tc>
          <w:tcPr>
            <w:tcW w:w="8056" w:type="dxa"/>
            <w:hideMark/>
          </w:tcPr>
          <w:p w14:paraId="71A725A0" w14:textId="77777777" w:rsidR="001832A0" w:rsidRPr="00B47E2B" w:rsidRDefault="001832A0">
            <w:pPr>
              <w:pStyle w:val="NormalWeb"/>
              <w:rPr>
                <w:sz w:val="18"/>
                <w:szCs w:val="18"/>
              </w:rPr>
            </w:pPr>
            <w:r w:rsidRPr="00212071">
              <w:rPr>
                <w:i/>
                <w:sz w:val="18"/>
                <w:szCs w:val="18"/>
              </w:rPr>
              <w:t>Haemophilus influenzae</w:t>
            </w:r>
            <w:r w:rsidRPr="00B47E2B">
              <w:rPr>
                <w:sz w:val="18"/>
                <w:szCs w:val="18"/>
              </w:rPr>
              <w:t xml:space="preserve"> type b</w:t>
            </w:r>
          </w:p>
        </w:tc>
      </w:tr>
      <w:tr w:rsidR="001832A0" w:rsidRPr="00B47E2B" w14:paraId="19D5E939" w14:textId="77777777" w:rsidTr="001C0692">
        <w:trPr>
          <w:cnfStyle w:val="000000010000" w:firstRow="0" w:lastRow="0" w:firstColumn="0" w:lastColumn="0" w:oddVBand="0" w:evenVBand="0" w:oddHBand="0" w:evenHBand="1" w:firstRowFirstColumn="0" w:firstRowLastColumn="0" w:lastRowFirstColumn="0" w:lastRowLastColumn="0"/>
        </w:trPr>
        <w:tc>
          <w:tcPr>
            <w:tcW w:w="2410" w:type="dxa"/>
            <w:hideMark/>
          </w:tcPr>
          <w:p w14:paraId="315F70C8" w14:textId="77777777" w:rsidR="001832A0" w:rsidRPr="00B47E2B" w:rsidRDefault="001832A0">
            <w:pPr>
              <w:pStyle w:val="NormalWeb"/>
              <w:rPr>
                <w:sz w:val="18"/>
                <w:szCs w:val="18"/>
              </w:rPr>
            </w:pPr>
            <w:r w:rsidRPr="00B47E2B">
              <w:rPr>
                <w:sz w:val="18"/>
                <w:szCs w:val="18"/>
              </w:rPr>
              <w:t>Hib-HepB</w:t>
            </w:r>
          </w:p>
        </w:tc>
        <w:tc>
          <w:tcPr>
            <w:tcW w:w="8056" w:type="dxa"/>
            <w:hideMark/>
          </w:tcPr>
          <w:p w14:paraId="3576638D" w14:textId="77777777" w:rsidR="001832A0" w:rsidRPr="00B47E2B" w:rsidRDefault="001832A0">
            <w:pPr>
              <w:pStyle w:val="NormalWeb"/>
              <w:rPr>
                <w:sz w:val="18"/>
                <w:szCs w:val="18"/>
              </w:rPr>
            </w:pPr>
            <w:r w:rsidRPr="00B47E2B">
              <w:rPr>
                <w:sz w:val="18"/>
                <w:szCs w:val="18"/>
              </w:rPr>
              <w:t xml:space="preserve">combined </w:t>
            </w:r>
            <w:r w:rsidRPr="00212071">
              <w:rPr>
                <w:i/>
                <w:sz w:val="18"/>
                <w:szCs w:val="18"/>
              </w:rPr>
              <w:t>Haemophilus influenzae</w:t>
            </w:r>
            <w:r w:rsidRPr="00B47E2B">
              <w:rPr>
                <w:sz w:val="18"/>
                <w:szCs w:val="18"/>
              </w:rPr>
              <w:t xml:space="preserve"> type b and hepatitis B</w:t>
            </w:r>
          </w:p>
        </w:tc>
      </w:tr>
      <w:tr w:rsidR="001832A0" w:rsidRPr="00B47E2B" w14:paraId="3A7A7DFD" w14:textId="77777777" w:rsidTr="001C0692">
        <w:tc>
          <w:tcPr>
            <w:tcW w:w="2410" w:type="dxa"/>
            <w:hideMark/>
          </w:tcPr>
          <w:p w14:paraId="3E60F0BF" w14:textId="77777777" w:rsidR="001832A0" w:rsidRPr="00B47E2B" w:rsidRDefault="001832A0">
            <w:pPr>
              <w:pStyle w:val="NormalWeb"/>
              <w:rPr>
                <w:sz w:val="18"/>
                <w:szCs w:val="18"/>
              </w:rPr>
            </w:pPr>
            <w:r w:rsidRPr="00B47E2B">
              <w:rPr>
                <w:sz w:val="18"/>
                <w:szCs w:val="18"/>
              </w:rPr>
              <w:t>Hib-MenC</w:t>
            </w:r>
          </w:p>
        </w:tc>
        <w:tc>
          <w:tcPr>
            <w:tcW w:w="8056" w:type="dxa"/>
            <w:hideMark/>
          </w:tcPr>
          <w:p w14:paraId="28009C57" w14:textId="77777777" w:rsidR="001832A0" w:rsidRPr="00B47E2B" w:rsidRDefault="001832A0">
            <w:pPr>
              <w:pStyle w:val="NormalWeb"/>
              <w:rPr>
                <w:sz w:val="18"/>
                <w:szCs w:val="18"/>
              </w:rPr>
            </w:pPr>
            <w:r w:rsidRPr="00B47E2B">
              <w:rPr>
                <w:sz w:val="18"/>
                <w:szCs w:val="18"/>
              </w:rPr>
              <w:t xml:space="preserve">combined </w:t>
            </w:r>
            <w:r w:rsidRPr="00212071">
              <w:rPr>
                <w:i/>
                <w:sz w:val="18"/>
                <w:szCs w:val="18"/>
              </w:rPr>
              <w:t>Haemophilus influenzae</w:t>
            </w:r>
            <w:r w:rsidRPr="00B47E2B">
              <w:rPr>
                <w:sz w:val="18"/>
                <w:szCs w:val="18"/>
              </w:rPr>
              <w:t xml:space="preserve"> type b and meningococcal C conjugate vaccine</w:t>
            </w:r>
          </w:p>
        </w:tc>
      </w:tr>
      <w:tr w:rsidR="001832A0" w:rsidRPr="00B47E2B" w14:paraId="4D241995" w14:textId="77777777" w:rsidTr="001C0692">
        <w:trPr>
          <w:cnfStyle w:val="000000010000" w:firstRow="0" w:lastRow="0" w:firstColumn="0" w:lastColumn="0" w:oddVBand="0" w:evenVBand="0" w:oddHBand="0" w:evenHBand="1" w:firstRowFirstColumn="0" w:firstRowLastColumn="0" w:lastRowFirstColumn="0" w:lastRowLastColumn="0"/>
        </w:trPr>
        <w:tc>
          <w:tcPr>
            <w:tcW w:w="2410" w:type="dxa"/>
            <w:hideMark/>
          </w:tcPr>
          <w:p w14:paraId="08401839" w14:textId="77777777" w:rsidR="001832A0" w:rsidRPr="00B47E2B" w:rsidRDefault="001832A0">
            <w:pPr>
              <w:pStyle w:val="NormalWeb"/>
              <w:rPr>
                <w:sz w:val="18"/>
                <w:szCs w:val="18"/>
              </w:rPr>
            </w:pPr>
            <w:r w:rsidRPr="00B47E2B">
              <w:rPr>
                <w:sz w:val="18"/>
                <w:szCs w:val="18"/>
              </w:rPr>
              <w:t>HPV</w:t>
            </w:r>
          </w:p>
        </w:tc>
        <w:tc>
          <w:tcPr>
            <w:tcW w:w="8056" w:type="dxa"/>
            <w:hideMark/>
          </w:tcPr>
          <w:p w14:paraId="1DEDF6DC" w14:textId="77777777" w:rsidR="001832A0" w:rsidRPr="00B47E2B" w:rsidRDefault="001832A0">
            <w:pPr>
              <w:pStyle w:val="NormalWeb"/>
              <w:rPr>
                <w:sz w:val="18"/>
                <w:szCs w:val="18"/>
              </w:rPr>
            </w:pPr>
            <w:r w:rsidRPr="00B47E2B">
              <w:rPr>
                <w:sz w:val="18"/>
                <w:szCs w:val="18"/>
              </w:rPr>
              <w:t>human papillomavirus</w:t>
            </w:r>
          </w:p>
        </w:tc>
      </w:tr>
      <w:tr w:rsidR="001832A0" w:rsidRPr="00B47E2B" w14:paraId="4EAEC677" w14:textId="77777777" w:rsidTr="001C0692">
        <w:tc>
          <w:tcPr>
            <w:tcW w:w="2410" w:type="dxa"/>
            <w:hideMark/>
          </w:tcPr>
          <w:p w14:paraId="7CF643CA" w14:textId="77777777" w:rsidR="001832A0" w:rsidRPr="00B47E2B" w:rsidRDefault="001832A0">
            <w:pPr>
              <w:pStyle w:val="NormalWeb"/>
              <w:rPr>
                <w:sz w:val="18"/>
                <w:szCs w:val="18"/>
              </w:rPr>
            </w:pPr>
            <w:r w:rsidRPr="00B47E2B">
              <w:rPr>
                <w:sz w:val="18"/>
                <w:szCs w:val="18"/>
              </w:rPr>
              <w:t xml:space="preserve">MenACWY </w:t>
            </w:r>
          </w:p>
        </w:tc>
        <w:tc>
          <w:tcPr>
            <w:tcW w:w="8056" w:type="dxa"/>
            <w:hideMark/>
          </w:tcPr>
          <w:p w14:paraId="0E939459" w14:textId="77777777" w:rsidR="001832A0" w:rsidRPr="00B47E2B" w:rsidRDefault="001832A0">
            <w:pPr>
              <w:pStyle w:val="NormalWeb"/>
              <w:rPr>
                <w:sz w:val="18"/>
                <w:szCs w:val="18"/>
              </w:rPr>
            </w:pPr>
            <w:r w:rsidRPr="00B47E2B">
              <w:rPr>
                <w:sz w:val="18"/>
                <w:szCs w:val="18"/>
              </w:rPr>
              <w:t>quadrivalent meningococcal (serogroups A, C, W-135, Y) conjugate vaccine</w:t>
            </w:r>
          </w:p>
        </w:tc>
      </w:tr>
      <w:tr w:rsidR="001832A0" w:rsidRPr="00B47E2B" w14:paraId="02C744C7" w14:textId="77777777" w:rsidTr="001C0692">
        <w:trPr>
          <w:cnfStyle w:val="000000010000" w:firstRow="0" w:lastRow="0" w:firstColumn="0" w:lastColumn="0" w:oddVBand="0" w:evenVBand="0" w:oddHBand="0" w:evenHBand="1" w:firstRowFirstColumn="0" w:firstRowLastColumn="0" w:lastRowFirstColumn="0" w:lastRowLastColumn="0"/>
        </w:trPr>
        <w:tc>
          <w:tcPr>
            <w:tcW w:w="2410" w:type="dxa"/>
            <w:hideMark/>
          </w:tcPr>
          <w:p w14:paraId="22009C8C" w14:textId="77777777" w:rsidR="001832A0" w:rsidRPr="00B47E2B" w:rsidRDefault="001832A0">
            <w:pPr>
              <w:pStyle w:val="NormalWeb"/>
              <w:rPr>
                <w:sz w:val="18"/>
                <w:szCs w:val="18"/>
              </w:rPr>
            </w:pPr>
            <w:r w:rsidRPr="00B47E2B">
              <w:rPr>
                <w:sz w:val="18"/>
                <w:szCs w:val="18"/>
              </w:rPr>
              <w:t>MenB</w:t>
            </w:r>
          </w:p>
        </w:tc>
        <w:tc>
          <w:tcPr>
            <w:tcW w:w="8056" w:type="dxa"/>
            <w:hideMark/>
          </w:tcPr>
          <w:p w14:paraId="0C826E1F" w14:textId="77777777" w:rsidR="001832A0" w:rsidRPr="00B47E2B" w:rsidRDefault="001832A0">
            <w:pPr>
              <w:pStyle w:val="NormalWeb"/>
              <w:rPr>
                <w:sz w:val="18"/>
                <w:szCs w:val="18"/>
              </w:rPr>
            </w:pPr>
            <w:r w:rsidRPr="00B47E2B">
              <w:rPr>
                <w:sz w:val="18"/>
                <w:szCs w:val="18"/>
              </w:rPr>
              <w:t>meningococcal B vaccine</w:t>
            </w:r>
          </w:p>
        </w:tc>
      </w:tr>
      <w:tr w:rsidR="001832A0" w:rsidRPr="00B47E2B" w14:paraId="24B6D954" w14:textId="77777777" w:rsidTr="001C0692">
        <w:tc>
          <w:tcPr>
            <w:tcW w:w="2410" w:type="dxa"/>
            <w:hideMark/>
          </w:tcPr>
          <w:p w14:paraId="31A62B89" w14:textId="77777777" w:rsidR="001832A0" w:rsidRPr="00B47E2B" w:rsidRDefault="001832A0">
            <w:pPr>
              <w:pStyle w:val="NormalWeb"/>
              <w:rPr>
                <w:sz w:val="18"/>
                <w:szCs w:val="18"/>
              </w:rPr>
            </w:pPr>
            <w:r w:rsidRPr="00B47E2B">
              <w:rPr>
                <w:sz w:val="18"/>
                <w:szCs w:val="18"/>
              </w:rPr>
              <w:t>MenCCV</w:t>
            </w:r>
          </w:p>
        </w:tc>
        <w:tc>
          <w:tcPr>
            <w:tcW w:w="8056" w:type="dxa"/>
            <w:hideMark/>
          </w:tcPr>
          <w:p w14:paraId="4EE0E4D0" w14:textId="77777777" w:rsidR="001832A0" w:rsidRPr="00B47E2B" w:rsidRDefault="001832A0">
            <w:pPr>
              <w:pStyle w:val="NormalWeb"/>
              <w:rPr>
                <w:sz w:val="18"/>
                <w:szCs w:val="18"/>
              </w:rPr>
            </w:pPr>
            <w:r w:rsidRPr="00B47E2B">
              <w:rPr>
                <w:sz w:val="18"/>
                <w:szCs w:val="18"/>
              </w:rPr>
              <w:t>meningococcal C conjugate vaccine</w:t>
            </w:r>
          </w:p>
        </w:tc>
      </w:tr>
      <w:tr w:rsidR="001832A0" w:rsidRPr="00B47E2B" w14:paraId="6830A268" w14:textId="77777777" w:rsidTr="001C0692">
        <w:trPr>
          <w:cnfStyle w:val="000000010000" w:firstRow="0" w:lastRow="0" w:firstColumn="0" w:lastColumn="0" w:oddVBand="0" w:evenVBand="0" w:oddHBand="0" w:evenHBand="1" w:firstRowFirstColumn="0" w:firstRowLastColumn="0" w:lastRowFirstColumn="0" w:lastRowLastColumn="0"/>
        </w:trPr>
        <w:tc>
          <w:tcPr>
            <w:tcW w:w="2410" w:type="dxa"/>
            <w:hideMark/>
          </w:tcPr>
          <w:p w14:paraId="15BC3639" w14:textId="77777777" w:rsidR="001832A0" w:rsidRPr="00B47E2B" w:rsidRDefault="001832A0">
            <w:pPr>
              <w:pStyle w:val="NormalWeb"/>
              <w:rPr>
                <w:sz w:val="18"/>
                <w:szCs w:val="18"/>
              </w:rPr>
            </w:pPr>
            <w:r w:rsidRPr="00B47E2B">
              <w:rPr>
                <w:sz w:val="18"/>
                <w:szCs w:val="18"/>
              </w:rPr>
              <w:t>MMR</w:t>
            </w:r>
          </w:p>
        </w:tc>
        <w:tc>
          <w:tcPr>
            <w:tcW w:w="8056" w:type="dxa"/>
            <w:hideMark/>
          </w:tcPr>
          <w:p w14:paraId="7078DFDA" w14:textId="77777777" w:rsidR="001832A0" w:rsidRPr="00B47E2B" w:rsidRDefault="001832A0">
            <w:pPr>
              <w:pStyle w:val="NormalWeb"/>
              <w:rPr>
                <w:sz w:val="18"/>
                <w:szCs w:val="18"/>
              </w:rPr>
            </w:pPr>
            <w:r w:rsidRPr="00B47E2B">
              <w:rPr>
                <w:sz w:val="18"/>
                <w:szCs w:val="18"/>
              </w:rPr>
              <w:t>measles-mumps-rubella</w:t>
            </w:r>
          </w:p>
        </w:tc>
      </w:tr>
      <w:tr w:rsidR="001832A0" w:rsidRPr="00B47E2B" w14:paraId="4C069D0A" w14:textId="77777777" w:rsidTr="001C0692">
        <w:tc>
          <w:tcPr>
            <w:tcW w:w="2410" w:type="dxa"/>
            <w:hideMark/>
          </w:tcPr>
          <w:p w14:paraId="2CD3657F" w14:textId="77777777" w:rsidR="001832A0" w:rsidRPr="00B47E2B" w:rsidRDefault="001832A0">
            <w:pPr>
              <w:pStyle w:val="NormalWeb"/>
              <w:rPr>
                <w:sz w:val="18"/>
                <w:szCs w:val="18"/>
              </w:rPr>
            </w:pPr>
            <w:r w:rsidRPr="00B47E2B">
              <w:rPr>
                <w:sz w:val="18"/>
                <w:szCs w:val="18"/>
              </w:rPr>
              <w:t>MMRV</w:t>
            </w:r>
          </w:p>
        </w:tc>
        <w:tc>
          <w:tcPr>
            <w:tcW w:w="8056" w:type="dxa"/>
            <w:hideMark/>
          </w:tcPr>
          <w:p w14:paraId="44E97A53" w14:textId="77777777" w:rsidR="001832A0" w:rsidRPr="00B47E2B" w:rsidRDefault="001832A0">
            <w:pPr>
              <w:pStyle w:val="NormalWeb"/>
              <w:rPr>
                <w:sz w:val="18"/>
                <w:szCs w:val="18"/>
              </w:rPr>
            </w:pPr>
            <w:r w:rsidRPr="00B47E2B">
              <w:rPr>
                <w:sz w:val="18"/>
                <w:szCs w:val="18"/>
              </w:rPr>
              <w:t>measles-mumps-rubella-varicella</w:t>
            </w:r>
          </w:p>
        </w:tc>
      </w:tr>
      <w:tr w:rsidR="001832A0" w:rsidRPr="00B47E2B" w14:paraId="24B31A67" w14:textId="77777777" w:rsidTr="001C0692">
        <w:trPr>
          <w:cnfStyle w:val="000000010000" w:firstRow="0" w:lastRow="0" w:firstColumn="0" w:lastColumn="0" w:oddVBand="0" w:evenVBand="0" w:oddHBand="0" w:evenHBand="1" w:firstRowFirstColumn="0" w:firstRowLastColumn="0" w:lastRowFirstColumn="0" w:lastRowLastColumn="0"/>
        </w:trPr>
        <w:tc>
          <w:tcPr>
            <w:tcW w:w="2410" w:type="dxa"/>
            <w:hideMark/>
          </w:tcPr>
          <w:p w14:paraId="34C36F23" w14:textId="77777777" w:rsidR="001832A0" w:rsidRPr="00B47E2B" w:rsidRDefault="001832A0">
            <w:pPr>
              <w:pStyle w:val="NormalWeb"/>
              <w:rPr>
                <w:sz w:val="18"/>
                <w:szCs w:val="18"/>
              </w:rPr>
            </w:pPr>
            <w:r w:rsidRPr="00B47E2B">
              <w:rPr>
                <w:sz w:val="18"/>
                <w:szCs w:val="18"/>
              </w:rPr>
              <w:t>pH1N1</w:t>
            </w:r>
          </w:p>
        </w:tc>
        <w:tc>
          <w:tcPr>
            <w:tcW w:w="8056" w:type="dxa"/>
            <w:hideMark/>
          </w:tcPr>
          <w:p w14:paraId="488B57C6" w14:textId="77777777" w:rsidR="001832A0" w:rsidRPr="00B47E2B" w:rsidRDefault="001832A0">
            <w:pPr>
              <w:pStyle w:val="NormalWeb"/>
              <w:rPr>
                <w:sz w:val="18"/>
                <w:szCs w:val="18"/>
              </w:rPr>
            </w:pPr>
            <w:r w:rsidRPr="00B47E2B">
              <w:rPr>
                <w:sz w:val="18"/>
                <w:szCs w:val="18"/>
              </w:rPr>
              <w:t>pandemic H1N1 influenza 2009</w:t>
            </w:r>
          </w:p>
        </w:tc>
      </w:tr>
      <w:tr w:rsidR="001832A0" w:rsidRPr="00B47E2B" w14:paraId="254F2637" w14:textId="77777777" w:rsidTr="001C0692">
        <w:tc>
          <w:tcPr>
            <w:tcW w:w="2410" w:type="dxa"/>
            <w:hideMark/>
          </w:tcPr>
          <w:p w14:paraId="0608A23C" w14:textId="77777777" w:rsidR="001832A0" w:rsidRPr="00B47E2B" w:rsidRDefault="001832A0">
            <w:pPr>
              <w:pStyle w:val="NormalWeb"/>
              <w:rPr>
                <w:sz w:val="18"/>
                <w:szCs w:val="18"/>
              </w:rPr>
            </w:pPr>
            <w:r w:rsidRPr="00B47E2B">
              <w:rPr>
                <w:sz w:val="18"/>
                <w:szCs w:val="18"/>
              </w:rPr>
              <w:t>7vPCV</w:t>
            </w:r>
          </w:p>
        </w:tc>
        <w:tc>
          <w:tcPr>
            <w:tcW w:w="8056" w:type="dxa"/>
            <w:hideMark/>
          </w:tcPr>
          <w:p w14:paraId="14448FD9" w14:textId="77777777" w:rsidR="001832A0" w:rsidRPr="00B47E2B" w:rsidRDefault="001832A0">
            <w:pPr>
              <w:pStyle w:val="NormalWeb"/>
              <w:rPr>
                <w:sz w:val="18"/>
                <w:szCs w:val="18"/>
              </w:rPr>
            </w:pPr>
            <w:r w:rsidRPr="00B47E2B">
              <w:rPr>
                <w:sz w:val="18"/>
                <w:szCs w:val="18"/>
              </w:rPr>
              <w:t>7-valent pneumococcal conjugate vaccine</w:t>
            </w:r>
          </w:p>
        </w:tc>
      </w:tr>
      <w:tr w:rsidR="001832A0" w:rsidRPr="00B47E2B" w14:paraId="70667E5A" w14:textId="77777777" w:rsidTr="001C0692">
        <w:trPr>
          <w:cnfStyle w:val="000000010000" w:firstRow="0" w:lastRow="0" w:firstColumn="0" w:lastColumn="0" w:oddVBand="0" w:evenVBand="0" w:oddHBand="0" w:evenHBand="1" w:firstRowFirstColumn="0" w:firstRowLastColumn="0" w:lastRowFirstColumn="0" w:lastRowLastColumn="0"/>
        </w:trPr>
        <w:tc>
          <w:tcPr>
            <w:tcW w:w="2410" w:type="dxa"/>
            <w:hideMark/>
          </w:tcPr>
          <w:p w14:paraId="6879D02A" w14:textId="77777777" w:rsidR="001832A0" w:rsidRPr="00B47E2B" w:rsidRDefault="001832A0">
            <w:pPr>
              <w:pStyle w:val="NormalWeb"/>
              <w:rPr>
                <w:sz w:val="18"/>
                <w:szCs w:val="18"/>
              </w:rPr>
            </w:pPr>
            <w:r w:rsidRPr="00B47E2B">
              <w:rPr>
                <w:sz w:val="18"/>
                <w:szCs w:val="18"/>
              </w:rPr>
              <w:t>13vPCV</w:t>
            </w:r>
          </w:p>
        </w:tc>
        <w:tc>
          <w:tcPr>
            <w:tcW w:w="8056" w:type="dxa"/>
            <w:hideMark/>
          </w:tcPr>
          <w:p w14:paraId="2433C057" w14:textId="77777777" w:rsidR="001832A0" w:rsidRPr="00B47E2B" w:rsidRDefault="001832A0">
            <w:pPr>
              <w:pStyle w:val="NormalWeb"/>
              <w:rPr>
                <w:sz w:val="18"/>
                <w:szCs w:val="18"/>
              </w:rPr>
            </w:pPr>
            <w:r w:rsidRPr="00B47E2B">
              <w:rPr>
                <w:sz w:val="18"/>
                <w:szCs w:val="18"/>
              </w:rPr>
              <w:t>13-valent pneumococcal conjugate vaccine</w:t>
            </w:r>
          </w:p>
        </w:tc>
      </w:tr>
      <w:tr w:rsidR="001832A0" w:rsidRPr="00B47E2B" w14:paraId="66494853" w14:textId="77777777" w:rsidTr="001C0692">
        <w:tc>
          <w:tcPr>
            <w:tcW w:w="2410" w:type="dxa"/>
            <w:hideMark/>
          </w:tcPr>
          <w:p w14:paraId="270A3E1B" w14:textId="77777777" w:rsidR="001832A0" w:rsidRPr="00B47E2B" w:rsidRDefault="001832A0">
            <w:pPr>
              <w:pStyle w:val="NormalWeb"/>
              <w:rPr>
                <w:sz w:val="18"/>
                <w:szCs w:val="18"/>
              </w:rPr>
            </w:pPr>
            <w:r w:rsidRPr="00B47E2B">
              <w:rPr>
                <w:sz w:val="18"/>
                <w:szCs w:val="18"/>
              </w:rPr>
              <w:t>23vPPV</w:t>
            </w:r>
          </w:p>
        </w:tc>
        <w:tc>
          <w:tcPr>
            <w:tcW w:w="8056" w:type="dxa"/>
            <w:hideMark/>
          </w:tcPr>
          <w:p w14:paraId="4EFD4B94" w14:textId="77777777" w:rsidR="001832A0" w:rsidRPr="00B47E2B" w:rsidRDefault="001832A0">
            <w:pPr>
              <w:pStyle w:val="NormalWeb"/>
              <w:rPr>
                <w:sz w:val="18"/>
                <w:szCs w:val="18"/>
              </w:rPr>
            </w:pPr>
            <w:r w:rsidRPr="00B47E2B">
              <w:rPr>
                <w:sz w:val="18"/>
                <w:szCs w:val="18"/>
              </w:rPr>
              <w:t>23-valent pneumococcal polysaccharide vaccine</w:t>
            </w:r>
          </w:p>
        </w:tc>
      </w:tr>
    </w:tbl>
    <w:p w14:paraId="24689702" w14:textId="77777777" w:rsidR="001832A0" w:rsidRDefault="001832A0">
      <w:pPr>
        <w:rPr>
          <w:rFonts w:eastAsia="Times New Roman"/>
        </w:rPr>
      </w:pPr>
    </w:p>
    <w:p w14:paraId="5B75EF0F" w14:textId="77777777" w:rsidR="008B5348" w:rsidRDefault="008B5348">
      <w:pPr>
        <w:rPr>
          <w:rStyle w:val="A10"/>
        </w:rPr>
      </w:pPr>
      <w:r>
        <w:rPr>
          <w:rStyle w:val="A10"/>
        </w:rPr>
        <w:br w:type="page"/>
      </w:r>
    </w:p>
    <w:p w14:paraId="5660E94A"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5EE2A9BA"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896295A"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3BD20EF" w14:textId="77777777" w:rsidR="000A5F42" w:rsidRPr="000606CC" w:rsidRDefault="000A5F42" w:rsidP="000A5F42">
      <w:pPr>
        <w:pStyle w:val="NoSpacing"/>
        <w:rPr>
          <w:rStyle w:val="URI"/>
          <w:rFonts w:cstheme="minorHAnsi"/>
          <w:sz w:val="20"/>
          <w:szCs w:val="18"/>
        </w:rPr>
      </w:pPr>
    </w:p>
    <w:p w14:paraId="39A5565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6EE9955" w14:textId="77777777" w:rsidR="000A5F42" w:rsidRPr="000606CC" w:rsidRDefault="000A5F42" w:rsidP="000A5F42">
      <w:pPr>
        <w:pStyle w:val="NoSpacing"/>
        <w:rPr>
          <w:rStyle w:val="Strong"/>
          <w:rFonts w:cstheme="minorHAnsi"/>
          <w:sz w:val="20"/>
          <w:szCs w:val="18"/>
        </w:rPr>
      </w:pPr>
    </w:p>
    <w:p w14:paraId="5A7D152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0BA1CA7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8E0374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CB4892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24FECDDA" w14:textId="77777777" w:rsidR="000A5F42" w:rsidRPr="000606CC" w:rsidRDefault="000A5F42" w:rsidP="000A5F42">
      <w:pPr>
        <w:pStyle w:val="NoSpacing"/>
        <w:rPr>
          <w:rStyle w:val="Strong"/>
          <w:rFonts w:cstheme="minorHAnsi"/>
          <w:sz w:val="20"/>
          <w:szCs w:val="18"/>
        </w:rPr>
      </w:pPr>
    </w:p>
    <w:p w14:paraId="5E2BE382" w14:textId="317A992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8"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4C3DEB9" w14:textId="77777777" w:rsidR="000A5F42" w:rsidRPr="000606CC" w:rsidRDefault="000A5F42" w:rsidP="000A5F42">
      <w:pPr>
        <w:pStyle w:val="NoSpacing"/>
        <w:rPr>
          <w:rStyle w:val="Strong"/>
          <w:rFonts w:cstheme="minorHAnsi"/>
          <w:sz w:val="20"/>
          <w:szCs w:val="18"/>
        </w:rPr>
      </w:pPr>
    </w:p>
    <w:p w14:paraId="794439A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496451FF" w14:textId="77777777" w:rsidR="000A5F42" w:rsidRPr="000606CC" w:rsidRDefault="000A5F42" w:rsidP="000A5F42">
      <w:pPr>
        <w:pStyle w:val="NoSpacing"/>
        <w:rPr>
          <w:rStyle w:val="Strong"/>
          <w:rFonts w:cstheme="minorHAnsi"/>
          <w:sz w:val="20"/>
          <w:szCs w:val="18"/>
        </w:rPr>
      </w:pPr>
    </w:p>
    <w:p w14:paraId="28AA8293" w14:textId="5A0A32D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9"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05FFA33" w14:textId="77777777" w:rsidR="000A5F42" w:rsidRPr="000606CC" w:rsidRDefault="000A5F42" w:rsidP="000A5F42">
      <w:pPr>
        <w:pStyle w:val="NoSpacing"/>
        <w:rPr>
          <w:rStyle w:val="Strong"/>
          <w:rFonts w:cstheme="minorHAnsi"/>
          <w:sz w:val="20"/>
          <w:szCs w:val="18"/>
        </w:rPr>
      </w:pPr>
    </w:p>
    <w:p w14:paraId="6D0E443A" w14:textId="2BB01ABD"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0"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75C4CC5" w14:textId="6A3848D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1" w:history="1">
        <w:r w:rsidRPr="000606CC">
          <w:rPr>
            <w:rStyle w:val="Hyperlink"/>
            <w:rFonts w:cstheme="minorHAnsi"/>
            <w:sz w:val="20"/>
            <w:szCs w:val="18"/>
          </w:rPr>
          <w:t>cdi.editor@health.gov.au</w:t>
        </w:r>
      </w:hyperlink>
      <w:r w:rsidRPr="000606CC">
        <w:rPr>
          <w:rFonts w:cstheme="minorHAnsi"/>
          <w:sz w:val="20"/>
          <w:szCs w:val="18"/>
        </w:rPr>
        <w:t>.</w:t>
      </w:r>
    </w:p>
    <w:p w14:paraId="0AFA0A65" w14:textId="77777777" w:rsidR="000A5F42" w:rsidRPr="000606CC" w:rsidRDefault="000A5F42" w:rsidP="000A5F42">
      <w:pPr>
        <w:pStyle w:val="NoSpacing"/>
        <w:pBdr>
          <w:bottom w:val="single" w:sz="6" w:space="1" w:color="auto"/>
        </w:pBdr>
        <w:rPr>
          <w:rStyle w:val="Strong"/>
          <w:rFonts w:cstheme="minorHAnsi"/>
          <w:sz w:val="12"/>
          <w:szCs w:val="18"/>
        </w:rPr>
      </w:pPr>
    </w:p>
    <w:p w14:paraId="356D7C97" w14:textId="77777777" w:rsidR="000A5F42" w:rsidRPr="000606CC" w:rsidRDefault="000A5F42" w:rsidP="000A5F42">
      <w:pPr>
        <w:pStyle w:val="NoSpacing"/>
        <w:rPr>
          <w:rFonts w:cstheme="minorHAnsi"/>
          <w:sz w:val="20"/>
          <w:szCs w:val="18"/>
        </w:rPr>
      </w:pPr>
    </w:p>
    <w:p w14:paraId="445173AA"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03CF0D30" w14:textId="77777777" w:rsidR="000A5F42" w:rsidRPr="000606CC" w:rsidRDefault="000A5F42" w:rsidP="000A5F42">
      <w:pPr>
        <w:pStyle w:val="NoSpacing"/>
        <w:rPr>
          <w:rFonts w:cstheme="minorHAnsi"/>
          <w:sz w:val="20"/>
          <w:szCs w:val="18"/>
        </w:rPr>
      </w:pPr>
    </w:p>
    <w:p w14:paraId="3939A86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73FE5992"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7FBF344A" w14:textId="24F81652"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22"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545FDA1" w14:textId="77777777" w:rsidR="000A5F42" w:rsidRPr="000606CC" w:rsidRDefault="000A5F42" w:rsidP="000A5F42">
      <w:pPr>
        <w:pStyle w:val="NoSpacing"/>
        <w:rPr>
          <w:rFonts w:cstheme="minorHAnsi"/>
          <w:sz w:val="20"/>
          <w:szCs w:val="18"/>
        </w:rPr>
      </w:pPr>
    </w:p>
    <w:p w14:paraId="4920085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CECDF4C" w14:textId="709A8F5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3"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63F63D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58E5107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6B62A6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5869F7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89F97F4" w14:textId="77777777" w:rsidR="000A5F42" w:rsidRPr="000606CC" w:rsidRDefault="000A5F42" w:rsidP="000A5F42">
      <w:pPr>
        <w:pStyle w:val="NoSpacing"/>
        <w:rPr>
          <w:rStyle w:val="Strong"/>
          <w:rFonts w:cstheme="minorHAnsi"/>
          <w:sz w:val="20"/>
          <w:szCs w:val="18"/>
        </w:rPr>
      </w:pPr>
    </w:p>
    <w:p w14:paraId="2D9546AE"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2C54F49" w14:textId="77777777" w:rsidR="000A5F42" w:rsidRPr="000606CC" w:rsidRDefault="000A5F42" w:rsidP="000A5F42">
      <w:pPr>
        <w:pStyle w:val="NoSpacing"/>
        <w:rPr>
          <w:rStyle w:val="Strong"/>
          <w:rFonts w:cstheme="minorHAnsi"/>
          <w:sz w:val="20"/>
          <w:szCs w:val="18"/>
        </w:rPr>
      </w:pPr>
    </w:p>
    <w:p w14:paraId="767F87B2" w14:textId="4BB2E38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24"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585B240" w14:textId="77777777" w:rsidR="000A5F42" w:rsidRPr="000606CC" w:rsidRDefault="000A5F42" w:rsidP="000A5F42">
      <w:pPr>
        <w:pStyle w:val="NoSpacing"/>
        <w:rPr>
          <w:rStyle w:val="URI"/>
          <w:rFonts w:cstheme="minorHAnsi"/>
          <w:sz w:val="20"/>
          <w:szCs w:val="18"/>
        </w:rPr>
      </w:pPr>
    </w:p>
    <w:p w14:paraId="4513FB05" w14:textId="70BA392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5" w:tooltip="Communicable Diseases Network Australia website" w:history="1">
        <w:r w:rsidRPr="000606CC">
          <w:rPr>
            <w:rStyle w:val="Hyperlink"/>
            <w:rFonts w:cstheme="minorHAnsi"/>
            <w:sz w:val="20"/>
            <w:szCs w:val="18"/>
          </w:rPr>
          <w:t>http://www.health.gov.au/cdna</w:t>
        </w:r>
      </w:hyperlink>
    </w:p>
    <w:p w14:paraId="2A91CA61" w14:textId="77777777" w:rsidR="001B37B8" w:rsidRPr="00E92237" w:rsidRDefault="001B37B8" w:rsidP="001B37B8">
      <w:pPr>
        <w:rPr>
          <w:rFonts w:cs="Myriad Pro"/>
          <w:color w:val="211D1E"/>
          <w:sz w:val="20"/>
          <w:szCs w:val="20"/>
        </w:rPr>
      </w:pPr>
    </w:p>
    <w:sectPr w:rsidR="001B37B8" w:rsidRPr="00E92237" w:rsidSect="002B75A9">
      <w:headerReference w:type="default" r:id="rId26"/>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718A4" w14:textId="77777777" w:rsidR="005F6061" w:rsidRDefault="005F6061" w:rsidP="00E54DBA">
      <w:r>
        <w:separator/>
      </w:r>
    </w:p>
    <w:p w14:paraId="7DD93539" w14:textId="77777777" w:rsidR="005F6061" w:rsidRDefault="005F6061"/>
    <w:p w14:paraId="10DBD042" w14:textId="77777777" w:rsidR="005F6061" w:rsidRDefault="005F6061" w:rsidP="008714B0"/>
  </w:endnote>
  <w:endnote w:type="continuationSeparator" w:id="0">
    <w:p w14:paraId="03C08959" w14:textId="77777777" w:rsidR="005F6061" w:rsidRDefault="005F6061" w:rsidP="00E54DBA">
      <w:r>
        <w:continuationSeparator/>
      </w:r>
    </w:p>
    <w:p w14:paraId="0C61D4CE" w14:textId="77777777" w:rsidR="005F6061" w:rsidRDefault="005F6061"/>
    <w:p w14:paraId="202DA287" w14:textId="77777777" w:rsidR="005F6061" w:rsidRDefault="005F606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5728" w14:textId="77777777" w:rsidR="00A22D08" w:rsidRPr="0042435E" w:rsidRDefault="00A22D08"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A6AD5">
      <w:rPr>
        <w:noProof/>
        <w:sz w:val="18"/>
      </w:rPr>
      <w:t>21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1A6AD5">
      <w:rPr>
        <w:noProof/>
        <w:sz w:val="18"/>
      </w:rPr>
      <w:t>35</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CA2AB2">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1A6AD5">
      <w:rPr>
        <w:sz w:val="18"/>
      </w:rPr>
      <w:t>https://doi.org/10.33321/cdi.2020.44.12</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1A6AD5">
      <w:rPr>
        <w:sz w:val="18"/>
      </w:rPr>
      <w:t>16/3/2020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0F3D" w14:textId="77777777" w:rsidR="00A22D08" w:rsidRPr="00BB5378" w:rsidRDefault="00A22D0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A6AD5">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1A6AD5">
      <w:rPr>
        <w:noProof/>
        <w:sz w:val="18"/>
      </w:rPr>
      <w:t>35</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CA2AB2">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sidR="001A6AD5">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1A6AD5">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1A6AD5">
      <w:rPr>
        <w:sz w:val="18"/>
      </w:rPr>
      <w:t>https://doi.org/10.33321/cdi.2020.44.12</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1A6AD5">
      <w:rPr>
        <w:sz w:val="18"/>
      </w:rPr>
      <w:t>16/3/2020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5B81" w14:textId="77777777" w:rsidR="005F6061" w:rsidRDefault="005F6061" w:rsidP="00E54DBA">
      <w:r>
        <w:separator/>
      </w:r>
    </w:p>
  </w:footnote>
  <w:footnote w:type="continuationSeparator" w:id="0">
    <w:p w14:paraId="638978EC" w14:textId="77777777" w:rsidR="005F6061" w:rsidRDefault="005F6061" w:rsidP="00E54DBA">
      <w:r>
        <w:continuationSeparator/>
      </w:r>
    </w:p>
  </w:footnote>
  <w:footnote w:type="continuationNotice" w:id="1">
    <w:p w14:paraId="5448FEAE" w14:textId="77777777" w:rsidR="005F6061" w:rsidRPr="00224EFF" w:rsidRDefault="005F606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0DDE" w14:textId="77777777" w:rsidR="00A22D08" w:rsidRPr="00A153B6" w:rsidRDefault="00DD067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A22D08">
          <w:t>Annual report</w:t>
        </w:r>
      </w:sdtContent>
    </w:sdt>
    <w:r w:rsidR="00A22D08">
      <w:ptab w:relativeTo="margin" w:alignment="right" w:leader="none"/>
    </w:r>
    <w:r w:rsidR="00A22D08"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1DC9" w14:textId="77777777" w:rsidR="00A22D08" w:rsidRPr="000A5F42" w:rsidRDefault="00A22D08" w:rsidP="000A5F42">
    <w:pPr>
      <w:pStyle w:val="Header"/>
      <w:jc w:val="center"/>
      <w:rPr>
        <w:b/>
      </w:rPr>
    </w:pPr>
    <w:r w:rsidRPr="00E810C5">
      <w:rPr>
        <w:rFonts w:cs="Myriad Pro"/>
        <w:noProof/>
        <w:color w:val="211D1E"/>
        <w:sz w:val="16"/>
      </w:rPr>
      <w:drawing>
        <wp:inline distT="0" distB="0" distL="0" distR="0" wp14:anchorId="338803A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3AD7"/>
    <w:multiLevelType w:val="hybridMultilevel"/>
    <w:tmpl w:val="363C1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DB061D"/>
    <w:multiLevelType w:val="multilevel"/>
    <w:tmpl w:val="6AC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06582"/>
    <w:multiLevelType w:val="multilevel"/>
    <w:tmpl w:val="017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05522"/>
    <w:multiLevelType w:val="hybridMultilevel"/>
    <w:tmpl w:val="8DD6E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C5ADC"/>
    <w:multiLevelType w:val="multilevel"/>
    <w:tmpl w:val="EF10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2565C"/>
    <w:multiLevelType w:val="multilevel"/>
    <w:tmpl w:val="9228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87F32"/>
    <w:multiLevelType w:val="multilevel"/>
    <w:tmpl w:val="FE40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A5479"/>
    <w:multiLevelType w:val="hybridMultilevel"/>
    <w:tmpl w:val="DF02FC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7A008E"/>
    <w:multiLevelType w:val="multilevel"/>
    <w:tmpl w:val="E11C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B2A8F"/>
    <w:multiLevelType w:val="multilevel"/>
    <w:tmpl w:val="C6B6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CB1B86"/>
    <w:multiLevelType w:val="multilevel"/>
    <w:tmpl w:val="5460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D61B4"/>
    <w:multiLevelType w:val="multilevel"/>
    <w:tmpl w:val="2956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42D40"/>
    <w:multiLevelType w:val="hybridMultilevel"/>
    <w:tmpl w:val="78DE4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C84851"/>
    <w:multiLevelType w:val="hybridMultilevel"/>
    <w:tmpl w:val="2AE28C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7F646D"/>
    <w:multiLevelType w:val="multilevel"/>
    <w:tmpl w:val="0BE6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C7130"/>
    <w:multiLevelType w:val="multilevel"/>
    <w:tmpl w:val="099A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4236A8"/>
    <w:multiLevelType w:val="hybridMultilevel"/>
    <w:tmpl w:val="07325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086CC1"/>
    <w:multiLevelType w:val="multilevel"/>
    <w:tmpl w:val="110E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5B1E3E"/>
    <w:multiLevelType w:val="multilevel"/>
    <w:tmpl w:val="BD02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F40CB2"/>
    <w:multiLevelType w:val="multilevel"/>
    <w:tmpl w:val="593A5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064AB6"/>
    <w:multiLevelType w:val="multilevel"/>
    <w:tmpl w:val="DE0AB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6795271">
    <w:abstractNumId w:val="9"/>
  </w:num>
  <w:num w:numId="2" w16cid:durableId="4794398">
    <w:abstractNumId w:val="16"/>
  </w:num>
  <w:num w:numId="3" w16cid:durableId="398140270">
    <w:abstractNumId w:val="17"/>
  </w:num>
  <w:num w:numId="4" w16cid:durableId="211501364">
    <w:abstractNumId w:val="7"/>
  </w:num>
  <w:num w:numId="5" w16cid:durableId="1677607102">
    <w:abstractNumId w:val="21"/>
  </w:num>
  <w:num w:numId="6" w16cid:durableId="207424585">
    <w:abstractNumId w:val="22"/>
  </w:num>
  <w:num w:numId="7" w16cid:durableId="1510874286">
    <w:abstractNumId w:val="13"/>
  </w:num>
  <w:num w:numId="8" w16cid:durableId="56756385">
    <w:abstractNumId w:val="10"/>
  </w:num>
  <w:num w:numId="9" w16cid:durableId="21634209">
    <w:abstractNumId w:val="24"/>
  </w:num>
  <w:num w:numId="10" w16cid:durableId="57873078">
    <w:abstractNumId w:val="23"/>
  </w:num>
  <w:num w:numId="11" w16cid:durableId="1144663100">
    <w:abstractNumId w:val="2"/>
  </w:num>
  <w:num w:numId="12" w16cid:durableId="1522821198">
    <w:abstractNumId w:val="1"/>
  </w:num>
  <w:num w:numId="13" w16cid:durableId="2009551284">
    <w:abstractNumId w:val="19"/>
  </w:num>
  <w:num w:numId="14" w16cid:durableId="112067149">
    <w:abstractNumId w:val="12"/>
  </w:num>
  <w:num w:numId="15" w16cid:durableId="1176965713">
    <w:abstractNumId w:val="6"/>
  </w:num>
  <w:num w:numId="16" w16cid:durableId="1169978741">
    <w:abstractNumId w:val="4"/>
  </w:num>
  <w:num w:numId="17" w16cid:durableId="223563531">
    <w:abstractNumId w:val="18"/>
  </w:num>
  <w:num w:numId="18" w16cid:durableId="1075664462">
    <w:abstractNumId w:val="5"/>
  </w:num>
  <w:num w:numId="19" w16cid:durableId="1448545608">
    <w:abstractNumId w:val="11"/>
  </w:num>
  <w:num w:numId="20" w16cid:durableId="2025396420">
    <w:abstractNumId w:val="26"/>
  </w:num>
  <w:num w:numId="21" w16cid:durableId="1463226561">
    <w:abstractNumId w:val="25"/>
  </w:num>
  <w:num w:numId="22" w16cid:durableId="1394083088">
    <w:abstractNumId w:val="15"/>
  </w:num>
  <w:num w:numId="23" w16cid:durableId="1319112799">
    <w:abstractNumId w:val="14"/>
  </w:num>
  <w:num w:numId="24" w16cid:durableId="74716759">
    <w:abstractNumId w:val="0"/>
  </w:num>
  <w:num w:numId="25" w16cid:durableId="24446757">
    <w:abstractNumId w:val="20"/>
  </w:num>
  <w:num w:numId="26" w16cid:durableId="202134705">
    <w:abstractNumId w:val="8"/>
  </w:num>
  <w:num w:numId="27" w16cid:durableId="1087653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909"/>
    <w:rsid w:val="00000B5B"/>
    <w:rsid w:val="00001611"/>
    <w:rsid w:val="00002DCE"/>
    <w:rsid w:val="000066B1"/>
    <w:rsid w:val="000104A8"/>
    <w:rsid w:val="0001246E"/>
    <w:rsid w:val="000124B1"/>
    <w:rsid w:val="00016FE6"/>
    <w:rsid w:val="00031064"/>
    <w:rsid w:val="00031692"/>
    <w:rsid w:val="00032531"/>
    <w:rsid w:val="00035D2D"/>
    <w:rsid w:val="000471BF"/>
    <w:rsid w:val="00047B68"/>
    <w:rsid w:val="00050B14"/>
    <w:rsid w:val="00052600"/>
    <w:rsid w:val="000559F0"/>
    <w:rsid w:val="0005643C"/>
    <w:rsid w:val="0006264A"/>
    <w:rsid w:val="00073D77"/>
    <w:rsid w:val="00074BF8"/>
    <w:rsid w:val="00081655"/>
    <w:rsid w:val="000864E0"/>
    <w:rsid w:val="000969B3"/>
    <w:rsid w:val="000A5F42"/>
    <w:rsid w:val="000B0A38"/>
    <w:rsid w:val="000C5C0F"/>
    <w:rsid w:val="000C6076"/>
    <w:rsid w:val="000D4B4D"/>
    <w:rsid w:val="000F3FB7"/>
    <w:rsid w:val="000F7452"/>
    <w:rsid w:val="00113D58"/>
    <w:rsid w:val="001378A3"/>
    <w:rsid w:val="00155582"/>
    <w:rsid w:val="00161590"/>
    <w:rsid w:val="00171CC0"/>
    <w:rsid w:val="00175494"/>
    <w:rsid w:val="00175629"/>
    <w:rsid w:val="001830EC"/>
    <w:rsid w:val="001832A0"/>
    <w:rsid w:val="00183534"/>
    <w:rsid w:val="001A4A96"/>
    <w:rsid w:val="001A5D05"/>
    <w:rsid w:val="001A6AD5"/>
    <w:rsid w:val="001A796C"/>
    <w:rsid w:val="001B2614"/>
    <w:rsid w:val="001B37B8"/>
    <w:rsid w:val="001B552F"/>
    <w:rsid w:val="001C0692"/>
    <w:rsid w:val="001C0893"/>
    <w:rsid w:val="001C1303"/>
    <w:rsid w:val="001C70B2"/>
    <w:rsid w:val="001D0577"/>
    <w:rsid w:val="001D37C7"/>
    <w:rsid w:val="001D6888"/>
    <w:rsid w:val="00205EF3"/>
    <w:rsid w:val="00210B67"/>
    <w:rsid w:val="00212071"/>
    <w:rsid w:val="00224EFF"/>
    <w:rsid w:val="002276DC"/>
    <w:rsid w:val="00227E00"/>
    <w:rsid w:val="002307CB"/>
    <w:rsid w:val="00231046"/>
    <w:rsid w:val="00234F21"/>
    <w:rsid w:val="00242659"/>
    <w:rsid w:val="002428F7"/>
    <w:rsid w:val="0024315F"/>
    <w:rsid w:val="00252C9A"/>
    <w:rsid w:val="00256309"/>
    <w:rsid w:val="00257484"/>
    <w:rsid w:val="00260636"/>
    <w:rsid w:val="00272657"/>
    <w:rsid w:val="00272DB8"/>
    <w:rsid w:val="00274387"/>
    <w:rsid w:val="00275C78"/>
    <w:rsid w:val="00280594"/>
    <w:rsid w:val="00281EE3"/>
    <w:rsid w:val="00284A93"/>
    <w:rsid w:val="00284E4A"/>
    <w:rsid w:val="0029210B"/>
    <w:rsid w:val="002922D5"/>
    <w:rsid w:val="002A3799"/>
    <w:rsid w:val="002A3BCC"/>
    <w:rsid w:val="002A4516"/>
    <w:rsid w:val="002A569F"/>
    <w:rsid w:val="002A7066"/>
    <w:rsid w:val="002B001E"/>
    <w:rsid w:val="002B09B7"/>
    <w:rsid w:val="002B6C28"/>
    <w:rsid w:val="002B75A9"/>
    <w:rsid w:val="002C21B0"/>
    <w:rsid w:val="002C66C4"/>
    <w:rsid w:val="002D3963"/>
    <w:rsid w:val="002E2FB3"/>
    <w:rsid w:val="002E329C"/>
    <w:rsid w:val="002F327B"/>
    <w:rsid w:val="00301626"/>
    <w:rsid w:val="003059EC"/>
    <w:rsid w:val="00312AD6"/>
    <w:rsid w:val="00316CCD"/>
    <w:rsid w:val="00324F7E"/>
    <w:rsid w:val="003323BC"/>
    <w:rsid w:val="0033395E"/>
    <w:rsid w:val="00346D42"/>
    <w:rsid w:val="00346E11"/>
    <w:rsid w:val="00350AF0"/>
    <w:rsid w:val="00350E95"/>
    <w:rsid w:val="003601C0"/>
    <w:rsid w:val="003635F5"/>
    <w:rsid w:val="00372A88"/>
    <w:rsid w:val="00381A0F"/>
    <w:rsid w:val="0038248A"/>
    <w:rsid w:val="003A1B3A"/>
    <w:rsid w:val="003A40F5"/>
    <w:rsid w:val="003A41E4"/>
    <w:rsid w:val="003A5AB5"/>
    <w:rsid w:val="003B04E5"/>
    <w:rsid w:val="003B42E3"/>
    <w:rsid w:val="003B5B8C"/>
    <w:rsid w:val="003C6C03"/>
    <w:rsid w:val="003D1AC9"/>
    <w:rsid w:val="003D79B1"/>
    <w:rsid w:val="003E74EE"/>
    <w:rsid w:val="003F0552"/>
    <w:rsid w:val="003F3BC2"/>
    <w:rsid w:val="00400194"/>
    <w:rsid w:val="00401ED1"/>
    <w:rsid w:val="0040224C"/>
    <w:rsid w:val="00413EE1"/>
    <w:rsid w:val="004164BB"/>
    <w:rsid w:val="00421ECE"/>
    <w:rsid w:val="00422FEB"/>
    <w:rsid w:val="0042435E"/>
    <w:rsid w:val="00427EF4"/>
    <w:rsid w:val="004315F5"/>
    <w:rsid w:val="00433456"/>
    <w:rsid w:val="00433DFA"/>
    <w:rsid w:val="00435D67"/>
    <w:rsid w:val="004458EB"/>
    <w:rsid w:val="004627B0"/>
    <w:rsid w:val="00464A58"/>
    <w:rsid w:val="00473D2D"/>
    <w:rsid w:val="004A2125"/>
    <w:rsid w:val="004A38F6"/>
    <w:rsid w:val="004B3B34"/>
    <w:rsid w:val="004B4EB6"/>
    <w:rsid w:val="004C083C"/>
    <w:rsid w:val="004C67C6"/>
    <w:rsid w:val="004D29DE"/>
    <w:rsid w:val="00501A2A"/>
    <w:rsid w:val="00510EAC"/>
    <w:rsid w:val="0052443E"/>
    <w:rsid w:val="00542A57"/>
    <w:rsid w:val="00564BD5"/>
    <w:rsid w:val="00565974"/>
    <w:rsid w:val="005732C0"/>
    <w:rsid w:val="0057336D"/>
    <w:rsid w:val="0057489A"/>
    <w:rsid w:val="00574ACF"/>
    <w:rsid w:val="00581588"/>
    <w:rsid w:val="0058540B"/>
    <w:rsid w:val="00587C87"/>
    <w:rsid w:val="00590B80"/>
    <w:rsid w:val="0059136B"/>
    <w:rsid w:val="005A0C2D"/>
    <w:rsid w:val="005B3134"/>
    <w:rsid w:val="005B4E61"/>
    <w:rsid w:val="005B595A"/>
    <w:rsid w:val="005B66C2"/>
    <w:rsid w:val="005D2465"/>
    <w:rsid w:val="005E33DD"/>
    <w:rsid w:val="005E4229"/>
    <w:rsid w:val="005E540E"/>
    <w:rsid w:val="005E55FB"/>
    <w:rsid w:val="005F16BB"/>
    <w:rsid w:val="005F6061"/>
    <w:rsid w:val="00601FE9"/>
    <w:rsid w:val="00607115"/>
    <w:rsid w:val="006147B6"/>
    <w:rsid w:val="00616375"/>
    <w:rsid w:val="00620768"/>
    <w:rsid w:val="0062594B"/>
    <w:rsid w:val="00631406"/>
    <w:rsid w:val="00631D5C"/>
    <w:rsid w:val="006324FF"/>
    <w:rsid w:val="006351D6"/>
    <w:rsid w:val="00636E0D"/>
    <w:rsid w:val="0064142F"/>
    <w:rsid w:val="00643CB4"/>
    <w:rsid w:val="00644A40"/>
    <w:rsid w:val="00656427"/>
    <w:rsid w:val="0065794F"/>
    <w:rsid w:val="00660255"/>
    <w:rsid w:val="00691B12"/>
    <w:rsid w:val="006971F3"/>
    <w:rsid w:val="006C2F7E"/>
    <w:rsid w:val="006C2FEB"/>
    <w:rsid w:val="006C74A3"/>
    <w:rsid w:val="006D1381"/>
    <w:rsid w:val="006D31BC"/>
    <w:rsid w:val="006D7A71"/>
    <w:rsid w:val="006E7943"/>
    <w:rsid w:val="006F24EA"/>
    <w:rsid w:val="00704B3B"/>
    <w:rsid w:val="00704CA9"/>
    <w:rsid w:val="0070784B"/>
    <w:rsid w:val="0071048D"/>
    <w:rsid w:val="00710F86"/>
    <w:rsid w:val="007111A8"/>
    <w:rsid w:val="00717195"/>
    <w:rsid w:val="00731BC3"/>
    <w:rsid w:val="00741192"/>
    <w:rsid w:val="00743A33"/>
    <w:rsid w:val="00746080"/>
    <w:rsid w:val="00746734"/>
    <w:rsid w:val="00746FF3"/>
    <w:rsid w:val="0075144A"/>
    <w:rsid w:val="00777DCD"/>
    <w:rsid w:val="00786329"/>
    <w:rsid w:val="00790C2F"/>
    <w:rsid w:val="00792C7D"/>
    <w:rsid w:val="00794A4D"/>
    <w:rsid w:val="007A5234"/>
    <w:rsid w:val="007A7C89"/>
    <w:rsid w:val="007B4930"/>
    <w:rsid w:val="007B7854"/>
    <w:rsid w:val="007C56A1"/>
    <w:rsid w:val="007C6454"/>
    <w:rsid w:val="007D5A1A"/>
    <w:rsid w:val="007E01E0"/>
    <w:rsid w:val="007E3B01"/>
    <w:rsid w:val="007F0B93"/>
    <w:rsid w:val="007F2ECA"/>
    <w:rsid w:val="00800BCB"/>
    <w:rsid w:val="00811708"/>
    <w:rsid w:val="00816B90"/>
    <w:rsid w:val="00817799"/>
    <w:rsid w:val="00822F5F"/>
    <w:rsid w:val="00824FD3"/>
    <w:rsid w:val="00826589"/>
    <w:rsid w:val="0082704D"/>
    <w:rsid w:val="00834BCC"/>
    <w:rsid w:val="00850D54"/>
    <w:rsid w:val="0086079E"/>
    <w:rsid w:val="008714B0"/>
    <w:rsid w:val="00876331"/>
    <w:rsid w:val="00880726"/>
    <w:rsid w:val="00892B62"/>
    <w:rsid w:val="008A31C8"/>
    <w:rsid w:val="008A3544"/>
    <w:rsid w:val="008A44D4"/>
    <w:rsid w:val="008B48B8"/>
    <w:rsid w:val="008B51B9"/>
    <w:rsid w:val="008B5348"/>
    <w:rsid w:val="008B58F8"/>
    <w:rsid w:val="008C0712"/>
    <w:rsid w:val="008C4520"/>
    <w:rsid w:val="008C5F09"/>
    <w:rsid w:val="008D470F"/>
    <w:rsid w:val="008D4839"/>
    <w:rsid w:val="008E1F8F"/>
    <w:rsid w:val="008E3CB1"/>
    <w:rsid w:val="008E4768"/>
    <w:rsid w:val="008E761E"/>
    <w:rsid w:val="008F77B3"/>
    <w:rsid w:val="009008F5"/>
    <w:rsid w:val="00904CC1"/>
    <w:rsid w:val="009066AF"/>
    <w:rsid w:val="00912050"/>
    <w:rsid w:val="00912E48"/>
    <w:rsid w:val="0092746F"/>
    <w:rsid w:val="00935DC9"/>
    <w:rsid w:val="00936A45"/>
    <w:rsid w:val="00942747"/>
    <w:rsid w:val="00943BA0"/>
    <w:rsid w:val="009446C0"/>
    <w:rsid w:val="00951557"/>
    <w:rsid w:val="0096082E"/>
    <w:rsid w:val="00961347"/>
    <w:rsid w:val="00964F11"/>
    <w:rsid w:val="00967410"/>
    <w:rsid w:val="00967D73"/>
    <w:rsid w:val="00976F85"/>
    <w:rsid w:val="0098119A"/>
    <w:rsid w:val="00984AAF"/>
    <w:rsid w:val="00985C4F"/>
    <w:rsid w:val="00991B09"/>
    <w:rsid w:val="00993CB2"/>
    <w:rsid w:val="009A2082"/>
    <w:rsid w:val="009A5166"/>
    <w:rsid w:val="009A76F8"/>
    <w:rsid w:val="009A77E7"/>
    <w:rsid w:val="009B2B83"/>
    <w:rsid w:val="009C49F8"/>
    <w:rsid w:val="009C4C89"/>
    <w:rsid w:val="009D77CC"/>
    <w:rsid w:val="009E2423"/>
    <w:rsid w:val="009E55D7"/>
    <w:rsid w:val="009F4150"/>
    <w:rsid w:val="009F5665"/>
    <w:rsid w:val="009F5DAD"/>
    <w:rsid w:val="00A01BCA"/>
    <w:rsid w:val="00A10458"/>
    <w:rsid w:val="00A153B6"/>
    <w:rsid w:val="00A164D5"/>
    <w:rsid w:val="00A173E5"/>
    <w:rsid w:val="00A2127D"/>
    <w:rsid w:val="00A22D08"/>
    <w:rsid w:val="00A25D0B"/>
    <w:rsid w:val="00A273C3"/>
    <w:rsid w:val="00A30C37"/>
    <w:rsid w:val="00A3497C"/>
    <w:rsid w:val="00A35043"/>
    <w:rsid w:val="00A36C65"/>
    <w:rsid w:val="00A401E6"/>
    <w:rsid w:val="00A41BBE"/>
    <w:rsid w:val="00A45BDD"/>
    <w:rsid w:val="00A46A0A"/>
    <w:rsid w:val="00A553F8"/>
    <w:rsid w:val="00A6708F"/>
    <w:rsid w:val="00A71BF6"/>
    <w:rsid w:val="00A80B57"/>
    <w:rsid w:val="00A85ED8"/>
    <w:rsid w:val="00A86F9A"/>
    <w:rsid w:val="00A95A14"/>
    <w:rsid w:val="00AA35E6"/>
    <w:rsid w:val="00AA50B6"/>
    <w:rsid w:val="00AB3472"/>
    <w:rsid w:val="00AD0762"/>
    <w:rsid w:val="00AE4452"/>
    <w:rsid w:val="00AE5750"/>
    <w:rsid w:val="00AE7C38"/>
    <w:rsid w:val="00B01F99"/>
    <w:rsid w:val="00B02B37"/>
    <w:rsid w:val="00B05276"/>
    <w:rsid w:val="00B132DB"/>
    <w:rsid w:val="00B15B2B"/>
    <w:rsid w:val="00B3004E"/>
    <w:rsid w:val="00B31427"/>
    <w:rsid w:val="00B33861"/>
    <w:rsid w:val="00B40DE2"/>
    <w:rsid w:val="00B47E2B"/>
    <w:rsid w:val="00B50210"/>
    <w:rsid w:val="00B5083D"/>
    <w:rsid w:val="00B53955"/>
    <w:rsid w:val="00B5776B"/>
    <w:rsid w:val="00B6408A"/>
    <w:rsid w:val="00B714B8"/>
    <w:rsid w:val="00B824E1"/>
    <w:rsid w:val="00B82C2C"/>
    <w:rsid w:val="00B8720B"/>
    <w:rsid w:val="00B876EF"/>
    <w:rsid w:val="00B956FC"/>
    <w:rsid w:val="00BA4697"/>
    <w:rsid w:val="00BB5378"/>
    <w:rsid w:val="00BC0BD3"/>
    <w:rsid w:val="00BD0107"/>
    <w:rsid w:val="00BD3A3C"/>
    <w:rsid w:val="00BE0C33"/>
    <w:rsid w:val="00BE262C"/>
    <w:rsid w:val="00BE6C3D"/>
    <w:rsid w:val="00BF5FDB"/>
    <w:rsid w:val="00C07606"/>
    <w:rsid w:val="00C12542"/>
    <w:rsid w:val="00C15F49"/>
    <w:rsid w:val="00C24725"/>
    <w:rsid w:val="00C25476"/>
    <w:rsid w:val="00C26699"/>
    <w:rsid w:val="00C268CC"/>
    <w:rsid w:val="00C30BA9"/>
    <w:rsid w:val="00C3541E"/>
    <w:rsid w:val="00C36A8F"/>
    <w:rsid w:val="00C403CF"/>
    <w:rsid w:val="00C42FFA"/>
    <w:rsid w:val="00C507D8"/>
    <w:rsid w:val="00C62EAC"/>
    <w:rsid w:val="00C63F9F"/>
    <w:rsid w:val="00C7723C"/>
    <w:rsid w:val="00C838F5"/>
    <w:rsid w:val="00CA1AF4"/>
    <w:rsid w:val="00CA2AB2"/>
    <w:rsid w:val="00CA582D"/>
    <w:rsid w:val="00CA6068"/>
    <w:rsid w:val="00CB15E1"/>
    <w:rsid w:val="00CB3D46"/>
    <w:rsid w:val="00CB57E4"/>
    <w:rsid w:val="00CC6993"/>
    <w:rsid w:val="00CD1A87"/>
    <w:rsid w:val="00CD25D7"/>
    <w:rsid w:val="00CD2DAE"/>
    <w:rsid w:val="00CD35F3"/>
    <w:rsid w:val="00CD5C93"/>
    <w:rsid w:val="00CE342B"/>
    <w:rsid w:val="00CF320C"/>
    <w:rsid w:val="00CF3A4B"/>
    <w:rsid w:val="00CF4001"/>
    <w:rsid w:val="00D05837"/>
    <w:rsid w:val="00D12D8A"/>
    <w:rsid w:val="00D13E0C"/>
    <w:rsid w:val="00D148EB"/>
    <w:rsid w:val="00D14BE3"/>
    <w:rsid w:val="00D25896"/>
    <w:rsid w:val="00D373A1"/>
    <w:rsid w:val="00D37C0F"/>
    <w:rsid w:val="00D45661"/>
    <w:rsid w:val="00D45943"/>
    <w:rsid w:val="00D47D22"/>
    <w:rsid w:val="00D51865"/>
    <w:rsid w:val="00D51D0C"/>
    <w:rsid w:val="00D63909"/>
    <w:rsid w:val="00D64C11"/>
    <w:rsid w:val="00D74140"/>
    <w:rsid w:val="00DA6E56"/>
    <w:rsid w:val="00DC6705"/>
    <w:rsid w:val="00DD067E"/>
    <w:rsid w:val="00DD2DE8"/>
    <w:rsid w:val="00DE38B4"/>
    <w:rsid w:val="00DE5D02"/>
    <w:rsid w:val="00DF1085"/>
    <w:rsid w:val="00E005A9"/>
    <w:rsid w:val="00E02CC4"/>
    <w:rsid w:val="00E1166E"/>
    <w:rsid w:val="00E212A7"/>
    <w:rsid w:val="00E23B8D"/>
    <w:rsid w:val="00E24DC0"/>
    <w:rsid w:val="00E2519C"/>
    <w:rsid w:val="00E25F2A"/>
    <w:rsid w:val="00E41455"/>
    <w:rsid w:val="00E42AD2"/>
    <w:rsid w:val="00E44DBB"/>
    <w:rsid w:val="00E456AE"/>
    <w:rsid w:val="00E46149"/>
    <w:rsid w:val="00E50299"/>
    <w:rsid w:val="00E50856"/>
    <w:rsid w:val="00E538CC"/>
    <w:rsid w:val="00E54DBA"/>
    <w:rsid w:val="00E63D7C"/>
    <w:rsid w:val="00E640D5"/>
    <w:rsid w:val="00E66E2E"/>
    <w:rsid w:val="00E67691"/>
    <w:rsid w:val="00E92237"/>
    <w:rsid w:val="00E951EF"/>
    <w:rsid w:val="00E97403"/>
    <w:rsid w:val="00EA3D54"/>
    <w:rsid w:val="00EA56D9"/>
    <w:rsid w:val="00EA5CE3"/>
    <w:rsid w:val="00EB51C1"/>
    <w:rsid w:val="00EB5AE1"/>
    <w:rsid w:val="00EB5E0B"/>
    <w:rsid w:val="00EC2171"/>
    <w:rsid w:val="00EC4084"/>
    <w:rsid w:val="00ED3956"/>
    <w:rsid w:val="00ED442D"/>
    <w:rsid w:val="00ED70C2"/>
    <w:rsid w:val="00EE18FF"/>
    <w:rsid w:val="00EE489F"/>
    <w:rsid w:val="00F0647F"/>
    <w:rsid w:val="00F10CE3"/>
    <w:rsid w:val="00F11413"/>
    <w:rsid w:val="00F14F3B"/>
    <w:rsid w:val="00F16362"/>
    <w:rsid w:val="00F169A5"/>
    <w:rsid w:val="00F207C7"/>
    <w:rsid w:val="00F24E57"/>
    <w:rsid w:val="00F30F5F"/>
    <w:rsid w:val="00F36B6D"/>
    <w:rsid w:val="00F43FA3"/>
    <w:rsid w:val="00F55648"/>
    <w:rsid w:val="00F62F7D"/>
    <w:rsid w:val="00F70046"/>
    <w:rsid w:val="00F748C2"/>
    <w:rsid w:val="00F76C5C"/>
    <w:rsid w:val="00F81EF3"/>
    <w:rsid w:val="00F84496"/>
    <w:rsid w:val="00F85DCB"/>
    <w:rsid w:val="00F86F9C"/>
    <w:rsid w:val="00F90D76"/>
    <w:rsid w:val="00FB16EE"/>
    <w:rsid w:val="00FB7C09"/>
    <w:rsid w:val="00FC002E"/>
    <w:rsid w:val="00FC2B23"/>
    <w:rsid w:val="00FC4C23"/>
    <w:rsid w:val="00FC642E"/>
    <w:rsid w:val="00FD4977"/>
    <w:rsid w:val="00FE2AE4"/>
    <w:rsid w:val="00FE5D32"/>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32C5E0"/>
  <w15:docId w15:val="{2968F09A-01C6-4522-B038-66BD4324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1832A0"/>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25D0B"/>
    <w:rPr>
      <w:sz w:val="16"/>
      <w:szCs w:val="16"/>
    </w:rPr>
  </w:style>
  <w:style w:type="paragraph" w:styleId="CommentText">
    <w:name w:val="annotation text"/>
    <w:basedOn w:val="Normal"/>
    <w:link w:val="CommentTextChar"/>
    <w:uiPriority w:val="99"/>
    <w:semiHidden/>
    <w:unhideWhenUsed/>
    <w:rsid w:val="00A25D0B"/>
    <w:pPr>
      <w:spacing w:line="240" w:lineRule="auto"/>
    </w:pPr>
    <w:rPr>
      <w:sz w:val="20"/>
      <w:szCs w:val="20"/>
    </w:rPr>
  </w:style>
  <w:style w:type="character" w:customStyle="1" w:styleId="CommentTextChar">
    <w:name w:val="Comment Text Char"/>
    <w:basedOn w:val="DefaultParagraphFont"/>
    <w:link w:val="CommentText"/>
    <w:uiPriority w:val="99"/>
    <w:semiHidden/>
    <w:rsid w:val="00A25D0B"/>
    <w:rPr>
      <w:sz w:val="20"/>
      <w:szCs w:val="20"/>
    </w:rPr>
  </w:style>
  <w:style w:type="paragraph" w:styleId="CommentSubject">
    <w:name w:val="annotation subject"/>
    <w:basedOn w:val="CommentText"/>
    <w:next w:val="CommentText"/>
    <w:link w:val="CommentSubjectChar"/>
    <w:uiPriority w:val="99"/>
    <w:semiHidden/>
    <w:unhideWhenUsed/>
    <w:rsid w:val="00A25D0B"/>
    <w:rPr>
      <w:b/>
      <w:bCs/>
    </w:rPr>
  </w:style>
  <w:style w:type="character" w:customStyle="1" w:styleId="CommentSubjectChar">
    <w:name w:val="Comment Subject Char"/>
    <w:basedOn w:val="CommentTextChar"/>
    <w:link w:val="CommentSubject"/>
    <w:uiPriority w:val="99"/>
    <w:semiHidden/>
    <w:rsid w:val="00A25D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782261314">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health.gov.au/cdi"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health.gov.au/cdna"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copyright@health.gov.au"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itsanhonour.gov.a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s://creativecommons.org/licenses/by-nc-nd/4.0/legalco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B53174-57B5-432D-A7F2-6BA75B2B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10014</Words>
  <Characters>55990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Communicable Diseases Intelligence 2020 - Surveillance of adverse events following immunisation in Australia: annual report, 2018</vt:lpstr>
    </vt:vector>
  </TitlesOfParts>
  <Company>Australian Government, Department of Health</Company>
  <LinksUpToDate>false</LinksUpToDate>
  <CharactersWithSpaces>65873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Surveillance of adverse events following immunisation in Australia: annual report, 2018</dc:title>
  <dc:subject>This report summarises Australian passive surveillance data for adverse events following immunisation (AEFI) reported to the Therapeutic Goods Administration (TGA) for 2018. It also describes reporting trends over the 19-year period 1 January 2000 to 31 December 2018.</dc:subject>
  <dc:creator>Aditi Dey, Han Wang, Helen Quinn, Alexis Pillsbury, Catherine Glover, Megan Hickie, Nicholas Wood, Frank Beard and Kristine Macartney</dc:creator>
  <cp:keywords>AEFI, adverse events, vaccines, surveillance, immunisation, vaccine</cp:keywords>
  <dc:description>© Commonwealth of Australia CC BY-NC-ND ISSN: 2209-6051 (Online)</dc:description>
  <cp:lastPrinted>2018-05-10T02:19:00Z</cp:lastPrinted>
  <dcterms:created xsi:type="dcterms:W3CDTF">2024-08-28T07:48:00Z</dcterms:created>
  <dcterms:modified xsi:type="dcterms:W3CDTF">2024-08-28T07:48:00Z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16/3/2020</vt:lpwstr>
  </property>
  <property fmtid="{D5CDD505-2E9C-101B-9397-08002B2CF9AE}" pid="5" name="DOI">
    <vt:lpwstr>https://doi.org/10.33321/cdi.2020.44.12</vt:lpwstr>
  </property>
</Properties>
</file>