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00189" w14:textId="77777777" w:rsidR="0033544B" w:rsidRDefault="0033544B" w:rsidP="0033544B">
      <w:pPr>
        <w:pStyle w:val="Title"/>
        <w:rPr>
          <w:rFonts w:eastAsia="Times New Roman"/>
          <w:sz w:val="48"/>
          <w:szCs w:val="48"/>
        </w:rPr>
      </w:pPr>
      <w:r>
        <w:rPr>
          <w:rFonts w:eastAsia="Times New Roman"/>
        </w:rPr>
        <w:t xml:space="preserve">Australian National Enterovirus Reference Laboratory annual report, 2015 </w:t>
      </w:r>
    </w:p>
    <w:p w14:paraId="44579F97" w14:textId="77777777" w:rsidR="0033544B" w:rsidRDefault="0033544B" w:rsidP="0033544B">
      <w:r>
        <w:t xml:space="preserve">Jason A Roberts, Linda K Hobday, Aishah Ibrahim, Thomas Aitken and Bruce R Thorley </w:t>
      </w:r>
    </w:p>
    <w:p w14:paraId="70922DE2" w14:textId="77777777" w:rsidR="0033544B" w:rsidRPr="0033544B" w:rsidRDefault="0033544B" w:rsidP="0033544B">
      <w:pPr>
        <w:pStyle w:val="Heading1"/>
      </w:pPr>
      <w:r w:rsidRPr="0033544B">
        <w:t xml:space="preserve">Abstract </w:t>
      </w:r>
    </w:p>
    <w:p w14:paraId="32F722A0" w14:textId="77777777" w:rsidR="0033544B" w:rsidRDefault="0033544B" w:rsidP="0033544B">
      <w:r>
        <w:t xml:space="preserve">Australia conducts surveillance for cases of acute flaccid paralysis (AFP) in children less than 15 years as recommended by the World Health Organization (WHO) as the main method to monitor its polio-free status. Cases of AFP in children are notified to the Australian Paediatric Surveillance Unit or the Paediatric Active Enhanced Disease Surveillance System and faecal specimens are referred for virological investigation to the National Enterovirus Reference Laboratory. In 2015, no cases of poliomyelitis were reported from clinical surveillance and Australia reported 1.2 non-polio AFP cases per 100,000 children, meeting the WHO performance criterion for a sensitive surveillance system. Two non-polio enteroviruses, enterovirus A71 and coxsackievirus B3, were identified from clinical specimens collected from AFP cases. Australia complements the clinical surveillance program with enterovirus and environmental surveillance for poliovirus. Two Sabin-like polioviruses were isolated from sewage collected in Melbourne in 2015, which would have been imported from a country that uses the oral polio vaccine. The global eradication of wild poliovirus type 2 was certified in 2015 and Sabin poliovirus type 2 will be withdrawn from oral polio vaccine in April 2016. Laboratory containment of all remaining wild and vaccine strains of poliovirus type 2 will occur in 2016 and the National Enterovirus Reference Laboratory was designated as a polio essential facility. Globally, in 2015, 74 cases of polio were reported, only in the two remaining countries endemic for wild poliovirus: Afghanistan and Pakistan. This is the lowest number reported since the global polio eradication program was initiated. </w:t>
      </w:r>
    </w:p>
    <w:p w14:paraId="4DF820C7" w14:textId="77777777" w:rsidR="0033544B" w:rsidRDefault="0033544B" w:rsidP="0033544B">
      <w:r>
        <w:t xml:space="preserve">Keywords: poliovirus, acute flaccid paralysis, surveillance, enterovirus, poliomyelitis, eradication, vaccination </w:t>
      </w:r>
    </w:p>
    <w:p w14:paraId="430E452A" w14:textId="77777777" w:rsidR="0033544B" w:rsidRPr="0033544B" w:rsidRDefault="0033544B" w:rsidP="0033544B">
      <w:pPr>
        <w:pStyle w:val="Heading1"/>
      </w:pPr>
      <w:r w:rsidRPr="0033544B">
        <w:t xml:space="preserve">Introduction </w:t>
      </w:r>
    </w:p>
    <w:p w14:paraId="1580320E" w14:textId="77777777" w:rsidR="0033544B" w:rsidRDefault="0033544B" w:rsidP="0033544B">
      <w:r>
        <w:t>Australia has established clinical and virological surveillance schemes to monitor its polio-free status. The clinical surveillance follows the World Health Organization (WHO) recommendation of investigating cases of acute flaccid paralysis (AFP) in children less than 15 years of age as an age group at high risk of poliovirus infection. AFP cases are ascertained either by clinicians notifying the Australian Paediatric Surveillance Unit (APSU) via a monthly report card or through the Paediatric Active Enhanced Disease Surveillance System (PAEDS) at five sentinel tertiary paediatric hospitals.</w:t>
      </w:r>
      <w:r>
        <w:rPr>
          <w:vertAlign w:val="superscript"/>
        </w:rPr>
        <w:t>1,2,3</w:t>
      </w:r>
      <w:r>
        <w:t xml:space="preserve"> The WHO recommends that two faecal specimens be collected for virological investigation at least 24 hours apart and within 14 days of the onset of paralysis from cases of AFP to exclude poliovirus as the causative agent. It is a requirement of the WHO polio eradication program that the specimens are tested in a WHO-accredited laboratory, which for Australia is the National Enterovirus Reference Laboratory (NERL) at the Victorian Infectious Diseases Reference Laboratory (VIDRL). The clinical and laboratory data from AFP cases in children is reviewed by the Polio Expert Panel (PEP) and reported to the WHO as evidence of Australia’s continued polio-free status. </w:t>
      </w:r>
    </w:p>
    <w:p w14:paraId="720CF5BC" w14:textId="77777777" w:rsidR="0033544B" w:rsidRDefault="0033544B" w:rsidP="0033544B">
      <w:r>
        <w:t xml:space="preserve">Enterovirus and environmental surveillance programs were established as virological surveillance for poliovirus to complement the clinical surveillance program focussed on AFP cases in children. Enteroviruses other than poliovirus have been associated with AFP and poliovirus infection may manifest clinically without paralysis. The Enterovirus Reference Laboratory Network of Australia (ERLNA) involves public diagnostic virology laboratories reporting enterovirus typing results from clinical specimens to exclude poliovirus involvement and establish the epidemiology of non-polio enteroviruses (NPEVs) in Australia. Most poliovirus infections are asymptomatic with the virus shed for </w:t>
      </w:r>
      <w:r>
        <w:lastRenderedPageBreak/>
        <w:t xml:space="preserve">weeks in the faeces of infected persons. WHO supports the testing of environmental or raw sewage samples as a means of detecting the presence of wild poliovirus in polio-free countries. The testing of environmental samples commenced at a sentinel site in metropolitan Melbourne from late 2014. </w:t>
      </w:r>
    </w:p>
    <w:p w14:paraId="763C2567" w14:textId="77777777" w:rsidR="0033544B" w:rsidRDefault="0033544B" w:rsidP="0033544B">
      <w:r>
        <w:t>The number of wild polio cases worldwide decreased from 359 in 2014 to 74 in 2015.</w:t>
      </w:r>
      <w:r>
        <w:rPr>
          <w:vertAlign w:val="superscript"/>
        </w:rPr>
        <w:t>4</w:t>
      </w:r>
      <w:r>
        <w:t xml:space="preserve"> Cases were reported only from the two remaining polio endemic countries: Afghanistan and Pakistan. Nigeria was declared polio-free in September 2015, after more than 12 months with no detection of wild poliovirus.</w:t>
      </w:r>
      <w:r>
        <w:rPr>
          <w:vertAlign w:val="superscript"/>
        </w:rPr>
        <w:t>5</w:t>
      </w:r>
      <w:r>
        <w:t xml:space="preserve"> Only wild poliovirus serotype 1 was detected in 2015, with the last report of wild poliovirus type 3 in Nigeria in November 2012.</w:t>
      </w:r>
      <w:r>
        <w:rPr>
          <w:vertAlign w:val="superscript"/>
        </w:rPr>
        <w:t>6</w:t>
      </w:r>
      <w:r>
        <w:t xml:space="preserve"> The global eradication of wild poliovirus type 2 was certified in September 2015, with the last detection reported in India in 1999.</w:t>
      </w:r>
      <w:r>
        <w:rPr>
          <w:vertAlign w:val="superscript"/>
        </w:rPr>
        <w:t>7</w:t>
      </w:r>
      <w:r>
        <w:t xml:space="preserve"> This achievement has led to the planned globally-synchronised withdrawal of Sabin 2 poliovirus from OPV along with laboratory containment of this serotype from 2016, which will involve restricted access at a limited number of facilities worldwide.</w:t>
      </w:r>
      <w:r>
        <w:rPr>
          <w:vertAlign w:val="superscript"/>
        </w:rPr>
        <w:t>8</w:t>
      </w:r>
      <w:r>
        <w:t xml:space="preserve"> The three poliovirus serotypes will remain in the inactivated polio vaccine and all countries will incorporate at least one dose of inactivated polio vaccine in the routine immunisation schedule to maintain immunity to poliovirus type 2 ahead of the switch from trivalent OPV to bivalent OPV in April 2016. </w:t>
      </w:r>
    </w:p>
    <w:p w14:paraId="7C73E736" w14:textId="77777777" w:rsidR="0033544B" w:rsidRDefault="0033544B" w:rsidP="0033544B">
      <w:r>
        <w:t>In May 2014, the WHO Director-General declared the international spread of wild poliovirus in the northern hemisphere low season to be a Public Health Emergency of International Concern. The situation has been assessed every three months since then and the declaration has remained in place with countries known to be exporting wild poliovirus required to ensure all residents and long-term visitors are vaccinated between four weeks and 12 months prior to international travel.</w:t>
      </w:r>
      <w:r>
        <w:rPr>
          <w:vertAlign w:val="superscript"/>
        </w:rPr>
        <w:t xml:space="preserve">9 </w:t>
      </w:r>
      <w:r>
        <w:t>At the seventh meeting of the Emergency Committee, in November 2015, outbreaks of circulating vaccine-derived poliovirus (</w:t>
      </w:r>
      <w:proofErr w:type="spellStart"/>
      <w:r>
        <w:t>cVDPV</w:t>
      </w:r>
      <w:proofErr w:type="spellEnd"/>
      <w:r>
        <w:t xml:space="preserve">) were added to the declaration. These </w:t>
      </w:r>
      <w:proofErr w:type="spellStart"/>
      <w:r>
        <w:t>cVDPV</w:t>
      </w:r>
      <w:proofErr w:type="spellEnd"/>
      <w:r>
        <w:t xml:space="preserve"> outbreaks are indicative of gaps in routine immunization, and type 2 </w:t>
      </w:r>
      <w:proofErr w:type="spellStart"/>
      <w:r>
        <w:t>cVDPV</w:t>
      </w:r>
      <w:proofErr w:type="spellEnd"/>
      <w:r>
        <w:t xml:space="preserve"> outbreaks in Guinea, Myanmar, </w:t>
      </w:r>
      <w:proofErr w:type="gramStart"/>
      <w:r>
        <w:t>Nigeria</w:t>
      </w:r>
      <w:proofErr w:type="gramEnd"/>
      <w:r>
        <w:t xml:space="preserve"> and Pakistan during 2015 are cause for public health concern in the lead-up to the switch to bivalent OPV.</w:t>
      </w:r>
      <w:r>
        <w:rPr>
          <w:vertAlign w:val="superscript"/>
        </w:rPr>
        <w:t>10</w:t>
      </w:r>
      <w:r>
        <w:t xml:space="preserve"> </w:t>
      </w:r>
    </w:p>
    <w:p w14:paraId="0579FA22" w14:textId="77777777" w:rsidR="0033544B" w:rsidRDefault="0033544B" w:rsidP="0033544B">
      <w:r>
        <w:t xml:space="preserve">This report summarises the polio surveillance program in Australia for 2015, encompassing clinical surveillance for AFP cases in children and virological surveillance for poliovirus. </w:t>
      </w:r>
    </w:p>
    <w:p w14:paraId="337D930A" w14:textId="77777777" w:rsidR="0033544B" w:rsidRPr="0033544B" w:rsidRDefault="0033544B" w:rsidP="0033544B">
      <w:pPr>
        <w:pStyle w:val="Heading1"/>
      </w:pPr>
      <w:r w:rsidRPr="0033544B">
        <w:t xml:space="preserve">Methods </w:t>
      </w:r>
    </w:p>
    <w:p w14:paraId="737EB24F" w14:textId="77777777" w:rsidR="0033544B" w:rsidRPr="0033544B" w:rsidRDefault="0033544B" w:rsidP="0033544B">
      <w:pPr>
        <w:pStyle w:val="Heading2"/>
      </w:pPr>
      <w:r w:rsidRPr="0033544B">
        <w:t xml:space="preserve">Acute flaccid paralysis surveillance </w:t>
      </w:r>
    </w:p>
    <w:p w14:paraId="5E8B6C12" w14:textId="77777777" w:rsidR="0033544B" w:rsidRDefault="0033544B" w:rsidP="0033544B">
      <w:r>
        <w:t>Paediatricians reviewing a patient less than 15 years of age presenting with AFP, or clinicians reviewing a patient of any age with suspected poliomyelitis, are requested to notify the NERL</w:t>
      </w:r>
      <w:r w:rsidR="003E5AD1">
        <w:rPr>
          <w:rStyle w:val="FootnoteReference"/>
        </w:rPr>
        <w:footnoteReference w:id="2"/>
      </w:r>
      <w:r>
        <w:t>. Cases of suspected poliomyelitis are notifiable under the Nationally Notifiable Disease Surveillance Scheme.</w:t>
      </w:r>
      <w:r>
        <w:rPr>
          <w:vertAlign w:val="superscript"/>
        </w:rPr>
        <w:t>11</w:t>
      </w:r>
      <w:r>
        <w:t xml:space="preserve"> Paediatricians notify AFP cases to the APSU</w:t>
      </w:r>
      <w:r w:rsidR="002922AD">
        <w:rPr>
          <w:rStyle w:val="FootnoteReference"/>
        </w:rPr>
        <w:footnoteReference w:id="3"/>
      </w:r>
      <w:r>
        <w:t xml:space="preserve"> via a monthly report card. Upon receipt of the notification, the AFP National Surveillance Co-ordinator based within the NERL forwards a clinical questionnaire for the clinician to complete. Alternatively, AFP cases are ascertained by PAEDS nursing staff from medical records and are enrolled in the surveillance program with parental or guardian consent. </w:t>
      </w:r>
    </w:p>
    <w:p w14:paraId="25BDD39F" w14:textId="77777777" w:rsidR="0033544B" w:rsidRDefault="0033544B" w:rsidP="0033544B">
      <w:r>
        <w:t xml:space="preserve">According to the WHO surveillance criterion, two faecal specimens must be collected more than 24 hours apart due to intermittent virus shedding, and within 14 days of the onset of paralysis, while the virus titre remains high, to be classified as adequate. The faecal specimens are tested free of charge by the NERL. </w:t>
      </w:r>
    </w:p>
    <w:p w14:paraId="7E6C2F82" w14:textId="77777777" w:rsidR="0033544B" w:rsidRDefault="0033544B" w:rsidP="0033544B">
      <w:r>
        <w:lastRenderedPageBreak/>
        <w:t xml:space="preserve">The PEP, a subcommittee of the Communicable Disease Network of Australia, reviews the clinical and laboratory data for all notified cases of AFP, irrespective of whether they are an eligible or ineligible case. An eligible case is an Australian child less than 15 years of age with AFP (including Guillain-Barre syndrome and transverse myelitis) or an Australian of any age with suspected polio. </w:t>
      </w:r>
    </w:p>
    <w:p w14:paraId="176789A3" w14:textId="77777777" w:rsidR="0033544B" w:rsidRDefault="0033544B" w:rsidP="0033544B">
      <w:r>
        <w:t xml:space="preserve">The PEP classifies cases of AFP as: </w:t>
      </w:r>
    </w:p>
    <w:p w14:paraId="7A17EBFB" w14:textId="77777777" w:rsidR="0033544B" w:rsidRPr="0033544B" w:rsidRDefault="0033544B" w:rsidP="0033544B">
      <w:pPr>
        <w:pStyle w:val="ListParagraph"/>
        <w:numPr>
          <w:ilvl w:val="0"/>
          <w:numId w:val="11"/>
        </w:numPr>
        <w:rPr>
          <w:rFonts w:eastAsia="Times New Roman"/>
        </w:rPr>
      </w:pPr>
      <w:r w:rsidRPr="0033544B">
        <w:rPr>
          <w:rFonts w:eastAsia="Times New Roman"/>
        </w:rPr>
        <w:t>Poliomyelitis due to wild poliovirus, vaccine-derived poliovirus (VDPV) or vaccine-associated paralytic poliomyelitis (VAPP</w:t>
      </w:r>
      <w:proofErr w:type="gramStart"/>
      <w:r w:rsidRPr="0033544B">
        <w:rPr>
          <w:rFonts w:eastAsia="Times New Roman"/>
        </w:rPr>
        <w:t>);</w:t>
      </w:r>
      <w:proofErr w:type="gramEnd"/>
      <w:r w:rsidRPr="0033544B">
        <w:rPr>
          <w:rFonts w:eastAsia="Times New Roman"/>
        </w:rPr>
        <w:t xml:space="preserve"> </w:t>
      </w:r>
    </w:p>
    <w:p w14:paraId="02C4FE1D" w14:textId="77777777" w:rsidR="0033544B" w:rsidRPr="0033544B" w:rsidRDefault="0033544B" w:rsidP="0033544B">
      <w:pPr>
        <w:pStyle w:val="ListParagraph"/>
        <w:numPr>
          <w:ilvl w:val="0"/>
          <w:numId w:val="11"/>
        </w:numPr>
        <w:rPr>
          <w:rFonts w:eastAsia="Times New Roman"/>
        </w:rPr>
      </w:pPr>
      <w:r w:rsidRPr="0033544B">
        <w:rPr>
          <w:rFonts w:eastAsia="Times New Roman"/>
        </w:rPr>
        <w:t xml:space="preserve">Polio-compatible if there is insufficient evidence to exclude </w:t>
      </w:r>
      <w:proofErr w:type="gramStart"/>
      <w:r w:rsidRPr="0033544B">
        <w:rPr>
          <w:rFonts w:eastAsia="Times New Roman"/>
        </w:rPr>
        <w:t>poliomyelitis;</w:t>
      </w:r>
      <w:proofErr w:type="gramEnd"/>
      <w:r w:rsidRPr="0033544B">
        <w:rPr>
          <w:rFonts w:eastAsia="Times New Roman"/>
        </w:rPr>
        <w:t xml:space="preserve"> </w:t>
      </w:r>
    </w:p>
    <w:p w14:paraId="5A5550D0" w14:textId="77777777" w:rsidR="0033544B" w:rsidRPr="0033544B" w:rsidRDefault="0033544B" w:rsidP="0033544B">
      <w:pPr>
        <w:pStyle w:val="ListParagraph"/>
        <w:numPr>
          <w:ilvl w:val="0"/>
          <w:numId w:val="11"/>
        </w:numPr>
        <w:rPr>
          <w:rFonts w:eastAsia="Times New Roman"/>
        </w:rPr>
      </w:pPr>
      <w:r w:rsidRPr="0033544B">
        <w:rPr>
          <w:rFonts w:eastAsia="Times New Roman"/>
        </w:rPr>
        <w:t xml:space="preserve">Non-polio AFP </w:t>
      </w:r>
      <w:proofErr w:type="gramStart"/>
      <w:r w:rsidRPr="0033544B">
        <w:rPr>
          <w:rFonts w:eastAsia="Times New Roman"/>
        </w:rPr>
        <w:t>or;</w:t>
      </w:r>
      <w:proofErr w:type="gramEnd"/>
      <w:r w:rsidRPr="0033544B">
        <w:rPr>
          <w:rFonts w:eastAsia="Times New Roman"/>
        </w:rPr>
        <w:t xml:space="preserve"> </w:t>
      </w:r>
    </w:p>
    <w:p w14:paraId="160A10D6" w14:textId="77777777" w:rsidR="0033544B" w:rsidRPr="0033544B" w:rsidRDefault="0033544B" w:rsidP="0033544B">
      <w:pPr>
        <w:pStyle w:val="ListParagraph"/>
        <w:numPr>
          <w:ilvl w:val="0"/>
          <w:numId w:val="11"/>
        </w:numPr>
        <w:rPr>
          <w:rFonts w:eastAsia="Times New Roman"/>
        </w:rPr>
      </w:pPr>
      <w:r w:rsidRPr="0033544B">
        <w:rPr>
          <w:rFonts w:eastAsia="Times New Roman"/>
        </w:rPr>
        <w:t xml:space="preserve">Non-AFP. </w:t>
      </w:r>
    </w:p>
    <w:p w14:paraId="1B34A0FC" w14:textId="77777777" w:rsidR="0033544B" w:rsidRDefault="0033544B" w:rsidP="0033544B">
      <w:r>
        <w:t>The clinician is contacted if the PEP requires more information regarding the AFP case before a final classification can be made. After each PEP meeting the Australian AFP case classifications are forwarded to WHO for inclusion in the global AFP surveillance data published in the Weekly Epidemiological Record</w:t>
      </w:r>
      <w:r w:rsidR="00221CEB">
        <w:rPr>
          <w:rStyle w:val="FootnoteReference"/>
        </w:rPr>
        <w:footnoteReference w:id="4"/>
      </w:r>
      <w:r>
        <w:t>. Ineligible cases are not reported to</w:t>
      </w:r>
      <w:r w:rsidR="002179B8">
        <w:t> </w:t>
      </w:r>
      <w:r>
        <w:t xml:space="preserve">WHO. </w:t>
      </w:r>
    </w:p>
    <w:p w14:paraId="4D10A2B6" w14:textId="77777777" w:rsidR="0033544B" w:rsidRDefault="0033544B" w:rsidP="0033544B">
      <w:r>
        <w:t>The WHO AFP surveillance performance indicator for a polio non-endemic country is 1 case of non-polio AFP per 100,000 children aged less than 15 years.</w:t>
      </w:r>
      <w:r>
        <w:rPr>
          <w:vertAlign w:val="superscript"/>
        </w:rPr>
        <w:t>12</w:t>
      </w:r>
      <w:r>
        <w:t xml:space="preserve"> For Australia in 2015, this equated to 44 cases, based on the Australian Bureau of Statistics data released in December 2014. An AFP surveillance scheme that satisfies the WHO surveillance performance indicator is deemed sufficiently sensitive to detect a wild poliovirus importation in children of that country. The WHO surveillance performance indicator for laboratory testing is that at least 80% of notified AFP cases have adequate faecal specimens collected and tested in a WHO-accredited laboratory. </w:t>
      </w:r>
    </w:p>
    <w:p w14:paraId="123EFEAE" w14:textId="77777777" w:rsidR="0033544B" w:rsidRPr="0033544B" w:rsidRDefault="0033544B" w:rsidP="0033544B">
      <w:pPr>
        <w:pStyle w:val="Heading2"/>
      </w:pPr>
      <w:r w:rsidRPr="0033544B">
        <w:t xml:space="preserve">Virus culture </w:t>
      </w:r>
    </w:p>
    <w:p w14:paraId="15BD1588" w14:textId="77777777" w:rsidR="0033544B" w:rsidRDefault="0033544B" w:rsidP="0033544B">
      <w:r>
        <w:t xml:space="preserve">Upon receipt at the NERL, faecal specimens are treated with minimum essential medium containing Earle’s salts, chloroform (9.1% v/v) and phosphate buffered saline. The suspension is </w:t>
      </w:r>
      <w:proofErr w:type="gramStart"/>
      <w:r>
        <w:t>clarified</w:t>
      </w:r>
      <w:proofErr w:type="gramEnd"/>
      <w:r>
        <w:t xml:space="preserve"> and the supernatant inoculated onto the two mammalian cell lines recommended by WHO for the isolation of poliovirus: L20B (a transgenic mouse epithelial cell line expressing the human poliovirus receptor, CD155) and RD-A (human rhabdomyosarcoma).</w:t>
      </w:r>
      <w:r>
        <w:rPr>
          <w:vertAlign w:val="superscript"/>
        </w:rPr>
        <w:t>13,14</w:t>
      </w:r>
      <w:r>
        <w:t xml:space="preserve"> </w:t>
      </w:r>
    </w:p>
    <w:p w14:paraId="11EFBE5A" w14:textId="77777777" w:rsidR="0033544B" w:rsidRDefault="0033544B" w:rsidP="0033544B">
      <w:r>
        <w:t xml:space="preserve">Two WHO real-time reverse transcription polymerase chain reaction (RT-PCR) tests are used to determine whether a poliovirus is a wild strain, oral poliomyelitis vaccine (OPV) strain (Sabin-like) or a vaccine-derived poliovirus (VDPV), in a process known as </w:t>
      </w:r>
      <w:proofErr w:type="spellStart"/>
      <w:r>
        <w:t>intratypic</w:t>
      </w:r>
      <w:proofErr w:type="spellEnd"/>
      <w:r>
        <w:t xml:space="preserve"> differentiation (ITD).</w:t>
      </w:r>
      <w:r>
        <w:rPr>
          <w:vertAlign w:val="superscript"/>
        </w:rPr>
        <w:t>15</w:t>
      </w:r>
      <w:r>
        <w:t xml:space="preserve"> The NERL sequences the complete poliovirus viral protein 1 (VP1) genomic region, which contains a major neutralising antibody binding site. The VP1 genomic sequence provides valuable biological information, including the number of mutations within a significant region of the OPV virus strain, and it enables phylogenetic analysis of wild poliovirus to rapidly determine the likely source of the virus, as utilised in the 2007 wild poliovirus importation.</w:t>
      </w:r>
      <w:r>
        <w:rPr>
          <w:vertAlign w:val="superscript"/>
        </w:rPr>
        <w:t xml:space="preserve">16 </w:t>
      </w:r>
    </w:p>
    <w:p w14:paraId="35664229" w14:textId="77777777" w:rsidR="00FC56F3" w:rsidRDefault="00FC56F3">
      <w:pPr>
        <w:rPr>
          <w:rFonts w:asciiTheme="majorHAnsi" w:eastAsiaTheme="majorEastAsia" w:hAnsiTheme="majorHAnsi" w:cstheme="majorBidi"/>
          <w:b/>
          <w:bCs/>
          <w:sz w:val="26"/>
          <w:szCs w:val="26"/>
        </w:rPr>
      </w:pPr>
      <w:r>
        <w:br w:type="page"/>
      </w:r>
    </w:p>
    <w:p w14:paraId="2F04F2F7" w14:textId="77777777" w:rsidR="0033544B" w:rsidRPr="0033544B" w:rsidRDefault="0033544B" w:rsidP="0033544B">
      <w:pPr>
        <w:pStyle w:val="Heading2"/>
      </w:pPr>
      <w:r w:rsidRPr="0033544B">
        <w:lastRenderedPageBreak/>
        <w:t xml:space="preserve">Enterovirus surveillance </w:t>
      </w:r>
    </w:p>
    <w:p w14:paraId="6BE9BFED" w14:textId="77777777" w:rsidR="0033544B" w:rsidRDefault="0033544B" w:rsidP="0033544B">
      <w:r>
        <w:t xml:space="preserve">The ERLNA was established primarily as a means of detecting imported poliovirus amongst untyped enteroviruses from clinical specimens. The network consists of 10 public sector diagnostic virology laboratories in the Australian Capital Territory (Canberra Hospital), New South Wales (Royal Prince Alfred Hospital and the Institute of Clinical Pathology and Medical Research), Queensland (Queensland Health and Scientific Services), South Australia (SA Pathology), Tasmania (Royal Hobart Hospital), Victoria (Royal Children’s Hospital and VIDRL) and Western Australia (Queen Elizabeth II Medical Centre and the Princess Margaret Hospital for Children). </w:t>
      </w:r>
    </w:p>
    <w:p w14:paraId="0174CAE8" w14:textId="77777777" w:rsidR="0033544B" w:rsidRDefault="0033544B" w:rsidP="0033544B">
      <w:r>
        <w:t xml:space="preserve">The NERL encourages members of the ERLNA to perform their own enterovirus typing. It has advised members of the ERLNA on enterovirus detection, supplied laboratory and computer analysis protocols and performed tests in parallel with other laboratories for quality assurance purposes. The NERL receives untyped enteroviruses from four laboratories for typing on a regular basis. The other laboratories perform their own enterovirus typing and report the results to the NERL for inclusion in the national enterovirus database. </w:t>
      </w:r>
    </w:p>
    <w:p w14:paraId="7898D7A8" w14:textId="77777777" w:rsidR="0033544B" w:rsidRDefault="0033544B" w:rsidP="0033544B">
      <w:r>
        <w:t>The NERL screens clinical specimens for enterovirus using a semi-nested RT-PCR directed to highly conserved sequence in the 5’ non-translated region (NTR).</w:t>
      </w:r>
      <w:r>
        <w:rPr>
          <w:vertAlign w:val="superscript"/>
        </w:rPr>
        <w:t>17</w:t>
      </w:r>
      <w:r>
        <w:t xml:space="preserve"> Enterovirus typing is primarily performed by amplifying a fragment of the VP1 genomic region according to a published method,</w:t>
      </w:r>
      <w:r>
        <w:rPr>
          <w:vertAlign w:val="superscript"/>
        </w:rPr>
        <w:t>18</w:t>
      </w:r>
      <w:r>
        <w:t xml:space="preserve"> but the complete nucleotide sequence of VP1 is required to type some enteroviruses. The enterovirus typing RT-PCR is directed to a region of sequence divergence that allows differentiation between enterovirus genomes. As a consequence, the enterovirus sequence based typing assay is not as sensitive as the pan-enterovirus detection assay. This can result in an enterovirus being detected by pan-enterovirus RT-PCR in a clinical specimen without subsequent identification by the VP1 enterovirus typing assay. </w:t>
      </w:r>
    </w:p>
    <w:p w14:paraId="1A963CC6" w14:textId="77777777" w:rsidR="0033544B" w:rsidRPr="0033544B" w:rsidRDefault="0033544B" w:rsidP="0033544B">
      <w:pPr>
        <w:pStyle w:val="Heading2"/>
      </w:pPr>
      <w:r w:rsidRPr="0033544B">
        <w:t xml:space="preserve">Environmental surveillance </w:t>
      </w:r>
    </w:p>
    <w:p w14:paraId="10A636CC" w14:textId="77777777" w:rsidR="0033544B" w:rsidRDefault="0033544B" w:rsidP="0033544B">
      <w:r>
        <w:t>Environmental samples are processed by the NERL according to the two-phase separation procedure published by WHO.</w:t>
      </w:r>
      <w:r>
        <w:rPr>
          <w:vertAlign w:val="superscript"/>
        </w:rPr>
        <w:t>19</w:t>
      </w:r>
      <w:r>
        <w:t xml:space="preserve"> In brief, 800 ml of sewage is collected as a grab sample prior to any biological or chemical treatment and referred to the NERL within 24 hours. At the laboratory 500 ml of the sample is vigorously shaken at 4 </w:t>
      </w:r>
      <w:proofErr w:type="spellStart"/>
      <w:r>
        <w:rPr>
          <w:vertAlign w:val="superscript"/>
        </w:rPr>
        <w:t>o</w:t>
      </w:r>
      <w:r>
        <w:t>C</w:t>
      </w:r>
      <w:proofErr w:type="spellEnd"/>
      <w:r>
        <w:t xml:space="preserve"> with dextran, polyethylene glycol and sodium chloride. The mixture is incubated overnight at 4 </w:t>
      </w:r>
      <w:proofErr w:type="spellStart"/>
      <w:r>
        <w:rPr>
          <w:vertAlign w:val="superscript"/>
        </w:rPr>
        <w:t>o</w:t>
      </w:r>
      <w:r>
        <w:t>C</w:t>
      </w:r>
      <w:proofErr w:type="spellEnd"/>
      <w:r>
        <w:t xml:space="preserve"> in a separating funnel and the lower organic phase collected the next day and clarified with chloroform. The sample extract is then inoculated onto the L20B and RD-A cell lines and observed microscopically for cytopathic effect as for faecal specimens. All enterovirus isolates from cell culture are typed by nucleic acid sequencing as described in the Methods section for enterovirus surveillance. </w:t>
      </w:r>
    </w:p>
    <w:p w14:paraId="5390F2CB" w14:textId="77777777" w:rsidR="0033544B" w:rsidRPr="0033544B" w:rsidRDefault="0033544B" w:rsidP="0033544B">
      <w:pPr>
        <w:pStyle w:val="Heading1"/>
      </w:pPr>
      <w:r w:rsidRPr="0033544B">
        <w:t xml:space="preserve">Results </w:t>
      </w:r>
    </w:p>
    <w:p w14:paraId="7ABF48E8" w14:textId="77777777" w:rsidR="0033544B" w:rsidRPr="0033544B" w:rsidRDefault="0033544B" w:rsidP="0033544B">
      <w:pPr>
        <w:pStyle w:val="Heading2"/>
      </w:pPr>
      <w:r w:rsidRPr="0033544B">
        <w:t xml:space="preserve">Classification of AFP cases </w:t>
      </w:r>
    </w:p>
    <w:p w14:paraId="175CF374" w14:textId="77777777" w:rsidR="0033544B" w:rsidRDefault="0033544B" w:rsidP="0033544B">
      <w:r>
        <w:t>A total of 73 notifications of AFP cases involving children less than 15 years of age were received in 2015 (Table 1). The PEP classified 53 cases as non-polio AFP, a rate of 1.2 cases per 100,000 children less than 15 years of age, which exceeds the WHO AFP surveillance performance criterion for a polio-free country of one case of non-polio AFP per 100,000 children (Table 2, Figure 1). Seventeen cases were notified by more than one source, whether by two or more clinicians or a clinician and the PAEDS system. Three notifications were deemed to be ineligible due to the patient’s age being greater than 14 years or the clinical presentation was subsequently determined not to be AFP.</w:t>
      </w:r>
    </w:p>
    <w:p w14:paraId="63F476B1" w14:textId="77777777" w:rsidR="007F4AFF" w:rsidRDefault="007F4AFF" w:rsidP="007F4AFF">
      <w:pPr>
        <w:pStyle w:val="CDIFigures"/>
        <w:sectPr w:rsidR="007F4AFF" w:rsidSect="00303D18">
          <w:headerReference w:type="default" r:id="rId9"/>
          <w:footerReference w:type="default" r:id="rId10"/>
          <w:footerReference w:type="first" r:id="rId11"/>
          <w:footnotePr>
            <w:numFmt w:val="lowerRoman"/>
          </w:footnotePr>
          <w:type w:val="continuous"/>
          <w:pgSz w:w="11906" w:h="16838"/>
          <w:pgMar w:top="720" w:right="720" w:bottom="1134" w:left="720" w:header="709" w:footer="284" w:gutter="0"/>
          <w:cols w:space="708"/>
          <w:titlePg/>
          <w:docGrid w:linePitch="360"/>
        </w:sectPr>
      </w:pPr>
    </w:p>
    <w:p w14:paraId="347A3E11" w14:textId="77777777" w:rsidR="0033544B" w:rsidRDefault="0033544B" w:rsidP="007F4AFF">
      <w:pPr>
        <w:pStyle w:val="CDIFigures"/>
      </w:pPr>
      <w:r>
        <w:lastRenderedPageBreak/>
        <w:t>Table 1: Notification of acute flaccid paralysis cases, 2015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notification of cases of acute flaccid paralysis by state and territory in 2015."/>
      </w:tblPr>
      <w:tblGrid>
        <w:gridCol w:w="1229"/>
        <w:gridCol w:w="2111"/>
        <w:gridCol w:w="2032"/>
        <w:gridCol w:w="1879"/>
        <w:gridCol w:w="1620"/>
        <w:gridCol w:w="1634"/>
        <w:gridCol w:w="2436"/>
        <w:gridCol w:w="2043"/>
      </w:tblGrid>
      <w:tr w:rsidR="002608B2" w:rsidRPr="002608B2" w14:paraId="51CA82C2" w14:textId="77777777" w:rsidTr="0015064F">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50ABDCE1" w14:textId="77777777" w:rsidR="0033544B" w:rsidRPr="002608B2" w:rsidRDefault="0033544B">
            <w:pPr>
              <w:pStyle w:val="NormalWeb"/>
              <w:rPr>
                <w:color w:val="FFFFFF" w:themeColor="background1"/>
              </w:rPr>
            </w:pPr>
            <w:r w:rsidRPr="002608B2">
              <w:rPr>
                <w:color w:val="FFFFFF" w:themeColor="background1"/>
              </w:rPr>
              <w:t>State or territory</w:t>
            </w:r>
          </w:p>
        </w:tc>
        <w:tc>
          <w:tcPr>
            <w:tcW w:w="0" w:type="auto"/>
            <w:tcBorders>
              <w:left w:val="single" w:sz="2" w:space="0" w:color="FFFFFF" w:themeColor="background1"/>
              <w:right w:val="single" w:sz="2" w:space="0" w:color="FFFFFF" w:themeColor="background1"/>
            </w:tcBorders>
            <w:hideMark/>
          </w:tcPr>
          <w:p w14:paraId="6C45813F" w14:textId="77777777" w:rsidR="0033544B" w:rsidRPr="002608B2" w:rsidRDefault="0033544B" w:rsidP="00872178">
            <w:pPr>
              <w:pStyle w:val="NormalWeb"/>
              <w:jc w:val="center"/>
              <w:rPr>
                <w:color w:val="FFFFFF" w:themeColor="background1"/>
              </w:rPr>
            </w:pPr>
            <w:r w:rsidRPr="002608B2">
              <w:rPr>
                <w:color w:val="FFFFFF" w:themeColor="background1"/>
              </w:rPr>
              <w:t xml:space="preserve">Estimated population aged &lt;15 </w:t>
            </w:r>
            <w:proofErr w:type="spellStart"/>
            <w:r w:rsidRPr="002608B2">
              <w:rPr>
                <w:color w:val="FFFFFF" w:themeColor="background1"/>
              </w:rPr>
              <w:t>years</w:t>
            </w:r>
            <w:r w:rsidRPr="0077081E">
              <w:rPr>
                <w:color w:val="FFFFFF" w:themeColor="background1"/>
                <w:vertAlign w:val="superscript"/>
              </w:rPr>
              <w:t>a</w:t>
            </w:r>
            <w:proofErr w:type="spellEnd"/>
          </w:p>
        </w:tc>
        <w:tc>
          <w:tcPr>
            <w:tcW w:w="0" w:type="auto"/>
            <w:tcBorders>
              <w:left w:val="single" w:sz="2" w:space="0" w:color="FFFFFF" w:themeColor="background1"/>
              <w:right w:val="single" w:sz="2" w:space="0" w:color="FFFFFF" w:themeColor="background1"/>
            </w:tcBorders>
            <w:hideMark/>
          </w:tcPr>
          <w:p w14:paraId="417C421A" w14:textId="77777777" w:rsidR="0033544B" w:rsidRPr="002608B2" w:rsidRDefault="0033544B" w:rsidP="00872178">
            <w:pPr>
              <w:pStyle w:val="NormalWeb"/>
              <w:jc w:val="center"/>
              <w:rPr>
                <w:color w:val="FFFFFF" w:themeColor="background1"/>
              </w:rPr>
            </w:pPr>
            <w:r w:rsidRPr="002608B2">
              <w:rPr>
                <w:color w:val="FFFFFF" w:themeColor="background1"/>
              </w:rPr>
              <w:t>Expected number of AFP cases in 2015</w:t>
            </w:r>
          </w:p>
        </w:tc>
        <w:tc>
          <w:tcPr>
            <w:tcW w:w="0" w:type="auto"/>
            <w:tcBorders>
              <w:left w:val="single" w:sz="2" w:space="0" w:color="FFFFFF" w:themeColor="background1"/>
              <w:right w:val="single" w:sz="2" w:space="0" w:color="FFFFFF" w:themeColor="background1"/>
            </w:tcBorders>
            <w:hideMark/>
          </w:tcPr>
          <w:p w14:paraId="5700AECB" w14:textId="77777777" w:rsidR="0033544B" w:rsidRPr="002608B2" w:rsidRDefault="0033544B" w:rsidP="00872178">
            <w:pPr>
              <w:pStyle w:val="NormalWeb"/>
              <w:jc w:val="center"/>
              <w:rPr>
                <w:color w:val="FFFFFF" w:themeColor="background1"/>
              </w:rPr>
            </w:pPr>
            <w:r w:rsidRPr="002608B2">
              <w:rPr>
                <w:color w:val="FFFFFF" w:themeColor="background1"/>
              </w:rPr>
              <w:t>Total number of notifications</w:t>
            </w:r>
          </w:p>
        </w:tc>
        <w:tc>
          <w:tcPr>
            <w:tcW w:w="0" w:type="auto"/>
            <w:tcBorders>
              <w:left w:val="single" w:sz="2" w:space="0" w:color="FFFFFF" w:themeColor="background1"/>
              <w:right w:val="single" w:sz="2" w:space="0" w:color="FFFFFF" w:themeColor="background1"/>
            </w:tcBorders>
            <w:hideMark/>
          </w:tcPr>
          <w:p w14:paraId="503E894C" w14:textId="77777777" w:rsidR="0033544B" w:rsidRPr="002608B2" w:rsidRDefault="0033544B" w:rsidP="00872178">
            <w:pPr>
              <w:pStyle w:val="NormalWeb"/>
              <w:jc w:val="center"/>
              <w:rPr>
                <w:color w:val="FFFFFF" w:themeColor="background1"/>
              </w:rPr>
            </w:pPr>
            <w:r w:rsidRPr="002608B2">
              <w:rPr>
                <w:color w:val="FFFFFF" w:themeColor="background1"/>
              </w:rPr>
              <w:t>Ineligible notifications</w:t>
            </w:r>
          </w:p>
        </w:tc>
        <w:tc>
          <w:tcPr>
            <w:tcW w:w="0" w:type="auto"/>
            <w:tcBorders>
              <w:left w:val="single" w:sz="2" w:space="0" w:color="FFFFFF" w:themeColor="background1"/>
              <w:right w:val="single" w:sz="2" w:space="0" w:color="FFFFFF" w:themeColor="background1"/>
            </w:tcBorders>
            <w:hideMark/>
          </w:tcPr>
          <w:p w14:paraId="0A260380" w14:textId="77777777" w:rsidR="0033544B" w:rsidRPr="002608B2" w:rsidRDefault="0033544B" w:rsidP="00872178">
            <w:pPr>
              <w:pStyle w:val="NormalWeb"/>
              <w:jc w:val="center"/>
              <w:rPr>
                <w:color w:val="FFFFFF" w:themeColor="background1"/>
              </w:rPr>
            </w:pPr>
            <w:r w:rsidRPr="002608B2">
              <w:rPr>
                <w:color w:val="FFFFFF" w:themeColor="background1"/>
              </w:rPr>
              <w:t>Duplicate notifications</w:t>
            </w:r>
          </w:p>
        </w:tc>
        <w:tc>
          <w:tcPr>
            <w:tcW w:w="0" w:type="auto"/>
            <w:tcBorders>
              <w:left w:val="single" w:sz="2" w:space="0" w:color="FFFFFF" w:themeColor="background1"/>
              <w:right w:val="single" w:sz="2" w:space="0" w:color="FFFFFF" w:themeColor="background1"/>
            </w:tcBorders>
            <w:hideMark/>
          </w:tcPr>
          <w:p w14:paraId="6F6105A3" w14:textId="77777777" w:rsidR="0033544B" w:rsidRPr="002608B2" w:rsidRDefault="0033544B" w:rsidP="00872178">
            <w:pPr>
              <w:pStyle w:val="NormalWeb"/>
              <w:jc w:val="center"/>
              <w:rPr>
                <w:color w:val="FFFFFF" w:themeColor="background1"/>
              </w:rPr>
            </w:pPr>
            <w:r w:rsidRPr="002608B2">
              <w:rPr>
                <w:color w:val="FFFFFF" w:themeColor="background1"/>
              </w:rPr>
              <w:t>Eligible cases with final classification by PEP</w:t>
            </w:r>
          </w:p>
        </w:tc>
        <w:tc>
          <w:tcPr>
            <w:tcW w:w="0" w:type="auto"/>
            <w:tcBorders>
              <w:left w:val="single" w:sz="2" w:space="0" w:color="FFFFFF" w:themeColor="background1"/>
            </w:tcBorders>
            <w:hideMark/>
          </w:tcPr>
          <w:p w14:paraId="78222AA2" w14:textId="77777777" w:rsidR="0033544B" w:rsidRPr="002608B2" w:rsidRDefault="0033544B" w:rsidP="00872178">
            <w:pPr>
              <w:pStyle w:val="NormalWeb"/>
              <w:jc w:val="center"/>
              <w:rPr>
                <w:color w:val="FFFFFF" w:themeColor="background1"/>
              </w:rPr>
            </w:pPr>
            <w:r w:rsidRPr="002608B2">
              <w:rPr>
                <w:color w:val="FFFFFF" w:themeColor="background1"/>
              </w:rPr>
              <w:t>Non-polio AFP rate per 100,000 children</w:t>
            </w:r>
          </w:p>
        </w:tc>
      </w:tr>
      <w:tr w:rsidR="0015064F" w14:paraId="4821A148" w14:textId="77777777" w:rsidTr="0015064F">
        <w:tc>
          <w:tcPr>
            <w:tcW w:w="0" w:type="auto"/>
            <w:tcBorders>
              <w:right w:val="single" w:sz="2" w:space="0" w:color="auto"/>
            </w:tcBorders>
            <w:hideMark/>
          </w:tcPr>
          <w:p w14:paraId="61073AB2" w14:textId="77777777" w:rsidR="0033544B" w:rsidRDefault="0033544B">
            <w:pPr>
              <w:pStyle w:val="NormalWeb"/>
            </w:pPr>
            <w:r>
              <w:t>ACT</w:t>
            </w:r>
          </w:p>
        </w:tc>
        <w:tc>
          <w:tcPr>
            <w:tcW w:w="0" w:type="auto"/>
            <w:tcBorders>
              <w:left w:val="single" w:sz="2" w:space="0" w:color="auto"/>
              <w:right w:val="single" w:sz="2" w:space="0" w:color="auto"/>
            </w:tcBorders>
            <w:hideMark/>
          </w:tcPr>
          <w:p w14:paraId="6D639FEB" w14:textId="77777777" w:rsidR="0033544B" w:rsidRDefault="0033544B" w:rsidP="00872178">
            <w:pPr>
              <w:pStyle w:val="NormalWeb"/>
              <w:jc w:val="center"/>
            </w:pPr>
            <w:r>
              <w:t>72,136</w:t>
            </w:r>
          </w:p>
        </w:tc>
        <w:tc>
          <w:tcPr>
            <w:tcW w:w="0" w:type="auto"/>
            <w:tcBorders>
              <w:left w:val="single" w:sz="2" w:space="0" w:color="auto"/>
              <w:right w:val="single" w:sz="2" w:space="0" w:color="auto"/>
            </w:tcBorders>
            <w:hideMark/>
          </w:tcPr>
          <w:p w14:paraId="21FAF1BC" w14:textId="77777777" w:rsidR="0033544B" w:rsidRDefault="0033544B" w:rsidP="00872178">
            <w:pPr>
              <w:pStyle w:val="NormalWeb"/>
              <w:jc w:val="center"/>
            </w:pPr>
            <w:r>
              <w:t>1.0</w:t>
            </w:r>
          </w:p>
        </w:tc>
        <w:tc>
          <w:tcPr>
            <w:tcW w:w="0" w:type="auto"/>
            <w:tcBorders>
              <w:left w:val="single" w:sz="2" w:space="0" w:color="auto"/>
              <w:right w:val="single" w:sz="2" w:space="0" w:color="auto"/>
            </w:tcBorders>
            <w:hideMark/>
          </w:tcPr>
          <w:p w14:paraId="33187A69" w14:textId="77777777" w:rsidR="0033544B" w:rsidRDefault="0033544B" w:rsidP="00872178">
            <w:pPr>
              <w:pStyle w:val="NormalWeb"/>
              <w:jc w:val="center"/>
            </w:pPr>
            <w:r>
              <w:t>0</w:t>
            </w:r>
          </w:p>
        </w:tc>
        <w:tc>
          <w:tcPr>
            <w:tcW w:w="0" w:type="auto"/>
            <w:tcBorders>
              <w:left w:val="single" w:sz="2" w:space="0" w:color="auto"/>
              <w:right w:val="single" w:sz="2" w:space="0" w:color="auto"/>
            </w:tcBorders>
            <w:hideMark/>
          </w:tcPr>
          <w:p w14:paraId="4D1CE210" w14:textId="77777777" w:rsidR="0033544B" w:rsidRDefault="0033544B" w:rsidP="00872178">
            <w:pPr>
              <w:pStyle w:val="NormalWeb"/>
              <w:jc w:val="center"/>
            </w:pPr>
            <w:r>
              <w:t>0</w:t>
            </w:r>
          </w:p>
        </w:tc>
        <w:tc>
          <w:tcPr>
            <w:tcW w:w="0" w:type="auto"/>
            <w:tcBorders>
              <w:left w:val="single" w:sz="2" w:space="0" w:color="auto"/>
              <w:right w:val="single" w:sz="2" w:space="0" w:color="auto"/>
            </w:tcBorders>
            <w:hideMark/>
          </w:tcPr>
          <w:p w14:paraId="68196A6F" w14:textId="77777777" w:rsidR="0033544B" w:rsidRDefault="0033544B" w:rsidP="00872178">
            <w:pPr>
              <w:pStyle w:val="NormalWeb"/>
              <w:jc w:val="center"/>
            </w:pPr>
            <w:r>
              <w:t>0</w:t>
            </w:r>
          </w:p>
        </w:tc>
        <w:tc>
          <w:tcPr>
            <w:tcW w:w="0" w:type="auto"/>
            <w:tcBorders>
              <w:left w:val="single" w:sz="2" w:space="0" w:color="auto"/>
              <w:right w:val="single" w:sz="2" w:space="0" w:color="auto"/>
            </w:tcBorders>
            <w:hideMark/>
          </w:tcPr>
          <w:p w14:paraId="3215105F" w14:textId="77777777" w:rsidR="0033544B" w:rsidRDefault="0033544B" w:rsidP="00872178">
            <w:pPr>
              <w:pStyle w:val="NormalWeb"/>
              <w:jc w:val="center"/>
            </w:pPr>
            <w:r>
              <w:t>0</w:t>
            </w:r>
          </w:p>
        </w:tc>
        <w:tc>
          <w:tcPr>
            <w:tcW w:w="0" w:type="auto"/>
            <w:tcBorders>
              <w:left w:val="single" w:sz="2" w:space="0" w:color="auto"/>
            </w:tcBorders>
            <w:hideMark/>
          </w:tcPr>
          <w:p w14:paraId="6D21E380" w14:textId="77777777" w:rsidR="0033544B" w:rsidRDefault="0033544B" w:rsidP="00872178">
            <w:pPr>
              <w:pStyle w:val="NormalWeb"/>
              <w:jc w:val="center"/>
            </w:pPr>
            <w:r>
              <w:t>0.00</w:t>
            </w:r>
          </w:p>
        </w:tc>
      </w:tr>
      <w:tr w:rsidR="00064607" w14:paraId="0895B79D" w14:textId="77777777" w:rsidTr="0015064F">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hideMark/>
          </w:tcPr>
          <w:p w14:paraId="4D3523B1" w14:textId="77777777" w:rsidR="0033544B" w:rsidRDefault="0033544B">
            <w:pPr>
              <w:pStyle w:val="NormalWeb"/>
            </w:pPr>
            <w:r>
              <w:t>NSW</w:t>
            </w:r>
          </w:p>
        </w:tc>
        <w:tc>
          <w:tcPr>
            <w:tcW w:w="0" w:type="auto"/>
            <w:tcBorders>
              <w:left w:val="single" w:sz="2" w:space="0" w:color="auto"/>
              <w:right w:val="single" w:sz="2" w:space="0" w:color="auto"/>
            </w:tcBorders>
            <w:hideMark/>
          </w:tcPr>
          <w:p w14:paraId="0AA723A8" w14:textId="77777777" w:rsidR="0033544B" w:rsidRDefault="0033544B" w:rsidP="00872178">
            <w:pPr>
              <w:pStyle w:val="NormalWeb"/>
              <w:jc w:val="center"/>
            </w:pPr>
            <w:r>
              <w:t>1,408,878</w:t>
            </w:r>
          </w:p>
        </w:tc>
        <w:tc>
          <w:tcPr>
            <w:tcW w:w="0" w:type="auto"/>
            <w:tcBorders>
              <w:left w:val="single" w:sz="2" w:space="0" w:color="auto"/>
              <w:right w:val="single" w:sz="2" w:space="0" w:color="auto"/>
            </w:tcBorders>
            <w:hideMark/>
          </w:tcPr>
          <w:p w14:paraId="490F9C27" w14:textId="77777777" w:rsidR="0033544B" w:rsidRDefault="0033544B" w:rsidP="00872178">
            <w:pPr>
              <w:pStyle w:val="NormalWeb"/>
              <w:jc w:val="center"/>
            </w:pPr>
            <w:r>
              <w:t>14.0</w:t>
            </w:r>
          </w:p>
        </w:tc>
        <w:tc>
          <w:tcPr>
            <w:tcW w:w="0" w:type="auto"/>
            <w:tcBorders>
              <w:left w:val="single" w:sz="2" w:space="0" w:color="auto"/>
              <w:right w:val="single" w:sz="2" w:space="0" w:color="auto"/>
            </w:tcBorders>
            <w:hideMark/>
          </w:tcPr>
          <w:p w14:paraId="76E65FE1" w14:textId="77777777" w:rsidR="0033544B" w:rsidRDefault="0033544B" w:rsidP="00872178">
            <w:pPr>
              <w:pStyle w:val="NormalWeb"/>
              <w:jc w:val="center"/>
            </w:pPr>
            <w:r>
              <w:t>15</w:t>
            </w:r>
          </w:p>
        </w:tc>
        <w:tc>
          <w:tcPr>
            <w:tcW w:w="0" w:type="auto"/>
            <w:tcBorders>
              <w:left w:val="single" w:sz="2" w:space="0" w:color="auto"/>
              <w:right w:val="single" w:sz="2" w:space="0" w:color="auto"/>
            </w:tcBorders>
            <w:hideMark/>
          </w:tcPr>
          <w:p w14:paraId="7EF92129" w14:textId="77777777" w:rsidR="0033544B" w:rsidRDefault="0033544B" w:rsidP="00872178">
            <w:pPr>
              <w:pStyle w:val="NormalWeb"/>
              <w:jc w:val="center"/>
            </w:pPr>
            <w:r>
              <w:t>2</w:t>
            </w:r>
          </w:p>
        </w:tc>
        <w:tc>
          <w:tcPr>
            <w:tcW w:w="0" w:type="auto"/>
            <w:tcBorders>
              <w:left w:val="single" w:sz="2" w:space="0" w:color="auto"/>
              <w:right w:val="single" w:sz="2" w:space="0" w:color="auto"/>
            </w:tcBorders>
            <w:hideMark/>
          </w:tcPr>
          <w:p w14:paraId="367A2DC9" w14:textId="77777777" w:rsidR="0033544B" w:rsidRDefault="0033544B" w:rsidP="00872178">
            <w:pPr>
              <w:pStyle w:val="NormalWeb"/>
              <w:jc w:val="center"/>
            </w:pPr>
            <w:r>
              <w:t>3</w:t>
            </w:r>
          </w:p>
        </w:tc>
        <w:tc>
          <w:tcPr>
            <w:tcW w:w="0" w:type="auto"/>
            <w:tcBorders>
              <w:left w:val="single" w:sz="2" w:space="0" w:color="auto"/>
              <w:right w:val="single" w:sz="2" w:space="0" w:color="auto"/>
            </w:tcBorders>
            <w:hideMark/>
          </w:tcPr>
          <w:p w14:paraId="083B56A8" w14:textId="77777777" w:rsidR="0033544B" w:rsidRDefault="0033544B" w:rsidP="00872178">
            <w:pPr>
              <w:pStyle w:val="NormalWeb"/>
              <w:jc w:val="center"/>
            </w:pPr>
            <w:r>
              <w:t>10</w:t>
            </w:r>
          </w:p>
        </w:tc>
        <w:tc>
          <w:tcPr>
            <w:tcW w:w="0" w:type="auto"/>
            <w:tcBorders>
              <w:left w:val="single" w:sz="2" w:space="0" w:color="auto"/>
            </w:tcBorders>
            <w:hideMark/>
          </w:tcPr>
          <w:p w14:paraId="67782E51" w14:textId="77777777" w:rsidR="0033544B" w:rsidRDefault="0033544B" w:rsidP="00872178">
            <w:pPr>
              <w:pStyle w:val="NormalWeb"/>
              <w:jc w:val="center"/>
            </w:pPr>
            <w:r>
              <w:t>0.71</w:t>
            </w:r>
          </w:p>
        </w:tc>
      </w:tr>
      <w:tr w:rsidR="0015064F" w14:paraId="2774509C" w14:textId="77777777" w:rsidTr="0015064F">
        <w:tc>
          <w:tcPr>
            <w:tcW w:w="0" w:type="auto"/>
            <w:tcBorders>
              <w:right w:val="single" w:sz="2" w:space="0" w:color="auto"/>
            </w:tcBorders>
            <w:hideMark/>
          </w:tcPr>
          <w:p w14:paraId="72B1C1DF" w14:textId="77777777" w:rsidR="0033544B" w:rsidRDefault="0033544B">
            <w:pPr>
              <w:pStyle w:val="NormalWeb"/>
            </w:pPr>
            <w:r>
              <w:t>NT</w:t>
            </w:r>
          </w:p>
        </w:tc>
        <w:tc>
          <w:tcPr>
            <w:tcW w:w="0" w:type="auto"/>
            <w:tcBorders>
              <w:left w:val="single" w:sz="2" w:space="0" w:color="auto"/>
              <w:right w:val="single" w:sz="2" w:space="0" w:color="auto"/>
            </w:tcBorders>
            <w:hideMark/>
          </w:tcPr>
          <w:p w14:paraId="28677EED" w14:textId="77777777" w:rsidR="0033544B" w:rsidRDefault="0033544B" w:rsidP="00872178">
            <w:pPr>
              <w:pStyle w:val="NormalWeb"/>
              <w:jc w:val="center"/>
            </w:pPr>
            <w:r>
              <w:t>54,047</w:t>
            </w:r>
          </w:p>
        </w:tc>
        <w:tc>
          <w:tcPr>
            <w:tcW w:w="0" w:type="auto"/>
            <w:tcBorders>
              <w:left w:val="single" w:sz="2" w:space="0" w:color="auto"/>
              <w:right w:val="single" w:sz="2" w:space="0" w:color="auto"/>
            </w:tcBorders>
            <w:hideMark/>
          </w:tcPr>
          <w:p w14:paraId="257D07C4" w14:textId="77777777" w:rsidR="0033544B" w:rsidRDefault="0033544B" w:rsidP="00872178">
            <w:pPr>
              <w:pStyle w:val="NormalWeb"/>
              <w:jc w:val="center"/>
            </w:pPr>
            <w:r>
              <w:t>0.5</w:t>
            </w:r>
          </w:p>
        </w:tc>
        <w:tc>
          <w:tcPr>
            <w:tcW w:w="0" w:type="auto"/>
            <w:tcBorders>
              <w:left w:val="single" w:sz="2" w:space="0" w:color="auto"/>
              <w:right w:val="single" w:sz="2" w:space="0" w:color="auto"/>
            </w:tcBorders>
            <w:hideMark/>
          </w:tcPr>
          <w:p w14:paraId="489FB07C" w14:textId="77777777" w:rsidR="0033544B" w:rsidRDefault="0033544B" w:rsidP="00872178">
            <w:pPr>
              <w:pStyle w:val="NormalWeb"/>
              <w:jc w:val="center"/>
            </w:pPr>
            <w:r>
              <w:t>1</w:t>
            </w:r>
          </w:p>
        </w:tc>
        <w:tc>
          <w:tcPr>
            <w:tcW w:w="0" w:type="auto"/>
            <w:tcBorders>
              <w:left w:val="single" w:sz="2" w:space="0" w:color="auto"/>
              <w:right w:val="single" w:sz="2" w:space="0" w:color="auto"/>
            </w:tcBorders>
            <w:hideMark/>
          </w:tcPr>
          <w:p w14:paraId="31426D6C" w14:textId="77777777" w:rsidR="0033544B" w:rsidRDefault="0033544B" w:rsidP="00872178">
            <w:pPr>
              <w:pStyle w:val="NormalWeb"/>
              <w:jc w:val="center"/>
            </w:pPr>
            <w:r>
              <w:t>0</w:t>
            </w:r>
          </w:p>
        </w:tc>
        <w:tc>
          <w:tcPr>
            <w:tcW w:w="0" w:type="auto"/>
            <w:tcBorders>
              <w:left w:val="single" w:sz="2" w:space="0" w:color="auto"/>
              <w:right w:val="single" w:sz="2" w:space="0" w:color="auto"/>
            </w:tcBorders>
            <w:hideMark/>
          </w:tcPr>
          <w:p w14:paraId="5C6CA30C" w14:textId="77777777" w:rsidR="0033544B" w:rsidRDefault="0033544B" w:rsidP="00872178">
            <w:pPr>
              <w:pStyle w:val="NormalWeb"/>
              <w:jc w:val="center"/>
            </w:pPr>
            <w:r>
              <w:t>0</w:t>
            </w:r>
          </w:p>
        </w:tc>
        <w:tc>
          <w:tcPr>
            <w:tcW w:w="0" w:type="auto"/>
            <w:tcBorders>
              <w:left w:val="single" w:sz="2" w:space="0" w:color="auto"/>
              <w:right w:val="single" w:sz="2" w:space="0" w:color="auto"/>
            </w:tcBorders>
            <w:hideMark/>
          </w:tcPr>
          <w:p w14:paraId="4EB7E2E4" w14:textId="77777777" w:rsidR="0033544B" w:rsidRDefault="0033544B" w:rsidP="00872178">
            <w:pPr>
              <w:pStyle w:val="NormalWeb"/>
              <w:jc w:val="center"/>
            </w:pPr>
            <w:r>
              <w:t>1</w:t>
            </w:r>
          </w:p>
        </w:tc>
        <w:tc>
          <w:tcPr>
            <w:tcW w:w="0" w:type="auto"/>
            <w:tcBorders>
              <w:left w:val="single" w:sz="2" w:space="0" w:color="auto"/>
            </w:tcBorders>
            <w:hideMark/>
          </w:tcPr>
          <w:p w14:paraId="7F88355E" w14:textId="77777777" w:rsidR="0033544B" w:rsidRDefault="0033544B" w:rsidP="00872178">
            <w:pPr>
              <w:pStyle w:val="NormalWeb"/>
              <w:jc w:val="center"/>
            </w:pPr>
            <w:r>
              <w:t>2.00</w:t>
            </w:r>
          </w:p>
        </w:tc>
      </w:tr>
      <w:tr w:rsidR="00064607" w14:paraId="5E811D5E" w14:textId="77777777" w:rsidTr="0015064F">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hideMark/>
          </w:tcPr>
          <w:p w14:paraId="34453515" w14:textId="77777777" w:rsidR="0033544B" w:rsidRDefault="0033544B">
            <w:pPr>
              <w:pStyle w:val="NormalWeb"/>
            </w:pPr>
            <w:r>
              <w:t>Qld</w:t>
            </w:r>
          </w:p>
        </w:tc>
        <w:tc>
          <w:tcPr>
            <w:tcW w:w="0" w:type="auto"/>
            <w:tcBorders>
              <w:left w:val="single" w:sz="2" w:space="0" w:color="auto"/>
              <w:right w:val="single" w:sz="2" w:space="0" w:color="auto"/>
            </w:tcBorders>
            <w:hideMark/>
          </w:tcPr>
          <w:p w14:paraId="5E123A3F" w14:textId="77777777" w:rsidR="0033544B" w:rsidRDefault="0033544B" w:rsidP="00872178">
            <w:pPr>
              <w:pStyle w:val="NormalWeb"/>
              <w:jc w:val="center"/>
            </w:pPr>
            <w:r>
              <w:t>934,862</w:t>
            </w:r>
          </w:p>
        </w:tc>
        <w:tc>
          <w:tcPr>
            <w:tcW w:w="0" w:type="auto"/>
            <w:tcBorders>
              <w:left w:val="single" w:sz="2" w:space="0" w:color="auto"/>
              <w:right w:val="single" w:sz="2" w:space="0" w:color="auto"/>
            </w:tcBorders>
            <w:hideMark/>
          </w:tcPr>
          <w:p w14:paraId="7C5177FF" w14:textId="77777777" w:rsidR="0033544B" w:rsidRDefault="0033544B" w:rsidP="00872178">
            <w:pPr>
              <w:pStyle w:val="NormalWeb"/>
              <w:jc w:val="center"/>
            </w:pPr>
            <w:r>
              <w:t>9.0</w:t>
            </w:r>
          </w:p>
        </w:tc>
        <w:tc>
          <w:tcPr>
            <w:tcW w:w="0" w:type="auto"/>
            <w:tcBorders>
              <w:left w:val="single" w:sz="2" w:space="0" w:color="auto"/>
              <w:right w:val="single" w:sz="2" w:space="0" w:color="auto"/>
            </w:tcBorders>
            <w:hideMark/>
          </w:tcPr>
          <w:p w14:paraId="5C756E2B" w14:textId="77777777" w:rsidR="0033544B" w:rsidRDefault="0033544B" w:rsidP="00872178">
            <w:pPr>
              <w:pStyle w:val="NormalWeb"/>
              <w:jc w:val="center"/>
            </w:pPr>
            <w:r>
              <w:t>19</w:t>
            </w:r>
          </w:p>
        </w:tc>
        <w:tc>
          <w:tcPr>
            <w:tcW w:w="0" w:type="auto"/>
            <w:tcBorders>
              <w:left w:val="single" w:sz="2" w:space="0" w:color="auto"/>
              <w:right w:val="single" w:sz="2" w:space="0" w:color="auto"/>
            </w:tcBorders>
            <w:hideMark/>
          </w:tcPr>
          <w:p w14:paraId="20103D44" w14:textId="77777777" w:rsidR="0033544B" w:rsidRDefault="0033544B" w:rsidP="00872178">
            <w:pPr>
              <w:pStyle w:val="NormalWeb"/>
              <w:jc w:val="center"/>
            </w:pPr>
            <w:r>
              <w:t>0</w:t>
            </w:r>
          </w:p>
        </w:tc>
        <w:tc>
          <w:tcPr>
            <w:tcW w:w="0" w:type="auto"/>
            <w:tcBorders>
              <w:left w:val="single" w:sz="2" w:space="0" w:color="auto"/>
              <w:right w:val="single" w:sz="2" w:space="0" w:color="auto"/>
            </w:tcBorders>
            <w:hideMark/>
          </w:tcPr>
          <w:p w14:paraId="2A0B24C8" w14:textId="77777777" w:rsidR="0033544B" w:rsidRDefault="0033544B" w:rsidP="00872178">
            <w:pPr>
              <w:pStyle w:val="NormalWeb"/>
              <w:jc w:val="center"/>
            </w:pPr>
            <w:r>
              <w:t>4</w:t>
            </w:r>
          </w:p>
        </w:tc>
        <w:tc>
          <w:tcPr>
            <w:tcW w:w="0" w:type="auto"/>
            <w:tcBorders>
              <w:left w:val="single" w:sz="2" w:space="0" w:color="auto"/>
              <w:right w:val="single" w:sz="2" w:space="0" w:color="auto"/>
            </w:tcBorders>
            <w:hideMark/>
          </w:tcPr>
          <w:p w14:paraId="088EE6A6" w14:textId="77777777" w:rsidR="0033544B" w:rsidRDefault="0033544B" w:rsidP="00872178">
            <w:pPr>
              <w:pStyle w:val="NormalWeb"/>
              <w:jc w:val="center"/>
            </w:pPr>
            <w:r>
              <w:t>15</w:t>
            </w:r>
          </w:p>
        </w:tc>
        <w:tc>
          <w:tcPr>
            <w:tcW w:w="0" w:type="auto"/>
            <w:tcBorders>
              <w:left w:val="single" w:sz="2" w:space="0" w:color="auto"/>
            </w:tcBorders>
            <w:hideMark/>
          </w:tcPr>
          <w:p w14:paraId="6D33278C" w14:textId="77777777" w:rsidR="0033544B" w:rsidRDefault="0033544B" w:rsidP="00872178">
            <w:pPr>
              <w:pStyle w:val="NormalWeb"/>
              <w:jc w:val="center"/>
            </w:pPr>
            <w:r>
              <w:t>1.67</w:t>
            </w:r>
          </w:p>
        </w:tc>
      </w:tr>
      <w:tr w:rsidR="0015064F" w14:paraId="193BA924" w14:textId="77777777" w:rsidTr="0015064F">
        <w:tc>
          <w:tcPr>
            <w:tcW w:w="0" w:type="auto"/>
            <w:tcBorders>
              <w:right w:val="single" w:sz="2" w:space="0" w:color="auto"/>
            </w:tcBorders>
            <w:hideMark/>
          </w:tcPr>
          <w:p w14:paraId="1A509490" w14:textId="77777777" w:rsidR="0033544B" w:rsidRDefault="0033544B">
            <w:pPr>
              <w:pStyle w:val="NormalWeb"/>
            </w:pPr>
            <w:r>
              <w:t>SA</w:t>
            </w:r>
          </w:p>
        </w:tc>
        <w:tc>
          <w:tcPr>
            <w:tcW w:w="0" w:type="auto"/>
            <w:tcBorders>
              <w:left w:val="single" w:sz="2" w:space="0" w:color="auto"/>
              <w:right w:val="single" w:sz="2" w:space="0" w:color="auto"/>
            </w:tcBorders>
            <w:hideMark/>
          </w:tcPr>
          <w:p w14:paraId="206023FE" w14:textId="77777777" w:rsidR="0033544B" w:rsidRDefault="0033544B" w:rsidP="00872178">
            <w:pPr>
              <w:pStyle w:val="NormalWeb"/>
              <w:jc w:val="center"/>
            </w:pPr>
            <w:r>
              <w:t>297,318</w:t>
            </w:r>
          </w:p>
        </w:tc>
        <w:tc>
          <w:tcPr>
            <w:tcW w:w="0" w:type="auto"/>
            <w:tcBorders>
              <w:left w:val="single" w:sz="2" w:space="0" w:color="auto"/>
              <w:right w:val="single" w:sz="2" w:space="0" w:color="auto"/>
            </w:tcBorders>
            <w:hideMark/>
          </w:tcPr>
          <w:p w14:paraId="23518C49" w14:textId="77777777" w:rsidR="0033544B" w:rsidRDefault="0033544B" w:rsidP="00872178">
            <w:pPr>
              <w:pStyle w:val="NormalWeb"/>
              <w:jc w:val="center"/>
            </w:pPr>
            <w:r>
              <w:t>3.0</w:t>
            </w:r>
          </w:p>
        </w:tc>
        <w:tc>
          <w:tcPr>
            <w:tcW w:w="0" w:type="auto"/>
            <w:tcBorders>
              <w:left w:val="single" w:sz="2" w:space="0" w:color="auto"/>
              <w:right w:val="single" w:sz="2" w:space="0" w:color="auto"/>
            </w:tcBorders>
            <w:hideMark/>
          </w:tcPr>
          <w:p w14:paraId="0A7F8B2A" w14:textId="77777777" w:rsidR="0033544B" w:rsidRDefault="0033544B" w:rsidP="00872178">
            <w:pPr>
              <w:pStyle w:val="NormalWeb"/>
              <w:jc w:val="center"/>
            </w:pPr>
            <w:r>
              <w:t>7</w:t>
            </w:r>
          </w:p>
        </w:tc>
        <w:tc>
          <w:tcPr>
            <w:tcW w:w="0" w:type="auto"/>
            <w:tcBorders>
              <w:left w:val="single" w:sz="2" w:space="0" w:color="auto"/>
              <w:right w:val="single" w:sz="2" w:space="0" w:color="auto"/>
            </w:tcBorders>
            <w:hideMark/>
          </w:tcPr>
          <w:p w14:paraId="5A0A780A" w14:textId="77777777" w:rsidR="0033544B" w:rsidRDefault="0033544B" w:rsidP="00872178">
            <w:pPr>
              <w:pStyle w:val="NormalWeb"/>
              <w:jc w:val="center"/>
            </w:pPr>
            <w:r>
              <w:t>0</w:t>
            </w:r>
          </w:p>
        </w:tc>
        <w:tc>
          <w:tcPr>
            <w:tcW w:w="0" w:type="auto"/>
            <w:tcBorders>
              <w:left w:val="single" w:sz="2" w:space="0" w:color="auto"/>
              <w:right w:val="single" w:sz="2" w:space="0" w:color="auto"/>
            </w:tcBorders>
            <w:hideMark/>
          </w:tcPr>
          <w:p w14:paraId="5EABF0CC" w14:textId="77777777" w:rsidR="0033544B" w:rsidRDefault="0033544B" w:rsidP="00872178">
            <w:pPr>
              <w:pStyle w:val="NormalWeb"/>
              <w:jc w:val="center"/>
            </w:pPr>
            <w:r>
              <w:t>2</w:t>
            </w:r>
          </w:p>
        </w:tc>
        <w:tc>
          <w:tcPr>
            <w:tcW w:w="0" w:type="auto"/>
            <w:tcBorders>
              <w:left w:val="single" w:sz="2" w:space="0" w:color="auto"/>
              <w:right w:val="single" w:sz="2" w:space="0" w:color="auto"/>
            </w:tcBorders>
            <w:hideMark/>
          </w:tcPr>
          <w:p w14:paraId="0541A1CC" w14:textId="77777777" w:rsidR="0033544B" w:rsidRDefault="0033544B" w:rsidP="00872178">
            <w:pPr>
              <w:pStyle w:val="NormalWeb"/>
              <w:jc w:val="center"/>
            </w:pPr>
            <w:r>
              <w:t>5</w:t>
            </w:r>
          </w:p>
        </w:tc>
        <w:tc>
          <w:tcPr>
            <w:tcW w:w="0" w:type="auto"/>
            <w:tcBorders>
              <w:left w:val="single" w:sz="2" w:space="0" w:color="auto"/>
            </w:tcBorders>
            <w:hideMark/>
          </w:tcPr>
          <w:p w14:paraId="41E8C0DD" w14:textId="77777777" w:rsidR="0033544B" w:rsidRDefault="0033544B" w:rsidP="00872178">
            <w:pPr>
              <w:pStyle w:val="NormalWeb"/>
              <w:jc w:val="center"/>
            </w:pPr>
            <w:r>
              <w:t>1.67</w:t>
            </w:r>
          </w:p>
        </w:tc>
      </w:tr>
      <w:tr w:rsidR="00064607" w14:paraId="13427D39" w14:textId="77777777" w:rsidTr="0015064F">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hideMark/>
          </w:tcPr>
          <w:p w14:paraId="20D48F2A" w14:textId="77777777" w:rsidR="0033544B" w:rsidRDefault="0033544B">
            <w:pPr>
              <w:pStyle w:val="NormalWeb"/>
            </w:pPr>
            <w:r>
              <w:t>Tas</w:t>
            </w:r>
          </w:p>
        </w:tc>
        <w:tc>
          <w:tcPr>
            <w:tcW w:w="0" w:type="auto"/>
            <w:tcBorders>
              <w:left w:val="single" w:sz="2" w:space="0" w:color="auto"/>
              <w:right w:val="single" w:sz="2" w:space="0" w:color="auto"/>
            </w:tcBorders>
            <w:hideMark/>
          </w:tcPr>
          <w:p w14:paraId="158503DE" w14:textId="77777777" w:rsidR="0033544B" w:rsidRDefault="0033544B" w:rsidP="00872178">
            <w:pPr>
              <w:pStyle w:val="NormalWeb"/>
              <w:jc w:val="center"/>
            </w:pPr>
            <w:r>
              <w:t>94,607</w:t>
            </w:r>
          </w:p>
        </w:tc>
        <w:tc>
          <w:tcPr>
            <w:tcW w:w="0" w:type="auto"/>
            <w:tcBorders>
              <w:left w:val="single" w:sz="2" w:space="0" w:color="auto"/>
              <w:right w:val="single" w:sz="2" w:space="0" w:color="auto"/>
            </w:tcBorders>
            <w:hideMark/>
          </w:tcPr>
          <w:p w14:paraId="2AF22BAC" w14:textId="77777777" w:rsidR="0033544B" w:rsidRDefault="0033544B" w:rsidP="00872178">
            <w:pPr>
              <w:pStyle w:val="NormalWeb"/>
              <w:jc w:val="center"/>
            </w:pPr>
            <w:r>
              <w:t>1.0</w:t>
            </w:r>
          </w:p>
        </w:tc>
        <w:tc>
          <w:tcPr>
            <w:tcW w:w="0" w:type="auto"/>
            <w:tcBorders>
              <w:left w:val="single" w:sz="2" w:space="0" w:color="auto"/>
              <w:right w:val="single" w:sz="2" w:space="0" w:color="auto"/>
            </w:tcBorders>
            <w:hideMark/>
          </w:tcPr>
          <w:p w14:paraId="27823F07" w14:textId="77777777" w:rsidR="0033544B" w:rsidRDefault="0033544B" w:rsidP="00872178">
            <w:pPr>
              <w:pStyle w:val="NormalWeb"/>
              <w:jc w:val="center"/>
            </w:pPr>
            <w:r>
              <w:t>3</w:t>
            </w:r>
          </w:p>
        </w:tc>
        <w:tc>
          <w:tcPr>
            <w:tcW w:w="0" w:type="auto"/>
            <w:tcBorders>
              <w:left w:val="single" w:sz="2" w:space="0" w:color="auto"/>
              <w:right w:val="single" w:sz="2" w:space="0" w:color="auto"/>
            </w:tcBorders>
            <w:hideMark/>
          </w:tcPr>
          <w:p w14:paraId="4AB8A557" w14:textId="77777777" w:rsidR="0033544B" w:rsidRDefault="0033544B" w:rsidP="00872178">
            <w:pPr>
              <w:pStyle w:val="NormalWeb"/>
              <w:jc w:val="center"/>
            </w:pPr>
            <w:r>
              <w:t>0</w:t>
            </w:r>
          </w:p>
        </w:tc>
        <w:tc>
          <w:tcPr>
            <w:tcW w:w="0" w:type="auto"/>
            <w:tcBorders>
              <w:left w:val="single" w:sz="2" w:space="0" w:color="auto"/>
              <w:right w:val="single" w:sz="2" w:space="0" w:color="auto"/>
            </w:tcBorders>
            <w:hideMark/>
          </w:tcPr>
          <w:p w14:paraId="28ABE47B" w14:textId="77777777" w:rsidR="0033544B" w:rsidRDefault="0033544B" w:rsidP="00872178">
            <w:pPr>
              <w:pStyle w:val="NormalWeb"/>
              <w:jc w:val="center"/>
            </w:pPr>
            <w:r>
              <w:t>0</w:t>
            </w:r>
          </w:p>
        </w:tc>
        <w:tc>
          <w:tcPr>
            <w:tcW w:w="0" w:type="auto"/>
            <w:tcBorders>
              <w:left w:val="single" w:sz="2" w:space="0" w:color="auto"/>
              <w:right w:val="single" w:sz="2" w:space="0" w:color="auto"/>
            </w:tcBorders>
            <w:hideMark/>
          </w:tcPr>
          <w:p w14:paraId="65690F69" w14:textId="77777777" w:rsidR="0033544B" w:rsidRDefault="0033544B" w:rsidP="00872178">
            <w:pPr>
              <w:pStyle w:val="NormalWeb"/>
              <w:jc w:val="center"/>
            </w:pPr>
            <w:r>
              <w:t>3</w:t>
            </w:r>
          </w:p>
        </w:tc>
        <w:tc>
          <w:tcPr>
            <w:tcW w:w="0" w:type="auto"/>
            <w:tcBorders>
              <w:left w:val="single" w:sz="2" w:space="0" w:color="auto"/>
            </w:tcBorders>
            <w:hideMark/>
          </w:tcPr>
          <w:p w14:paraId="0A8108FD" w14:textId="77777777" w:rsidR="0033544B" w:rsidRDefault="0033544B" w:rsidP="00872178">
            <w:pPr>
              <w:pStyle w:val="NormalWeb"/>
              <w:jc w:val="center"/>
            </w:pPr>
            <w:r>
              <w:t>3.00</w:t>
            </w:r>
          </w:p>
        </w:tc>
      </w:tr>
      <w:tr w:rsidR="0015064F" w14:paraId="24037E67" w14:textId="77777777" w:rsidTr="0015064F">
        <w:tc>
          <w:tcPr>
            <w:tcW w:w="0" w:type="auto"/>
            <w:tcBorders>
              <w:right w:val="single" w:sz="2" w:space="0" w:color="auto"/>
            </w:tcBorders>
            <w:hideMark/>
          </w:tcPr>
          <w:p w14:paraId="78CAA6BB" w14:textId="77777777" w:rsidR="0033544B" w:rsidRDefault="0033544B">
            <w:pPr>
              <w:pStyle w:val="NormalWeb"/>
            </w:pPr>
            <w:r>
              <w:t>Vic</w:t>
            </w:r>
          </w:p>
        </w:tc>
        <w:tc>
          <w:tcPr>
            <w:tcW w:w="0" w:type="auto"/>
            <w:tcBorders>
              <w:left w:val="single" w:sz="2" w:space="0" w:color="auto"/>
              <w:right w:val="single" w:sz="2" w:space="0" w:color="auto"/>
            </w:tcBorders>
            <w:hideMark/>
          </w:tcPr>
          <w:p w14:paraId="116B4886" w14:textId="77777777" w:rsidR="0033544B" w:rsidRDefault="0033544B" w:rsidP="00872178">
            <w:pPr>
              <w:pStyle w:val="NormalWeb"/>
              <w:jc w:val="center"/>
            </w:pPr>
            <w:r>
              <w:t>1,069,274</w:t>
            </w:r>
          </w:p>
        </w:tc>
        <w:tc>
          <w:tcPr>
            <w:tcW w:w="0" w:type="auto"/>
            <w:tcBorders>
              <w:left w:val="single" w:sz="2" w:space="0" w:color="auto"/>
              <w:right w:val="single" w:sz="2" w:space="0" w:color="auto"/>
            </w:tcBorders>
            <w:hideMark/>
          </w:tcPr>
          <w:p w14:paraId="5BCA086E" w14:textId="77777777" w:rsidR="0033544B" w:rsidRDefault="0033544B" w:rsidP="00872178">
            <w:pPr>
              <w:pStyle w:val="NormalWeb"/>
              <w:jc w:val="center"/>
            </w:pPr>
            <w:r>
              <w:t>10.5</w:t>
            </w:r>
          </w:p>
        </w:tc>
        <w:tc>
          <w:tcPr>
            <w:tcW w:w="0" w:type="auto"/>
            <w:tcBorders>
              <w:left w:val="single" w:sz="2" w:space="0" w:color="auto"/>
              <w:right w:val="single" w:sz="2" w:space="0" w:color="auto"/>
            </w:tcBorders>
            <w:hideMark/>
          </w:tcPr>
          <w:p w14:paraId="70B2564D" w14:textId="77777777" w:rsidR="0033544B" w:rsidRDefault="0033544B" w:rsidP="00872178">
            <w:pPr>
              <w:pStyle w:val="NormalWeb"/>
              <w:jc w:val="center"/>
            </w:pPr>
            <w:r>
              <w:t>19</w:t>
            </w:r>
          </w:p>
        </w:tc>
        <w:tc>
          <w:tcPr>
            <w:tcW w:w="0" w:type="auto"/>
            <w:tcBorders>
              <w:left w:val="single" w:sz="2" w:space="0" w:color="auto"/>
              <w:right w:val="single" w:sz="2" w:space="0" w:color="auto"/>
            </w:tcBorders>
            <w:hideMark/>
          </w:tcPr>
          <w:p w14:paraId="04A5A8DC" w14:textId="77777777" w:rsidR="0033544B" w:rsidRDefault="0033544B" w:rsidP="00872178">
            <w:pPr>
              <w:pStyle w:val="NormalWeb"/>
              <w:jc w:val="center"/>
            </w:pPr>
            <w:r>
              <w:t>1</w:t>
            </w:r>
          </w:p>
        </w:tc>
        <w:tc>
          <w:tcPr>
            <w:tcW w:w="0" w:type="auto"/>
            <w:tcBorders>
              <w:left w:val="single" w:sz="2" w:space="0" w:color="auto"/>
              <w:right w:val="single" w:sz="2" w:space="0" w:color="auto"/>
            </w:tcBorders>
            <w:hideMark/>
          </w:tcPr>
          <w:p w14:paraId="624BAE27" w14:textId="77777777" w:rsidR="0033544B" w:rsidRDefault="0033544B" w:rsidP="00872178">
            <w:pPr>
              <w:pStyle w:val="NormalWeb"/>
              <w:jc w:val="center"/>
            </w:pPr>
            <w:r>
              <w:t>7</w:t>
            </w:r>
          </w:p>
        </w:tc>
        <w:tc>
          <w:tcPr>
            <w:tcW w:w="0" w:type="auto"/>
            <w:tcBorders>
              <w:left w:val="single" w:sz="2" w:space="0" w:color="auto"/>
              <w:right w:val="single" w:sz="2" w:space="0" w:color="auto"/>
            </w:tcBorders>
            <w:hideMark/>
          </w:tcPr>
          <w:p w14:paraId="0C64EAC8" w14:textId="77777777" w:rsidR="0033544B" w:rsidRDefault="0033544B" w:rsidP="00872178">
            <w:pPr>
              <w:pStyle w:val="NormalWeb"/>
              <w:jc w:val="center"/>
            </w:pPr>
            <w:r>
              <w:t>11</w:t>
            </w:r>
          </w:p>
        </w:tc>
        <w:tc>
          <w:tcPr>
            <w:tcW w:w="0" w:type="auto"/>
            <w:tcBorders>
              <w:left w:val="single" w:sz="2" w:space="0" w:color="auto"/>
            </w:tcBorders>
            <w:hideMark/>
          </w:tcPr>
          <w:p w14:paraId="168FC19E" w14:textId="77777777" w:rsidR="0033544B" w:rsidRDefault="0033544B" w:rsidP="00872178">
            <w:pPr>
              <w:pStyle w:val="NormalWeb"/>
              <w:jc w:val="center"/>
            </w:pPr>
            <w:r>
              <w:t>1.05</w:t>
            </w:r>
          </w:p>
        </w:tc>
      </w:tr>
      <w:tr w:rsidR="00064607" w14:paraId="4A98A549" w14:textId="77777777" w:rsidTr="0015064F">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hideMark/>
          </w:tcPr>
          <w:p w14:paraId="3514EB24" w14:textId="77777777" w:rsidR="0033544B" w:rsidRDefault="0033544B">
            <w:pPr>
              <w:pStyle w:val="NormalWeb"/>
            </w:pPr>
            <w:r>
              <w:t>WA</w:t>
            </w:r>
          </w:p>
        </w:tc>
        <w:tc>
          <w:tcPr>
            <w:tcW w:w="0" w:type="auto"/>
            <w:tcBorders>
              <w:left w:val="single" w:sz="2" w:space="0" w:color="auto"/>
              <w:right w:val="single" w:sz="2" w:space="0" w:color="auto"/>
            </w:tcBorders>
            <w:hideMark/>
          </w:tcPr>
          <w:p w14:paraId="7E8DA6FB" w14:textId="77777777" w:rsidR="0033544B" w:rsidRDefault="0033544B" w:rsidP="00872178">
            <w:pPr>
              <w:pStyle w:val="NormalWeb"/>
              <w:jc w:val="center"/>
            </w:pPr>
            <w:r>
              <w:t>491,262</w:t>
            </w:r>
          </w:p>
        </w:tc>
        <w:tc>
          <w:tcPr>
            <w:tcW w:w="0" w:type="auto"/>
            <w:tcBorders>
              <w:left w:val="single" w:sz="2" w:space="0" w:color="auto"/>
              <w:right w:val="single" w:sz="2" w:space="0" w:color="auto"/>
            </w:tcBorders>
            <w:hideMark/>
          </w:tcPr>
          <w:p w14:paraId="1B4BE266" w14:textId="77777777" w:rsidR="0033544B" w:rsidRDefault="0033544B" w:rsidP="00872178">
            <w:pPr>
              <w:pStyle w:val="NormalWeb"/>
              <w:jc w:val="center"/>
            </w:pPr>
            <w:r>
              <w:t>5.0</w:t>
            </w:r>
          </w:p>
        </w:tc>
        <w:tc>
          <w:tcPr>
            <w:tcW w:w="0" w:type="auto"/>
            <w:tcBorders>
              <w:left w:val="single" w:sz="2" w:space="0" w:color="auto"/>
              <w:right w:val="single" w:sz="2" w:space="0" w:color="auto"/>
            </w:tcBorders>
            <w:hideMark/>
          </w:tcPr>
          <w:p w14:paraId="4939163B" w14:textId="77777777" w:rsidR="0033544B" w:rsidRDefault="0033544B" w:rsidP="00872178">
            <w:pPr>
              <w:pStyle w:val="NormalWeb"/>
              <w:jc w:val="center"/>
            </w:pPr>
            <w:r>
              <w:t>9</w:t>
            </w:r>
          </w:p>
        </w:tc>
        <w:tc>
          <w:tcPr>
            <w:tcW w:w="0" w:type="auto"/>
            <w:tcBorders>
              <w:left w:val="single" w:sz="2" w:space="0" w:color="auto"/>
              <w:right w:val="single" w:sz="2" w:space="0" w:color="auto"/>
            </w:tcBorders>
            <w:hideMark/>
          </w:tcPr>
          <w:p w14:paraId="2E16B199" w14:textId="77777777" w:rsidR="0033544B" w:rsidRDefault="0033544B" w:rsidP="00872178">
            <w:pPr>
              <w:pStyle w:val="NormalWeb"/>
              <w:jc w:val="center"/>
            </w:pPr>
            <w:r>
              <w:t>0</w:t>
            </w:r>
          </w:p>
        </w:tc>
        <w:tc>
          <w:tcPr>
            <w:tcW w:w="0" w:type="auto"/>
            <w:tcBorders>
              <w:left w:val="single" w:sz="2" w:space="0" w:color="auto"/>
              <w:right w:val="single" w:sz="2" w:space="0" w:color="auto"/>
            </w:tcBorders>
            <w:hideMark/>
          </w:tcPr>
          <w:p w14:paraId="37A7FE18" w14:textId="77777777" w:rsidR="0033544B" w:rsidRDefault="0033544B" w:rsidP="00872178">
            <w:pPr>
              <w:pStyle w:val="NormalWeb"/>
              <w:jc w:val="center"/>
            </w:pPr>
            <w:r>
              <w:t>1</w:t>
            </w:r>
          </w:p>
        </w:tc>
        <w:tc>
          <w:tcPr>
            <w:tcW w:w="0" w:type="auto"/>
            <w:tcBorders>
              <w:left w:val="single" w:sz="2" w:space="0" w:color="auto"/>
              <w:right w:val="single" w:sz="2" w:space="0" w:color="auto"/>
            </w:tcBorders>
            <w:hideMark/>
          </w:tcPr>
          <w:p w14:paraId="42CBAB72" w14:textId="77777777" w:rsidR="0033544B" w:rsidRDefault="0033544B" w:rsidP="00872178">
            <w:pPr>
              <w:pStyle w:val="NormalWeb"/>
              <w:jc w:val="center"/>
            </w:pPr>
            <w:r>
              <w:t>8</w:t>
            </w:r>
          </w:p>
        </w:tc>
        <w:tc>
          <w:tcPr>
            <w:tcW w:w="0" w:type="auto"/>
            <w:tcBorders>
              <w:left w:val="single" w:sz="2" w:space="0" w:color="auto"/>
            </w:tcBorders>
            <w:hideMark/>
          </w:tcPr>
          <w:p w14:paraId="1A7D0E41" w14:textId="77777777" w:rsidR="0033544B" w:rsidRDefault="0033544B" w:rsidP="00872178">
            <w:pPr>
              <w:pStyle w:val="NormalWeb"/>
              <w:jc w:val="center"/>
            </w:pPr>
            <w:r>
              <w:t>1.60</w:t>
            </w:r>
          </w:p>
        </w:tc>
      </w:tr>
      <w:tr w:rsidR="00103E76" w:rsidRPr="00103E76" w14:paraId="5F5A26C6" w14:textId="77777777" w:rsidTr="0015064F">
        <w:tc>
          <w:tcPr>
            <w:tcW w:w="0" w:type="auto"/>
            <w:tcBorders>
              <w:right w:val="single" w:sz="2" w:space="0" w:color="auto"/>
            </w:tcBorders>
            <w:shd w:val="clear" w:color="auto" w:fill="FDE9D9" w:themeFill="accent6" w:themeFillTint="33"/>
            <w:hideMark/>
          </w:tcPr>
          <w:p w14:paraId="5D09BAE8" w14:textId="77777777" w:rsidR="0033544B" w:rsidRPr="00103E76" w:rsidRDefault="0033544B">
            <w:pPr>
              <w:pStyle w:val="NormalWeb"/>
              <w:rPr>
                <w:b/>
              </w:rPr>
            </w:pPr>
            <w:r w:rsidRPr="00103E76">
              <w:rPr>
                <w:b/>
              </w:rPr>
              <w:t>Australia</w:t>
            </w:r>
          </w:p>
        </w:tc>
        <w:tc>
          <w:tcPr>
            <w:tcW w:w="0" w:type="auto"/>
            <w:tcBorders>
              <w:left w:val="single" w:sz="2" w:space="0" w:color="auto"/>
              <w:right w:val="single" w:sz="2" w:space="0" w:color="auto"/>
            </w:tcBorders>
            <w:shd w:val="clear" w:color="auto" w:fill="FDE9D9" w:themeFill="accent6" w:themeFillTint="33"/>
            <w:hideMark/>
          </w:tcPr>
          <w:p w14:paraId="59544ADE" w14:textId="77777777" w:rsidR="0033544B" w:rsidRPr="00103E76" w:rsidRDefault="0033544B" w:rsidP="00872178">
            <w:pPr>
              <w:pStyle w:val="NormalWeb"/>
              <w:jc w:val="center"/>
              <w:rPr>
                <w:b/>
              </w:rPr>
            </w:pPr>
            <w:r w:rsidRPr="00103E76">
              <w:rPr>
                <w:b/>
              </w:rPr>
              <w:t>4,422,384</w:t>
            </w:r>
          </w:p>
        </w:tc>
        <w:tc>
          <w:tcPr>
            <w:tcW w:w="0" w:type="auto"/>
            <w:tcBorders>
              <w:left w:val="single" w:sz="2" w:space="0" w:color="auto"/>
              <w:right w:val="single" w:sz="2" w:space="0" w:color="auto"/>
            </w:tcBorders>
            <w:shd w:val="clear" w:color="auto" w:fill="FDE9D9" w:themeFill="accent6" w:themeFillTint="33"/>
            <w:hideMark/>
          </w:tcPr>
          <w:p w14:paraId="11C918C4" w14:textId="77777777" w:rsidR="0033544B" w:rsidRPr="00103E76" w:rsidRDefault="0033544B" w:rsidP="00872178">
            <w:pPr>
              <w:pStyle w:val="NormalWeb"/>
              <w:jc w:val="center"/>
              <w:rPr>
                <w:b/>
              </w:rPr>
            </w:pPr>
            <w:r w:rsidRPr="00103E76">
              <w:rPr>
                <w:b/>
              </w:rPr>
              <w:t>44.0</w:t>
            </w:r>
          </w:p>
        </w:tc>
        <w:tc>
          <w:tcPr>
            <w:tcW w:w="0" w:type="auto"/>
            <w:tcBorders>
              <w:left w:val="single" w:sz="2" w:space="0" w:color="auto"/>
              <w:right w:val="single" w:sz="2" w:space="0" w:color="auto"/>
            </w:tcBorders>
            <w:shd w:val="clear" w:color="auto" w:fill="FDE9D9" w:themeFill="accent6" w:themeFillTint="33"/>
            <w:hideMark/>
          </w:tcPr>
          <w:p w14:paraId="6AC7E32E" w14:textId="77777777" w:rsidR="0033544B" w:rsidRPr="00103E76" w:rsidRDefault="0033544B" w:rsidP="00872178">
            <w:pPr>
              <w:pStyle w:val="NormalWeb"/>
              <w:jc w:val="center"/>
              <w:rPr>
                <w:b/>
              </w:rPr>
            </w:pPr>
            <w:r w:rsidRPr="00103E76">
              <w:rPr>
                <w:b/>
              </w:rPr>
              <w:t>73</w:t>
            </w:r>
          </w:p>
        </w:tc>
        <w:tc>
          <w:tcPr>
            <w:tcW w:w="0" w:type="auto"/>
            <w:tcBorders>
              <w:left w:val="single" w:sz="2" w:space="0" w:color="auto"/>
              <w:right w:val="single" w:sz="2" w:space="0" w:color="auto"/>
            </w:tcBorders>
            <w:shd w:val="clear" w:color="auto" w:fill="FDE9D9" w:themeFill="accent6" w:themeFillTint="33"/>
            <w:hideMark/>
          </w:tcPr>
          <w:p w14:paraId="11633C99" w14:textId="77777777" w:rsidR="0033544B" w:rsidRPr="00103E76" w:rsidRDefault="0033544B" w:rsidP="00872178">
            <w:pPr>
              <w:pStyle w:val="NormalWeb"/>
              <w:jc w:val="center"/>
              <w:rPr>
                <w:b/>
              </w:rPr>
            </w:pPr>
            <w:r w:rsidRPr="00103E76">
              <w:rPr>
                <w:b/>
              </w:rPr>
              <w:t>3</w:t>
            </w:r>
          </w:p>
        </w:tc>
        <w:tc>
          <w:tcPr>
            <w:tcW w:w="0" w:type="auto"/>
            <w:tcBorders>
              <w:left w:val="single" w:sz="2" w:space="0" w:color="auto"/>
              <w:right w:val="single" w:sz="2" w:space="0" w:color="auto"/>
            </w:tcBorders>
            <w:shd w:val="clear" w:color="auto" w:fill="FDE9D9" w:themeFill="accent6" w:themeFillTint="33"/>
            <w:hideMark/>
          </w:tcPr>
          <w:p w14:paraId="271867D1" w14:textId="77777777" w:rsidR="0033544B" w:rsidRPr="00103E76" w:rsidRDefault="0033544B" w:rsidP="00872178">
            <w:pPr>
              <w:pStyle w:val="NormalWeb"/>
              <w:jc w:val="center"/>
              <w:rPr>
                <w:b/>
              </w:rPr>
            </w:pPr>
            <w:r w:rsidRPr="00103E76">
              <w:rPr>
                <w:b/>
              </w:rPr>
              <w:t>17</w:t>
            </w:r>
          </w:p>
        </w:tc>
        <w:tc>
          <w:tcPr>
            <w:tcW w:w="0" w:type="auto"/>
            <w:tcBorders>
              <w:left w:val="single" w:sz="2" w:space="0" w:color="auto"/>
              <w:right w:val="single" w:sz="2" w:space="0" w:color="auto"/>
            </w:tcBorders>
            <w:shd w:val="clear" w:color="auto" w:fill="FDE9D9" w:themeFill="accent6" w:themeFillTint="33"/>
            <w:hideMark/>
          </w:tcPr>
          <w:p w14:paraId="6E53732C" w14:textId="77777777" w:rsidR="0033544B" w:rsidRPr="00103E76" w:rsidRDefault="0033544B" w:rsidP="00872178">
            <w:pPr>
              <w:pStyle w:val="NormalWeb"/>
              <w:jc w:val="center"/>
              <w:rPr>
                <w:b/>
              </w:rPr>
            </w:pPr>
            <w:r w:rsidRPr="00103E76">
              <w:rPr>
                <w:b/>
              </w:rPr>
              <w:t>53</w:t>
            </w:r>
          </w:p>
        </w:tc>
        <w:tc>
          <w:tcPr>
            <w:tcW w:w="0" w:type="auto"/>
            <w:tcBorders>
              <w:left w:val="single" w:sz="2" w:space="0" w:color="auto"/>
            </w:tcBorders>
            <w:shd w:val="clear" w:color="auto" w:fill="FDE9D9" w:themeFill="accent6" w:themeFillTint="33"/>
            <w:hideMark/>
          </w:tcPr>
          <w:p w14:paraId="12764C4F" w14:textId="77777777" w:rsidR="0033544B" w:rsidRPr="00103E76" w:rsidRDefault="0033544B" w:rsidP="00872178">
            <w:pPr>
              <w:pStyle w:val="NormalWeb"/>
              <w:jc w:val="center"/>
              <w:rPr>
                <w:b/>
              </w:rPr>
            </w:pPr>
            <w:r w:rsidRPr="00103E76">
              <w:rPr>
                <w:b/>
              </w:rPr>
              <w:t>1.20</w:t>
            </w:r>
          </w:p>
        </w:tc>
      </w:tr>
    </w:tbl>
    <w:p w14:paraId="208E5CFD" w14:textId="21FBAE7D" w:rsidR="0033544B" w:rsidRDefault="0033544B" w:rsidP="00064607">
      <w:pPr>
        <w:pStyle w:val="CDIfootnotes"/>
      </w:pPr>
      <w:proofErr w:type="gramStart"/>
      <w:r>
        <w:t>a</w:t>
      </w:r>
      <w:proofErr w:type="gramEnd"/>
      <w:r>
        <w:tab/>
        <w:t xml:space="preserve">Australian Bureau of Statistics, estimated population at 30 June 2014. Available at </w:t>
      </w:r>
      <w:hyperlink r:id="rId12" w:tooltip="Australian Bureau of Statistics" w:history="1">
        <w:r>
          <w:rPr>
            <w:rStyle w:val="Hyperlink"/>
          </w:rPr>
          <w:t>www.abs.gov.au</w:t>
        </w:r>
      </w:hyperlink>
      <w:r>
        <w:t>.</w:t>
      </w:r>
    </w:p>
    <w:p w14:paraId="10920E56" w14:textId="77777777" w:rsidR="00CC1804" w:rsidRDefault="00CC1804" w:rsidP="0033544B">
      <w:pPr>
        <w:pStyle w:val="CDIFigures"/>
      </w:pPr>
    </w:p>
    <w:p w14:paraId="4E3CA41A" w14:textId="77777777" w:rsidR="0033544B" w:rsidRDefault="0033544B" w:rsidP="0033544B">
      <w:pPr>
        <w:pStyle w:val="CDIFigures"/>
      </w:pPr>
      <w:r>
        <w:t xml:space="preserve">Table 2: Australia’s surveillance for cases of acute flaccid paralysis, 2015, compared with the main World Health Organization performance </w:t>
      </w:r>
      <w:proofErr w:type="gramStart"/>
      <w:r>
        <w:t>indicators</w:t>
      </w:r>
      <w:proofErr w:type="gram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acute flaccid paralysis surveillance in Australia 2015, compared to the World Health Organization performance indicators for notification of cases and collection of adequate faecal specimens."/>
      </w:tblPr>
      <w:tblGrid>
        <w:gridCol w:w="8016"/>
        <w:gridCol w:w="2957"/>
        <w:gridCol w:w="4011"/>
      </w:tblGrid>
      <w:tr w:rsidR="00F168D0" w:rsidRPr="00F168D0" w14:paraId="44AC53E0" w14:textId="77777777" w:rsidTr="00C42785">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07704F64" w14:textId="77777777" w:rsidR="0033544B" w:rsidRPr="00F168D0" w:rsidRDefault="0033544B">
            <w:pPr>
              <w:pStyle w:val="NormalWeb"/>
              <w:rPr>
                <w:color w:val="FFFFFF" w:themeColor="background1"/>
              </w:rPr>
            </w:pPr>
            <w:r w:rsidRPr="00F168D0">
              <w:rPr>
                <w:color w:val="FFFFFF" w:themeColor="background1"/>
              </w:rPr>
              <w:t>WHO surveillance performance indicator for AFP cases in children &lt;15 years</w:t>
            </w:r>
          </w:p>
        </w:tc>
        <w:tc>
          <w:tcPr>
            <w:tcW w:w="0" w:type="auto"/>
            <w:gridSpan w:val="2"/>
            <w:hideMark/>
          </w:tcPr>
          <w:p w14:paraId="7AA26FEA" w14:textId="77777777" w:rsidR="0033544B" w:rsidRPr="00F168D0" w:rsidRDefault="0033544B" w:rsidP="003628D3">
            <w:pPr>
              <w:pStyle w:val="NormalWeb"/>
              <w:jc w:val="center"/>
              <w:rPr>
                <w:color w:val="FFFFFF" w:themeColor="background1"/>
              </w:rPr>
            </w:pPr>
            <w:r w:rsidRPr="00F168D0">
              <w:rPr>
                <w:color w:val="FFFFFF" w:themeColor="background1"/>
              </w:rPr>
              <w:t>Performance of Australia’s AFP surveillance</w:t>
            </w:r>
          </w:p>
        </w:tc>
      </w:tr>
      <w:tr w:rsidR="0033544B" w14:paraId="1D78C29F" w14:textId="77777777" w:rsidTr="00C42785">
        <w:tc>
          <w:tcPr>
            <w:tcW w:w="0" w:type="auto"/>
            <w:tcBorders>
              <w:bottom w:val="single" w:sz="2" w:space="0" w:color="auto"/>
              <w:right w:val="single" w:sz="2" w:space="0" w:color="000000" w:themeColor="text1"/>
            </w:tcBorders>
            <w:shd w:val="clear" w:color="auto" w:fill="auto"/>
            <w:hideMark/>
          </w:tcPr>
          <w:p w14:paraId="221A998F" w14:textId="77777777" w:rsidR="0033544B" w:rsidRDefault="0033544B">
            <w:pPr>
              <w:pStyle w:val="NormalWeb"/>
            </w:pPr>
            <w:r>
              <w:t>≥1.0 non-polio AFP case / 100,000 children (44 cases for Australia in 2015)</w:t>
            </w:r>
          </w:p>
        </w:tc>
        <w:tc>
          <w:tcPr>
            <w:tcW w:w="0" w:type="auto"/>
            <w:tcBorders>
              <w:left w:val="single" w:sz="2" w:space="0" w:color="000000" w:themeColor="text1"/>
              <w:bottom w:val="single" w:sz="2" w:space="0" w:color="auto"/>
              <w:right w:val="single" w:sz="2" w:space="0" w:color="000000" w:themeColor="text1"/>
            </w:tcBorders>
            <w:shd w:val="clear" w:color="auto" w:fill="auto"/>
            <w:hideMark/>
          </w:tcPr>
          <w:p w14:paraId="7181CCFA" w14:textId="77777777" w:rsidR="0033544B" w:rsidRDefault="0033544B" w:rsidP="003628D3">
            <w:pPr>
              <w:pStyle w:val="NormalWeb"/>
              <w:jc w:val="center"/>
            </w:pPr>
            <w:r>
              <w:t>53 cases classified as non-polio AFP</w:t>
            </w:r>
          </w:p>
        </w:tc>
        <w:tc>
          <w:tcPr>
            <w:tcW w:w="0" w:type="auto"/>
            <w:tcBorders>
              <w:left w:val="single" w:sz="2" w:space="0" w:color="000000" w:themeColor="text1"/>
              <w:bottom w:val="single" w:sz="2" w:space="0" w:color="auto"/>
            </w:tcBorders>
            <w:shd w:val="clear" w:color="auto" w:fill="auto"/>
            <w:hideMark/>
          </w:tcPr>
          <w:p w14:paraId="1BA17E58" w14:textId="77777777" w:rsidR="0033544B" w:rsidRDefault="0033544B" w:rsidP="003628D3">
            <w:pPr>
              <w:pStyle w:val="NormalWeb"/>
              <w:jc w:val="center"/>
            </w:pPr>
            <w:r>
              <w:t>1.20 (53 / 44) non-polio AFP cases / 100,000 children &lt;15 years</w:t>
            </w:r>
          </w:p>
        </w:tc>
      </w:tr>
      <w:tr w:rsidR="0033544B" w14:paraId="065E2EC1" w14:textId="77777777" w:rsidTr="00C42785">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auto"/>
              <w:right w:val="single" w:sz="2" w:space="0" w:color="000000" w:themeColor="text1"/>
            </w:tcBorders>
            <w:shd w:val="clear" w:color="auto" w:fill="auto"/>
            <w:hideMark/>
          </w:tcPr>
          <w:p w14:paraId="3CCF20A2" w14:textId="77777777" w:rsidR="0033544B" w:rsidRDefault="0033544B">
            <w:pPr>
              <w:pStyle w:val="NormalWeb"/>
            </w:pPr>
            <w:r>
              <w:t>≥80% of classified AFP cases with adequate specimens (2 faecal specimens collected at least 24 hours apart and within 14 days of onset of paralysis)</w:t>
            </w:r>
          </w:p>
        </w:tc>
        <w:tc>
          <w:tcPr>
            <w:tcW w:w="0" w:type="auto"/>
            <w:tcBorders>
              <w:top w:val="single" w:sz="2" w:space="0" w:color="auto"/>
              <w:left w:val="single" w:sz="2" w:space="0" w:color="000000" w:themeColor="text1"/>
              <w:right w:val="single" w:sz="2" w:space="0" w:color="000000" w:themeColor="text1"/>
            </w:tcBorders>
            <w:shd w:val="clear" w:color="auto" w:fill="auto"/>
            <w:hideMark/>
          </w:tcPr>
          <w:p w14:paraId="7123BCA4" w14:textId="77777777" w:rsidR="0033544B" w:rsidRDefault="0033544B" w:rsidP="003628D3">
            <w:pPr>
              <w:pStyle w:val="NormalWeb"/>
              <w:jc w:val="center"/>
            </w:pPr>
            <w:r>
              <w:t>15 AFP cases with adequate specimens collected</w:t>
            </w:r>
          </w:p>
        </w:tc>
        <w:tc>
          <w:tcPr>
            <w:tcW w:w="0" w:type="auto"/>
            <w:tcBorders>
              <w:top w:val="single" w:sz="2" w:space="0" w:color="auto"/>
              <w:left w:val="single" w:sz="2" w:space="0" w:color="000000" w:themeColor="text1"/>
            </w:tcBorders>
            <w:shd w:val="clear" w:color="auto" w:fill="auto"/>
            <w:hideMark/>
          </w:tcPr>
          <w:p w14:paraId="0308DEF6" w14:textId="77777777" w:rsidR="0033544B" w:rsidRDefault="0033544B" w:rsidP="003628D3">
            <w:pPr>
              <w:pStyle w:val="NormalWeb"/>
              <w:jc w:val="center"/>
            </w:pPr>
            <w:r>
              <w:t>28% (15 / 53) classified non-polio AFP cases with adequate specimens</w:t>
            </w:r>
          </w:p>
        </w:tc>
      </w:tr>
    </w:tbl>
    <w:p w14:paraId="66345C1C" w14:textId="77777777" w:rsidR="00E8091B" w:rsidRDefault="00E8091B" w:rsidP="0033544B">
      <w:pPr>
        <w:pStyle w:val="CDIFigures"/>
        <w:sectPr w:rsidR="00E8091B" w:rsidSect="00064607">
          <w:pgSz w:w="16838" w:h="11906" w:orient="landscape"/>
          <w:pgMar w:top="720" w:right="720" w:bottom="720" w:left="1134" w:header="709" w:footer="284" w:gutter="0"/>
          <w:cols w:space="708"/>
          <w:titlePg/>
          <w:docGrid w:linePitch="360"/>
        </w:sectPr>
      </w:pPr>
    </w:p>
    <w:p w14:paraId="01BE7F46" w14:textId="77777777" w:rsidR="0033544B" w:rsidRDefault="0033544B" w:rsidP="0033544B">
      <w:pPr>
        <w:pStyle w:val="CDIFigures"/>
      </w:pPr>
      <w:r>
        <w:lastRenderedPageBreak/>
        <w:t>Figure. 1. Non-polio AFP rate, Australia 1995 to 2015</w:t>
      </w:r>
      <w:r>
        <w:rPr>
          <w:vertAlign w:val="superscript"/>
        </w:rPr>
        <w:t>a</w:t>
      </w:r>
    </w:p>
    <w:p w14:paraId="04255436" w14:textId="77777777" w:rsidR="0033544B" w:rsidRDefault="0033544B">
      <w:pPr>
        <w:rPr>
          <w:rFonts w:eastAsia="Times New Roman"/>
        </w:rPr>
      </w:pPr>
      <w:r>
        <w:rPr>
          <w:rFonts w:eastAsia="Times New Roman"/>
          <w:noProof/>
        </w:rPr>
        <w:drawing>
          <wp:inline distT="0" distB="0" distL="0" distR="0" wp14:anchorId="0DF84552" wp14:editId="5DA9C617">
            <wp:extent cx="6703354" cy="4658264"/>
            <wp:effectExtent l="0" t="0" r="2540" b="9525"/>
            <wp:docPr id="3" name="Picture 3" descr="Australia’s non-polio acute flaccid paralysis rate 1995 to 2015 compared to the World Health Organization surveillance performance criterion. Australia reached or exceeded the World Health Organization target of one non-polio acute flaccid paralysis cases per 100,000 children less than 15 years of age in 2000, 2001, 2004, 2006 and each year from 2008 t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s non-polio acute flaccid paralysis rate 1995 to 2015 compared to the World Health Organization surveillance performance criterion. Australia reached or exceeded the World Health Organization target of one non-polio acute flaccid paralysis cases per 100,000 children less than 15 years of age in 2000, 2001, 2004, 2006 and each year from 2008 to 201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712401" cy="4664551"/>
                    </a:xfrm>
                    <a:prstGeom prst="rect">
                      <a:avLst/>
                    </a:prstGeom>
                  </pic:spPr>
                </pic:pic>
              </a:graphicData>
            </a:graphic>
          </wp:inline>
        </w:drawing>
      </w:r>
    </w:p>
    <w:p w14:paraId="271C3C71" w14:textId="77777777" w:rsidR="0033544B" w:rsidRDefault="0033544B" w:rsidP="0033544B">
      <w:pPr>
        <w:pStyle w:val="CDIfootnotes"/>
      </w:pPr>
      <w:proofErr w:type="spellStart"/>
      <w:r>
        <w:t>a</w:t>
      </w:r>
      <w:proofErr w:type="spellEnd"/>
      <w:r>
        <w:tab/>
        <w:t>The WHO AFP surveillance performance indicator for a polio non-endemic country is one case per 100,000 children &lt;15 years of age, which is highlighted by the red line.</w:t>
      </w:r>
    </w:p>
    <w:p w14:paraId="01477497" w14:textId="77777777" w:rsidR="0033544B" w:rsidRDefault="0033544B" w:rsidP="0033544B">
      <w:r>
        <w:t xml:space="preserve">In 2015, an Australian adult was hospitalised with fever, </w:t>
      </w:r>
      <w:proofErr w:type="gramStart"/>
      <w:r>
        <w:t>weakness</w:t>
      </w:r>
      <w:proofErr w:type="gramEnd"/>
      <w:r>
        <w:t xml:space="preserve"> and significant back pain upon returning from Pakistan. High signal in the anterior horn cell region of the patient’s spinal cord by magnetic resonance imaging and the detection of enterovirus in a faecal specimen by the local laboratory led to the case being investigated as suspected poliomyelitis. </w:t>
      </w:r>
      <w:r w:rsidRPr="009767EE">
        <w:rPr>
          <w:rStyle w:val="Emphasis"/>
          <w:b w:val="0"/>
        </w:rPr>
        <w:t>Salmonella</w:t>
      </w:r>
      <w:r>
        <w:t xml:space="preserve"> </w:t>
      </w:r>
      <w:proofErr w:type="spellStart"/>
      <w:r w:rsidRPr="009767EE">
        <w:rPr>
          <w:rStyle w:val="Emphasis"/>
          <w:b w:val="0"/>
        </w:rPr>
        <w:t>paratyphi</w:t>
      </w:r>
      <w:proofErr w:type="spellEnd"/>
      <w:r>
        <w:t xml:space="preserve"> was isolated from blood culture and the final diagnosis was post-infectious inflammation presenting as acute disseminated encephalomyelitis. The NERL identified the enterovirus as type A76, one of the newly described enteroviruses, which the laboratory has not detected in Australia before. </w:t>
      </w:r>
    </w:p>
    <w:p w14:paraId="2D507C44" w14:textId="77777777" w:rsidR="0033544B" w:rsidRPr="0033544B" w:rsidRDefault="0033544B" w:rsidP="0033544B">
      <w:pPr>
        <w:pStyle w:val="Heading2"/>
      </w:pPr>
      <w:r w:rsidRPr="0033544B">
        <w:t xml:space="preserve">Notification of AFP cases by state and territory </w:t>
      </w:r>
    </w:p>
    <w:p w14:paraId="03BC0FC4" w14:textId="77777777" w:rsidR="0033544B" w:rsidRDefault="0033544B" w:rsidP="0033544B">
      <w:r>
        <w:t xml:space="preserve">In 2015, AFP cases were notified from all jurisdictions in Australia except the Australian Capital Territory (Table 1). This result may not be surprising, since the Australian Capital Territory is expected to report one case every one to two years based on the population less than 15 years of age, however, no AFP cases have been notified from this jurisdiction since 2009. The non-polio AFP rates for eligible cases by jurisdiction exceeded the WHO AFP surveillance performance indicator of one case per 100,000 children in all other states and territory except New South Wales, which was the second year in a row that Australia’s most populous state did not meet this surveillance criterion. </w:t>
      </w:r>
    </w:p>
    <w:p w14:paraId="60B58B5F" w14:textId="77777777" w:rsidR="0033544B" w:rsidRPr="0033544B" w:rsidRDefault="0033544B" w:rsidP="0033544B">
      <w:pPr>
        <w:pStyle w:val="Heading2"/>
      </w:pPr>
      <w:r w:rsidRPr="0033544B">
        <w:t xml:space="preserve">Faecal collection from AFP cases </w:t>
      </w:r>
    </w:p>
    <w:p w14:paraId="2FB0AC0E" w14:textId="77777777" w:rsidR="0033544B" w:rsidRDefault="0033544B" w:rsidP="0033544B">
      <w:r>
        <w:t xml:space="preserve">A total of 73 faecal specimens from 42 of the 53 eligible cases were tested at the NERL in 2015. Fifteen AFP cases met the WHO criterion for specimen testing with two faecal specimens collected within 14 days of the onset of paralysis (Figure 2, Tables 2 and 3). The proportion of cases with at least one specimen collected within 14 days of the onset of paralysis was 75%, while 83% of cases had a specimen collected any time after the onset of paralysis. No </w:t>
      </w:r>
      <w:r>
        <w:lastRenderedPageBreak/>
        <w:t xml:space="preserve">poliovirus was detected in any of the specimens. Enterovirus A71 was isolated from one AFP case each originating from Queensland, South </w:t>
      </w:r>
      <w:proofErr w:type="gramStart"/>
      <w:r>
        <w:t>Australia</w:t>
      </w:r>
      <w:proofErr w:type="gramEnd"/>
      <w:r>
        <w:t xml:space="preserve"> and Western Australia, while coxsackievirus B3 was isolated from one AFP case in Western Australia.</w:t>
      </w:r>
    </w:p>
    <w:p w14:paraId="27C5682F" w14:textId="77777777" w:rsidR="0033544B" w:rsidRDefault="0033544B" w:rsidP="0033544B">
      <w:pPr>
        <w:pStyle w:val="CDIFigures"/>
      </w:pPr>
      <w:r>
        <w:t xml:space="preserve">Figure 2. Adequate faecal specimens collected from AFP cases, Australia 1995 to </w:t>
      </w:r>
      <w:proofErr w:type="gramStart"/>
      <w:r>
        <w:t>2015</w:t>
      </w:r>
      <w:r>
        <w:rPr>
          <w:vertAlign w:val="superscript"/>
        </w:rPr>
        <w:t>a</w:t>
      </w:r>
      <w:proofErr w:type="gramEnd"/>
    </w:p>
    <w:p w14:paraId="5B3A9768" w14:textId="77777777" w:rsidR="0033544B" w:rsidRDefault="0033544B">
      <w:pPr>
        <w:pStyle w:val="NormalWeb"/>
      </w:pPr>
      <w:r>
        <w:rPr>
          <w:noProof/>
        </w:rPr>
        <w:drawing>
          <wp:inline distT="0" distB="0" distL="0" distR="0" wp14:anchorId="088800DB" wp14:editId="7B966A39">
            <wp:extent cx="6629400" cy="4744247"/>
            <wp:effectExtent l="0" t="0" r="0" b="0"/>
            <wp:docPr id="2" name="Picture 2" descr="Percentage of acute flaccid paralysis cases with adequate faecal collection, Australia 1995 to 2015, compared to the World Health Organization surveillance performance criterion. Australia has never reached the 80% surveillance target for adequate faecal specimens and reported a rate of 28% i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centage of acute flaccid paralysis cases with adequate faecal collection, Australia 1995 to 2015, compared to the World Health Organization surveillance performance criterion. Australia has never reached the 80% surveillance target for adequate faecal specimens and reported a rate of 28% in 201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634956" cy="4748223"/>
                    </a:xfrm>
                    <a:prstGeom prst="rect">
                      <a:avLst/>
                    </a:prstGeom>
                  </pic:spPr>
                </pic:pic>
              </a:graphicData>
            </a:graphic>
          </wp:inline>
        </w:drawing>
      </w:r>
    </w:p>
    <w:p w14:paraId="71CF63CB" w14:textId="77777777" w:rsidR="0033544B" w:rsidRDefault="0033544B" w:rsidP="0033544B">
      <w:pPr>
        <w:pStyle w:val="CDIfootnotes"/>
      </w:pPr>
      <w:proofErr w:type="spellStart"/>
      <w:r>
        <w:t>a</w:t>
      </w:r>
      <w:proofErr w:type="spellEnd"/>
      <w:r>
        <w:tab/>
      </w:r>
      <w:proofErr w:type="gramStart"/>
      <w:r>
        <w:t>The</w:t>
      </w:r>
      <w:proofErr w:type="gramEnd"/>
      <w:r>
        <w:t xml:space="preserve"> main WHO criterion for adequate specimen collection is two faecal specimens collected more than 24 hours apart and within 14 days of the onset of paralysis from 80% of the cases classified as non-polio AFP.</w:t>
      </w:r>
    </w:p>
    <w:p w14:paraId="3C345BFB" w14:textId="77777777" w:rsidR="00BF7278" w:rsidRDefault="00BF7278" w:rsidP="00BF7278">
      <w:pPr>
        <w:pStyle w:val="CDIFigures"/>
        <w:sectPr w:rsidR="00BF7278" w:rsidSect="00A30C37">
          <w:pgSz w:w="11906" w:h="16838"/>
          <w:pgMar w:top="720" w:right="720" w:bottom="1134" w:left="720" w:header="709" w:footer="284" w:gutter="0"/>
          <w:cols w:space="708"/>
          <w:titlePg/>
          <w:docGrid w:linePitch="360"/>
        </w:sectPr>
      </w:pPr>
    </w:p>
    <w:p w14:paraId="3FB98220" w14:textId="77777777" w:rsidR="0033544B" w:rsidRDefault="0033544B" w:rsidP="00BF7278">
      <w:pPr>
        <w:pStyle w:val="CDIFigures"/>
      </w:pPr>
      <w:r>
        <w:lastRenderedPageBreak/>
        <w:t>Table 3: Specimens referred to the NERL Australia, 2015</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test results of specimens referred to the National Enterovirus Reference Laboratory in 2015."/>
      </w:tblPr>
      <w:tblGrid>
        <w:gridCol w:w="2410"/>
        <w:gridCol w:w="2514"/>
        <w:gridCol w:w="2515"/>
        <w:gridCol w:w="2515"/>
        <w:gridCol w:w="2515"/>
        <w:gridCol w:w="2515"/>
      </w:tblGrid>
      <w:tr w:rsidR="00F168D0" w:rsidRPr="00F168D0" w14:paraId="0E54E5E6" w14:textId="77777777" w:rsidTr="003D7DC3">
        <w:trPr>
          <w:cnfStyle w:val="100000000000" w:firstRow="1" w:lastRow="0" w:firstColumn="0" w:lastColumn="0" w:oddVBand="0" w:evenVBand="0" w:oddHBand="0" w:evenHBand="0" w:firstRowFirstColumn="0" w:firstRowLastColumn="0" w:lastRowFirstColumn="0" w:lastRowLastColumn="0"/>
          <w:tblHeader/>
        </w:trPr>
        <w:tc>
          <w:tcPr>
            <w:tcW w:w="2410" w:type="dxa"/>
            <w:vAlign w:val="center"/>
            <w:hideMark/>
          </w:tcPr>
          <w:p w14:paraId="4AC1EC93" w14:textId="77777777" w:rsidR="0033544B" w:rsidRPr="00F168D0" w:rsidRDefault="0033544B" w:rsidP="003D7DC3">
            <w:pPr>
              <w:pStyle w:val="NormalWeb"/>
              <w:jc w:val="center"/>
              <w:rPr>
                <w:color w:val="FFFFFF" w:themeColor="background1"/>
              </w:rPr>
            </w:pPr>
            <w:r w:rsidRPr="00F168D0">
              <w:rPr>
                <w:color w:val="FFFFFF" w:themeColor="background1"/>
              </w:rPr>
              <w:t>Result</w:t>
            </w:r>
          </w:p>
        </w:tc>
        <w:tc>
          <w:tcPr>
            <w:tcW w:w="2514" w:type="dxa"/>
            <w:vAlign w:val="center"/>
            <w:hideMark/>
          </w:tcPr>
          <w:p w14:paraId="0C9DB346" w14:textId="77777777" w:rsidR="0033544B" w:rsidRPr="00F168D0" w:rsidRDefault="0033544B" w:rsidP="003D7DC3">
            <w:pPr>
              <w:pStyle w:val="NormalWeb"/>
              <w:jc w:val="center"/>
              <w:rPr>
                <w:color w:val="FFFFFF" w:themeColor="background1"/>
              </w:rPr>
            </w:pPr>
            <w:r w:rsidRPr="00F168D0">
              <w:rPr>
                <w:color w:val="FFFFFF" w:themeColor="background1"/>
              </w:rPr>
              <w:t xml:space="preserve">Specimens from AFP cases involving children </w:t>
            </w:r>
            <w:r w:rsidR="003D7DC3">
              <w:rPr>
                <w:color w:val="FFFFFF" w:themeColor="background1"/>
              </w:rPr>
              <w:br/>
            </w:r>
            <w:r w:rsidRPr="00F168D0">
              <w:rPr>
                <w:color w:val="FFFFFF" w:themeColor="background1"/>
              </w:rPr>
              <w:t>&lt; 15 years of age</w:t>
            </w:r>
          </w:p>
        </w:tc>
        <w:tc>
          <w:tcPr>
            <w:tcW w:w="2515" w:type="dxa"/>
            <w:vAlign w:val="center"/>
            <w:hideMark/>
          </w:tcPr>
          <w:p w14:paraId="18F33F2D" w14:textId="77777777" w:rsidR="0033544B" w:rsidRPr="00F168D0" w:rsidRDefault="0033544B" w:rsidP="003D7DC3">
            <w:pPr>
              <w:pStyle w:val="NormalWeb"/>
              <w:jc w:val="center"/>
              <w:rPr>
                <w:color w:val="FFFFFF" w:themeColor="background1"/>
              </w:rPr>
            </w:pPr>
            <w:r w:rsidRPr="00F168D0">
              <w:rPr>
                <w:color w:val="FFFFFF" w:themeColor="background1"/>
              </w:rPr>
              <w:t xml:space="preserve">Specimens from AFP cases involving patients </w:t>
            </w:r>
            <w:r w:rsidR="003D7DC3">
              <w:rPr>
                <w:color w:val="FFFFFF" w:themeColor="background1"/>
              </w:rPr>
              <w:br/>
            </w:r>
            <w:r w:rsidRPr="00F168D0">
              <w:rPr>
                <w:color w:val="FFFFFF" w:themeColor="background1"/>
              </w:rPr>
              <w:t>≥</w:t>
            </w:r>
            <w:r w:rsidR="003D7DC3">
              <w:rPr>
                <w:color w:val="FFFFFF" w:themeColor="background1"/>
              </w:rPr>
              <w:t xml:space="preserve"> </w:t>
            </w:r>
            <w:r w:rsidRPr="00F168D0">
              <w:rPr>
                <w:color w:val="FFFFFF" w:themeColor="background1"/>
              </w:rPr>
              <w:t>15 years of age</w:t>
            </w:r>
          </w:p>
        </w:tc>
        <w:tc>
          <w:tcPr>
            <w:tcW w:w="2515" w:type="dxa"/>
            <w:vAlign w:val="center"/>
            <w:hideMark/>
          </w:tcPr>
          <w:p w14:paraId="46CB6469" w14:textId="77777777" w:rsidR="0033544B" w:rsidRPr="00F168D0" w:rsidRDefault="0033544B" w:rsidP="00D65257">
            <w:pPr>
              <w:pStyle w:val="NormalWeb"/>
              <w:jc w:val="center"/>
              <w:rPr>
                <w:color w:val="FFFFFF" w:themeColor="background1"/>
              </w:rPr>
            </w:pPr>
            <w:r w:rsidRPr="00F168D0">
              <w:rPr>
                <w:color w:val="FFFFFF" w:themeColor="background1"/>
              </w:rPr>
              <w:t>Enterovirus Surveillance</w:t>
            </w:r>
          </w:p>
        </w:tc>
        <w:tc>
          <w:tcPr>
            <w:tcW w:w="2515" w:type="dxa"/>
            <w:vAlign w:val="center"/>
            <w:hideMark/>
          </w:tcPr>
          <w:p w14:paraId="03D7D96E" w14:textId="77777777" w:rsidR="0033544B" w:rsidRPr="00F168D0" w:rsidRDefault="0033544B">
            <w:pPr>
              <w:pStyle w:val="NormalWeb"/>
              <w:jc w:val="center"/>
              <w:rPr>
                <w:color w:val="FFFFFF" w:themeColor="background1"/>
              </w:rPr>
            </w:pPr>
            <w:r w:rsidRPr="00F168D0">
              <w:rPr>
                <w:color w:val="FFFFFF" w:themeColor="background1"/>
              </w:rPr>
              <w:t>Environmental Surveillance</w:t>
            </w:r>
          </w:p>
        </w:tc>
        <w:tc>
          <w:tcPr>
            <w:tcW w:w="2515" w:type="dxa"/>
            <w:vAlign w:val="center"/>
            <w:hideMark/>
          </w:tcPr>
          <w:p w14:paraId="0ABCF6CE" w14:textId="77777777" w:rsidR="0033544B" w:rsidRPr="00F168D0" w:rsidRDefault="0033544B">
            <w:pPr>
              <w:pStyle w:val="NormalWeb"/>
              <w:jc w:val="center"/>
              <w:rPr>
                <w:color w:val="FFFFFF" w:themeColor="background1"/>
              </w:rPr>
            </w:pPr>
            <w:r w:rsidRPr="00F168D0">
              <w:rPr>
                <w:color w:val="FFFFFF" w:themeColor="background1"/>
              </w:rPr>
              <w:t>Total</w:t>
            </w:r>
          </w:p>
        </w:tc>
      </w:tr>
      <w:tr w:rsidR="0033544B" w14:paraId="7546EBC4" w14:textId="77777777" w:rsidTr="00F4482D">
        <w:tc>
          <w:tcPr>
            <w:tcW w:w="2410" w:type="dxa"/>
            <w:hideMark/>
          </w:tcPr>
          <w:p w14:paraId="6A0470B5" w14:textId="77777777" w:rsidR="0033544B" w:rsidRDefault="0033544B">
            <w:pPr>
              <w:pStyle w:val="NormalWeb"/>
            </w:pPr>
            <w:r>
              <w:t>PV1SL</w:t>
            </w:r>
          </w:p>
        </w:tc>
        <w:tc>
          <w:tcPr>
            <w:tcW w:w="2514" w:type="dxa"/>
            <w:hideMark/>
          </w:tcPr>
          <w:p w14:paraId="4764CCE2" w14:textId="77777777" w:rsidR="0033544B" w:rsidRDefault="0033544B" w:rsidP="006008CE">
            <w:pPr>
              <w:pStyle w:val="NormalWeb"/>
              <w:jc w:val="center"/>
            </w:pPr>
            <w:r>
              <w:t>0</w:t>
            </w:r>
          </w:p>
        </w:tc>
        <w:tc>
          <w:tcPr>
            <w:tcW w:w="2515" w:type="dxa"/>
            <w:hideMark/>
          </w:tcPr>
          <w:p w14:paraId="0114E0FB" w14:textId="77777777" w:rsidR="0033544B" w:rsidRDefault="0033544B" w:rsidP="006008CE">
            <w:pPr>
              <w:pStyle w:val="NormalWeb"/>
              <w:jc w:val="center"/>
            </w:pPr>
            <w:r>
              <w:t>0</w:t>
            </w:r>
          </w:p>
        </w:tc>
        <w:tc>
          <w:tcPr>
            <w:tcW w:w="2515" w:type="dxa"/>
            <w:hideMark/>
          </w:tcPr>
          <w:p w14:paraId="1907BFB9" w14:textId="77777777" w:rsidR="0033544B" w:rsidRDefault="0033544B" w:rsidP="006008CE">
            <w:pPr>
              <w:pStyle w:val="NormalWeb"/>
              <w:jc w:val="center"/>
            </w:pPr>
            <w:r>
              <w:t>10</w:t>
            </w:r>
          </w:p>
        </w:tc>
        <w:tc>
          <w:tcPr>
            <w:tcW w:w="2515" w:type="dxa"/>
            <w:hideMark/>
          </w:tcPr>
          <w:p w14:paraId="5952DB12" w14:textId="77777777" w:rsidR="0033544B" w:rsidRDefault="0033544B" w:rsidP="006008CE">
            <w:pPr>
              <w:pStyle w:val="NormalWeb"/>
              <w:jc w:val="center"/>
            </w:pPr>
            <w:r>
              <w:t>0</w:t>
            </w:r>
          </w:p>
        </w:tc>
        <w:tc>
          <w:tcPr>
            <w:tcW w:w="2515" w:type="dxa"/>
            <w:hideMark/>
          </w:tcPr>
          <w:p w14:paraId="5AAB3617" w14:textId="77777777" w:rsidR="0033544B" w:rsidRDefault="0033544B" w:rsidP="006008CE">
            <w:pPr>
              <w:pStyle w:val="NormalWeb"/>
              <w:jc w:val="center"/>
            </w:pPr>
            <w:r>
              <w:t>10</w:t>
            </w:r>
          </w:p>
        </w:tc>
      </w:tr>
      <w:tr w:rsidR="0033544B" w14:paraId="66B643CC" w14:textId="77777777" w:rsidTr="00F4482D">
        <w:trPr>
          <w:cnfStyle w:val="000000010000" w:firstRow="0" w:lastRow="0" w:firstColumn="0" w:lastColumn="0" w:oddVBand="0" w:evenVBand="0" w:oddHBand="0" w:evenHBand="1" w:firstRowFirstColumn="0" w:firstRowLastColumn="0" w:lastRowFirstColumn="0" w:lastRowLastColumn="0"/>
        </w:trPr>
        <w:tc>
          <w:tcPr>
            <w:tcW w:w="2410" w:type="dxa"/>
            <w:hideMark/>
          </w:tcPr>
          <w:p w14:paraId="3CCFAF1F" w14:textId="77777777" w:rsidR="0033544B" w:rsidRDefault="0033544B">
            <w:pPr>
              <w:pStyle w:val="NormalWeb"/>
            </w:pPr>
            <w:r>
              <w:t>PV2SL</w:t>
            </w:r>
          </w:p>
        </w:tc>
        <w:tc>
          <w:tcPr>
            <w:tcW w:w="2514" w:type="dxa"/>
            <w:hideMark/>
          </w:tcPr>
          <w:p w14:paraId="067E07EA" w14:textId="77777777" w:rsidR="0033544B" w:rsidRDefault="0033544B" w:rsidP="006008CE">
            <w:pPr>
              <w:pStyle w:val="NormalWeb"/>
              <w:jc w:val="center"/>
            </w:pPr>
            <w:r>
              <w:t>0</w:t>
            </w:r>
          </w:p>
        </w:tc>
        <w:tc>
          <w:tcPr>
            <w:tcW w:w="2515" w:type="dxa"/>
            <w:hideMark/>
          </w:tcPr>
          <w:p w14:paraId="2C0252B5" w14:textId="77777777" w:rsidR="0033544B" w:rsidRDefault="0033544B" w:rsidP="006008CE">
            <w:pPr>
              <w:pStyle w:val="NormalWeb"/>
              <w:jc w:val="center"/>
            </w:pPr>
            <w:r>
              <w:t>0</w:t>
            </w:r>
          </w:p>
        </w:tc>
        <w:tc>
          <w:tcPr>
            <w:tcW w:w="2515" w:type="dxa"/>
            <w:hideMark/>
          </w:tcPr>
          <w:p w14:paraId="702BB428" w14:textId="77777777" w:rsidR="0033544B" w:rsidRDefault="0033544B" w:rsidP="006008CE">
            <w:pPr>
              <w:pStyle w:val="NormalWeb"/>
              <w:jc w:val="center"/>
            </w:pPr>
            <w:r>
              <w:t>0</w:t>
            </w:r>
          </w:p>
        </w:tc>
        <w:tc>
          <w:tcPr>
            <w:tcW w:w="2515" w:type="dxa"/>
            <w:hideMark/>
          </w:tcPr>
          <w:p w14:paraId="57AB4A88" w14:textId="77777777" w:rsidR="0033544B" w:rsidRDefault="0033544B" w:rsidP="006008CE">
            <w:pPr>
              <w:pStyle w:val="NormalWeb"/>
              <w:jc w:val="center"/>
            </w:pPr>
            <w:r>
              <w:t>1</w:t>
            </w:r>
          </w:p>
        </w:tc>
        <w:tc>
          <w:tcPr>
            <w:tcW w:w="2515" w:type="dxa"/>
            <w:hideMark/>
          </w:tcPr>
          <w:p w14:paraId="615721BD" w14:textId="77777777" w:rsidR="0033544B" w:rsidRDefault="0033544B" w:rsidP="006008CE">
            <w:pPr>
              <w:pStyle w:val="NormalWeb"/>
              <w:jc w:val="center"/>
            </w:pPr>
            <w:r>
              <w:t>1</w:t>
            </w:r>
          </w:p>
        </w:tc>
      </w:tr>
      <w:tr w:rsidR="0033544B" w14:paraId="282E2CEB" w14:textId="77777777" w:rsidTr="00F4482D">
        <w:tc>
          <w:tcPr>
            <w:tcW w:w="2410" w:type="dxa"/>
            <w:hideMark/>
          </w:tcPr>
          <w:p w14:paraId="7953D7C6" w14:textId="77777777" w:rsidR="0033544B" w:rsidRDefault="0033544B">
            <w:pPr>
              <w:pStyle w:val="NormalWeb"/>
            </w:pPr>
            <w:r>
              <w:t>PV3SL</w:t>
            </w:r>
          </w:p>
        </w:tc>
        <w:tc>
          <w:tcPr>
            <w:tcW w:w="2514" w:type="dxa"/>
            <w:hideMark/>
          </w:tcPr>
          <w:p w14:paraId="2089D200" w14:textId="77777777" w:rsidR="0033544B" w:rsidRDefault="0033544B" w:rsidP="006008CE">
            <w:pPr>
              <w:pStyle w:val="NormalWeb"/>
              <w:jc w:val="center"/>
            </w:pPr>
            <w:r>
              <w:t>0</w:t>
            </w:r>
          </w:p>
        </w:tc>
        <w:tc>
          <w:tcPr>
            <w:tcW w:w="2515" w:type="dxa"/>
            <w:hideMark/>
          </w:tcPr>
          <w:p w14:paraId="624A0245" w14:textId="77777777" w:rsidR="0033544B" w:rsidRDefault="0033544B" w:rsidP="006008CE">
            <w:pPr>
              <w:pStyle w:val="NormalWeb"/>
              <w:jc w:val="center"/>
            </w:pPr>
            <w:r>
              <w:t>0</w:t>
            </w:r>
          </w:p>
        </w:tc>
        <w:tc>
          <w:tcPr>
            <w:tcW w:w="2515" w:type="dxa"/>
            <w:hideMark/>
          </w:tcPr>
          <w:p w14:paraId="4C45FAB7" w14:textId="77777777" w:rsidR="0033544B" w:rsidRDefault="0033544B" w:rsidP="006008CE">
            <w:pPr>
              <w:pStyle w:val="NormalWeb"/>
              <w:jc w:val="center"/>
            </w:pPr>
            <w:r>
              <w:t>0</w:t>
            </w:r>
          </w:p>
        </w:tc>
        <w:tc>
          <w:tcPr>
            <w:tcW w:w="2515" w:type="dxa"/>
            <w:hideMark/>
          </w:tcPr>
          <w:p w14:paraId="33B01CAB" w14:textId="77777777" w:rsidR="0033544B" w:rsidRDefault="0033544B" w:rsidP="006008CE">
            <w:pPr>
              <w:pStyle w:val="NormalWeb"/>
              <w:jc w:val="center"/>
            </w:pPr>
            <w:r>
              <w:t>1</w:t>
            </w:r>
          </w:p>
        </w:tc>
        <w:tc>
          <w:tcPr>
            <w:tcW w:w="2515" w:type="dxa"/>
            <w:hideMark/>
          </w:tcPr>
          <w:p w14:paraId="06488BF7" w14:textId="77777777" w:rsidR="0033544B" w:rsidRDefault="0033544B" w:rsidP="006008CE">
            <w:pPr>
              <w:pStyle w:val="NormalWeb"/>
              <w:jc w:val="center"/>
            </w:pPr>
            <w:r>
              <w:t>1</w:t>
            </w:r>
          </w:p>
        </w:tc>
      </w:tr>
      <w:tr w:rsidR="0033544B" w14:paraId="245D384A" w14:textId="77777777" w:rsidTr="00F4482D">
        <w:trPr>
          <w:cnfStyle w:val="000000010000" w:firstRow="0" w:lastRow="0" w:firstColumn="0" w:lastColumn="0" w:oddVBand="0" w:evenVBand="0" w:oddHBand="0" w:evenHBand="1" w:firstRowFirstColumn="0" w:firstRowLastColumn="0" w:lastRowFirstColumn="0" w:lastRowLastColumn="0"/>
        </w:trPr>
        <w:tc>
          <w:tcPr>
            <w:tcW w:w="2410" w:type="dxa"/>
            <w:hideMark/>
          </w:tcPr>
          <w:p w14:paraId="0E7DF0F7" w14:textId="77777777" w:rsidR="0033544B" w:rsidRDefault="0033544B">
            <w:pPr>
              <w:pStyle w:val="NormalWeb"/>
            </w:pPr>
            <w:r>
              <w:t>Non-polio enterovirus</w:t>
            </w:r>
          </w:p>
        </w:tc>
        <w:tc>
          <w:tcPr>
            <w:tcW w:w="2514" w:type="dxa"/>
            <w:hideMark/>
          </w:tcPr>
          <w:p w14:paraId="1091F30C" w14:textId="77777777" w:rsidR="0033544B" w:rsidRDefault="0033544B" w:rsidP="006008CE">
            <w:pPr>
              <w:pStyle w:val="NormalWeb"/>
              <w:jc w:val="center"/>
            </w:pPr>
            <w:r>
              <w:t>5</w:t>
            </w:r>
          </w:p>
        </w:tc>
        <w:tc>
          <w:tcPr>
            <w:tcW w:w="2515" w:type="dxa"/>
            <w:hideMark/>
          </w:tcPr>
          <w:p w14:paraId="4A25D97E" w14:textId="77777777" w:rsidR="0033544B" w:rsidRDefault="0033544B" w:rsidP="006008CE">
            <w:pPr>
              <w:pStyle w:val="NormalWeb"/>
              <w:jc w:val="center"/>
            </w:pPr>
            <w:r>
              <w:t>3</w:t>
            </w:r>
          </w:p>
        </w:tc>
        <w:tc>
          <w:tcPr>
            <w:tcW w:w="2515" w:type="dxa"/>
            <w:hideMark/>
          </w:tcPr>
          <w:p w14:paraId="29159137" w14:textId="77777777" w:rsidR="0033544B" w:rsidRDefault="0033544B" w:rsidP="006008CE">
            <w:pPr>
              <w:pStyle w:val="NormalWeb"/>
              <w:jc w:val="center"/>
            </w:pPr>
            <w:r>
              <w:t>112</w:t>
            </w:r>
          </w:p>
        </w:tc>
        <w:tc>
          <w:tcPr>
            <w:tcW w:w="2515" w:type="dxa"/>
            <w:hideMark/>
          </w:tcPr>
          <w:p w14:paraId="3B70A7AC" w14:textId="77777777" w:rsidR="0033544B" w:rsidRDefault="0033544B" w:rsidP="006008CE">
            <w:pPr>
              <w:pStyle w:val="NormalWeb"/>
              <w:jc w:val="center"/>
            </w:pPr>
            <w:r>
              <w:t>26</w:t>
            </w:r>
          </w:p>
        </w:tc>
        <w:tc>
          <w:tcPr>
            <w:tcW w:w="2515" w:type="dxa"/>
            <w:hideMark/>
          </w:tcPr>
          <w:p w14:paraId="6BDD5044" w14:textId="77777777" w:rsidR="0033544B" w:rsidRDefault="0033544B" w:rsidP="006008CE">
            <w:pPr>
              <w:pStyle w:val="NormalWeb"/>
              <w:jc w:val="center"/>
            </w:pPr>
            <w:r>
              <w:t>146</w:t>
            </w:r>
          </w:p>
        </w:tc>
      </w:tr>
      <w:tr w:rsidR="0033544B" w14:paraId="00936A49" w14:textId="77777777" w:rsidTr="00F4482D">
        <w:tc>
          <w:tcPr>
            <w:tcW w:w="2410" w:type="dxa"/>
            <w:hideMark/>
          </w:tcPr>
          <w:p w14:paraId="274544D4" w14:textId="77777777" w:rsidR="0033544B" w:rsidRDefault="0033544B">
            <w:pPr>
              <w:pStyle w:val="NormalWeb"/>
            </w:pPr>
            <w:r>
              <w:t>Enterovirus</w:t>
            </w:r>
          </w:p>
        </w:tc>
        <w:tc>
          <w:tcPr>
            <w:tcW w:w="2514" w:type="dxa"/>
            <w:hideMark/>
          </w:tcPr>
          <w:p w14:paraId="276E399B" w14:textId="77777777" w:rsidR="0033544B" w:rsidRDefault="0033544B" w:rsidP="006008CE">
            <w:pPr>
              <w:pStyle w:val="NormalWeb"/>
              <w:jc w:val="center"/>
            </w:pPr>
            <w:r>
              <w:t>0</w:t>
            </w:r>
          </w:p>
        </w:tc>
        <w:tc>
          <w:tcPr>
            <w:tcW w:w="2515" w:type="dxa"/>
            <w:hideMark/>
          </w:tcPr>
          <w:p w14:paraId="4AA4B8D0" w14:textId="77777777" w:rsidR="0033544B" w:rsidRDefault="0033544B" w:rsidP="006008CE">
            <w:pPr>
              <w:pStyle w:val="NormalWeb"/>
              <w:jc w:val="center"/>
            </w:pPr>
            <w:r>
              <w:t>0</w:t>
            </w:r>
          </w:p>
        </w:tc>
        <w:tc>
          <w:tcPr>
            <w:tcW w:w="2515" w:type="dxa"/>
            <w:hideMark/>
          </w:tcPr>
          <w:p w14:paraId="2C52E4AC" w14:textId="77777777" w:rsidR="0033544B" w:rsidRDefault="0033544B" w:rsidP="006008CE">
            <w:pPr>
              <w:pStyle w:val="NormalWeb"/>
              <w:jc w:val="center"/>
            </w:pPr>
            <w:r>
              <w:t>35</w:t>
            </w:r>
          </w:p>
        </w:tc>
        <w:tc>
          <w:tcPr>
            <w:tcW w:w="2515" w:type="dxa"/>
            <w:hideMark/>
          </w:tcPr>
          <w:p w14:paraId="031B5D8D" w14:textId="77777777" w:rsidR="0033544B" w:rsidRDefault="0033544B" w:rsidP="006008CE">
            <w:pPr>
              <w:pStyle w:val="NormalWeb"/>
              <w:jc w:val="center"/>
            </w:pPr>
            <w:r>
              <w:t>1</w:t>
            </w:r>
          </w:p>
        </w:tc>
        <w:tc>
          <w:tcPr>
            <w:tcW w:w="2515" w:type="dxa"/>
            <w:hideMark/>
          </w:tcPr>
          <w:p w14:paraId="4BE08D24" w14:textId="77777777" w:rsidR="0033544B" w:rsidRDefault="0033544B" w:rsidP="006008CE">
            <w:pPr>
              <w:pStyle w:val="NormalWeb"/>
              <w:jc w:val="center"/>
            </w:pPr>
            <w:r>
              <w:t>36</w:t>
            </w:r>
          </w:p>
        </w:tc>
      </w:tr>
      <w:tr w:rsidR="0033544B" w14:paraId="785F537C" w14:textId="77777777" w:rsidTr="00F4482D">
        <w:trPr>
          <w:cnfStyle w:val="000000010000" w:firstRow="0" w:lastRow="0" w:firstColumn="0" w:lastColumn="0" w:oddVBand="0" w:evenVBand="0" w:oddHBand="0" w:evenHBand="1" w:firstRowFirstColumn="0" w:firstRowLastColumn="0" w:lastRowFirstColumn="0" w:lastRowLastColumn="0"/>
        </w:trPr>
        <w:tc>
          <w:tcPr>
            <w:tcW w:w="2410" w:type="dxa"/>
            <w:hideMark/>
          </w:tcPr>
          <w:p w14:paraId="32613296" w14:textId="77777777" w:rsidR="0033544B" w:rsidRDefault="0033544B">
            <w:pPr>
              <w:pStyle w:val="NormalWeb"/>
            </w:pPr>
            <w:r>
              <w:t>Rhinovirus</w:t>
            </w:r>
          </w:p>
        </w:tc>
        <w:tc>
          <w:tcPr>
            <w:tcW w:w="2514" w:type="dxa"/>
            <w:hideMark/>
          </w:tcPr>
          <w:p w14:paraId="55DE6395" w14:textId="77777777" w:rsidR="0033544B" w:rsidRDefault="0033544B" w:rsidP="006008CE">
            <w:pPr>
              <w:pStyle w:val="NormalWeb"/>
              <w:jc w:val="center"/>
            </w:pPr>
            <w:r>
              <w:t>0</w:t>
            </w:r>
          </w:p>
        </w:tc>
        <w:tc>
          <w:tcPr>
            <w:tcW w:w="2515" w:type="dxa"/>
            <w:hideMark/>
          </w:tcPr>
          <w:p w14:paraId="4F9F2E39" w14:textId="77777777" w:rsidR="0033544B" w:rsidRDefault="0033544B" w:rsidP="006008CE">
            <w:pPr>
              <w:pStyle w:val="NormalWeb"/>
              <w:jc w:val="center"/>
            </w:pPr>
            <w:r>
              <w:t>0</w:t>
            </w:r>
          </w:p>
        </w:tc>
        <w:tc>
          <w:tcPr>
            <w:tcW w:w="2515" w:type="dxa"/>
            <w:hideMark/>
          </w:tcPr>
          <w:p w14:paraId="28BD0FD5" w14:textId="77777777" w:rsidR="0033544B" w:rsidRDefault="0033544B" w:rsidP="006008CE">
            <w:pPr>
              <w:pStyle w:val="NormalWeb"/>
              <w:jc w:val="center"/>
            </w:pPr>
            <w:r>
              <w:t>3</w:t>
            </w:r>
          </w:p>
        </w:tc>
        <w:tc>
          <w:tcPr>
            <w:tcW w:w="2515" w:type="dxa"/>
            <w:hideMark/>
          </w:tcPr>
          <w:p w14:paraId="78153106" w14:textId="77777777" w:rsidR="0033544B" w:rsidRDefault="0033544B" w:rsidP="006008CE">
            <w:pPr>
              <w:pStyle w:val="NormalWeb"/>
              <w:jc w:val="center"/>
            </w:pPr>
            <w:r>
              <w:t>0</w:t>
            </w:r>
          </w:p>
        </w:tc>
        <w:tc>
          <w:tcPr>
            <w:tcW w:w="2515" w:type="dxa"/>
            <w:hideMark/>
          </w:tcPr>
          <w:p w14:paraId="60069A6E" w14:textId="77777777" w:rsidR="0033544B" w:rsidRDefault="0033544B" w:rsidP="006008CE">
            <w:pPr>
              <w:pStyle w:val="NormalWeb"/>
              <w:jc w:val="center"/>
            </w:pPr>
            <w:r>
              <w:t>3</w:t>
            </w:r>
          </w:p>
        </w:tc>
      </w:tr>
      <w:tr w:rsidR="0033544B" w14:paraId="22F6CB81" w14:textId="77777777" w:rsidTr="00F4482D">
        <w:tc>
          <w:tcPr>
            <w:tcW w:w="2410" w:type="dxa"/>
            <w:hideMark/>
          </w:tcPr>
          <w:p w14:paraId="7C12C0F7" w14:textId="77777777" w:rsidR="0033544B" w:rsidRDefault="0033544B">
            <w:pPr>
              <w:pStyle w:val="NormalWeb"/>
            </w:pPr>
            <w:r>
              <w:t>No enterovirus identified</w:t>
            </w:r>
          </w:p>
        </w:tc>
        <w:tc>
          <w:tcPr>
            <w:tcW w:w="2514" w:type="dxa"/>
            <w:hideMark/>
          </w:tcPr>
          <w:p w14:paraId="7681CCEC" w14:textId="77777777" w:rsidR="0033544B" w:rsidRDefault="0033544B" w:rsidP="006008CE">
            <w:pPr>
              <w:pStyle w:val="NormalWeb"/>
              <w:jc w:val="center"/>
            </w:pPr>
            <w:r>
              <w:t>68</w:t>
            </w:r>
          </w:p>
        </w:tc>
        <w:tc>
          <w:tcPr>
            <w:tcW w:w="2515" w:type="dxa"/>
            <w:hideMark/>
          </w:tcPr>
          <w:p w14:paraId="6C9F6A0D" w14:textId="77777777" w:rsidR="0033544B" w:rsidRDefault="0033544B" w:rsidP="006008CE">
            <w:pPr>
              <w:pStyle w:val="NormalWeb"/>
              <w:jc w:val="center"/>
            </w:pPr>
            <w:r>
              <w:t>3</w:t>
            </w:r>
          </w:p>
        </w:tc>
        <w:tc>
          <w:tcPr>
            <w:tcW w:w="2515" w:type="dxa"/>
            <w:hideMark/>
          </w:tcPr>
          <w:p w14:paraId="3AB4595A" w14:textId="77777777" w:rsidR="0033544B" w:rsidRDefault="0033544B" w:rsidP="006008CE">
            <w:pPr>
              <w:pStyle w:val="NormalWeb"/>
              <w:jc w:val="center"/>
            </w:pPr>
            <w:r>
              <w:t>25</w:t>
            </w:r>
          </w:p>
        </w:tc>
        <w:tc>
          <w:tcPr>
            <w:tcW w:w="2515" w:type="dxa"/>
            <w:hideMark/>
          </w:tcPr>
          <w:p w14:paraId="33D4A970" w14:textId="77777777" w:rsidR="0033544B" w:rsidRDefault="0033544B" w:rsidP="006008CE">
            <w:pPr>
              <w:pStyle w:val="NormalWeb"/>
              <w:jc w:val="center"/>
            </w:pPr>
            <w:r>
              <w:t>0</w:t>
            </w:r>
          </w:p>
        </w:tc>
        <w:tc>
          <w:tcPr>
            <w:tcW w:w="2515" w:type="dxa"/>
            <w:hideMark/>
          </w:tcPr>
          <w:p w14:paraId="0074FC11" w14:textId="77777777" w:rsidR="0033544B" w:rsidRDefault="0033544B" w:rsidP="006008CE">
            <w:pPr>
              <w:pStyle w:val="NormalWeb"/>
              <w:jc w:val="center"/>
            </w:pPr>
            <w:r>
              <w:t>96</w:t>
            </w:r>
          </w:p>
        </w:tc>
      </w:tr>
      <w:tr w:rsidR="0033544B" w:rsidRPr="008E73C2" w14:paraId="2D3A261B" w14:textId="77777777" w:rsidTr="00F4482D">
        <w:trPr>
          <w:cnfStyle w:val="000000010000" w:firstRow="0" w:lastRow="0" w:firstColumn="0" w:lastColumn="0" w:oddVBand="0" w:evenVBand="0" w:oddHBand="0" w:evenHBand="1" w:firstRowFirstColumn="0" w:firstRowLastColumn="0" w:lastRowFirstColumn="0" w:lastRowLastColumn="0"/>
        </w:trPr>
        <w:tc>
          <w:tcPr>
            <w:tcW w:w="2410" w:type="dxa"/>
            <w:shd w:val="clear" w:color="auto" w:fill="FDE9D9" w:themeFill="accent6" w:themeFillTint="33"/>
            <w:hideMark/>
          </w:tcPr>
          <w:p w14:paraId="70E9D799" w14:textId="77777777" w:rsidR="0033544B" w:rsidRPr="008E73C2" w:rsidRDefault="0033544B">
            <w:pPr>
              <w:pStyle w:val="NormalWeb"/>
              <w:rPr>
                <w:b/>
              </w:rPr>
            </w:pPr>
            <w:r w:rsidRPr="008E73C2">
              <w:rPr>
                <w:b/>
              </w:rPr>
              <w:t>Total</w:t>
            </w:r>
          </w:p>
        </w:tc>
        <w:tc>
          <w:tcPr>
            <w:tcW w:w="2514" w:type="dxa"/>
            <w:shd w:val="clear" w:color="auto" w:fill="FDE9D9" w:themeFill="accent6" w:themeFillTint="33"/>
            <w:hideMark/>
          </w:tcPr>
          <w:p w14:paraId="5600F5B7" w14:textId="77777777" w:rsidR="0033544B" w:rsidRPr="008E73C2" w:rsidRDefault="0033544B" w:rsidP="006008CE">
            <w:pPr>
              <w:pStyle w:val="NormalWeb"/>
              <w:jc w:val="center"/>
              <w:rPr>
                <w:b/>
              </w:rPr>
            </w:pPr>
            <w:r w:rsidRPr="008E73C2">
              <w:rPr>
                <w:b/>
              </w:rPr>
              <w:t>73</w:t>
            </w:r>
          </w:p>
        </w:tc>
        <w:tc>
          <w:tcPr>
            <w:tcW w:w="2515" w:type="dxa"/>
            <w:shd w:val="clear" w:color="auto" w:fill="FDE9D9" w:themeFill="accent6" w:themeFillTint="33"/>
            <w:hideMark/>
          </w:tcPr>
          <w:p w14:paraId="7DDF49B7" w14:textId="77777777" w:rsidR="0033544B" w:rsidRPr="008E73C2" w:rsidRDefault="0033544B" w:rsidP="006008CE">
            <w:pPr>
              <w:pStyle w:val="NormalWeb"/>
              <w:jc w:val="center"/>
              <w:rPr>
                <w:b/>
              </w:rPr>
            </w:pPr>
            <w:r w:rsidRPr="008E73C2">
              <w:rPr>
                <w:b/>
              </w:rPr>
              <w:t>6</w:t>
            </w:r>
          </w:p>
        </w:tc>
        <w:tc>
          <w:tcPr>
            <w:tcW w:w="2515" w:type="dxa"/>
            <w:shd w:val="clear" w:color="auto" w:fill="FDE9D9" w:themeFill="accent6" w:themeFillTint="33"/>
            <w:hideMark/>
          </w:tcPr>
          <w:p w14:paraId="7A1BE252" w14:textId="77777777" w:rsidR="0033544B" w:rsidRPr="008E73C2" w:rsidRDefault="0033544B" w:rsidP="006008CE">
            <w:pPr>
              <w:pStyle w:val="NormalWeb"/>
              <w:jc w:val="center"/>
              <w:rPr>
                <w:b/>
              </w:rPr>
            </w:pPr>
            <w:r w:rsidRPr="008E73C2">
              <w:rPr>
                <w:b/>
              </w:rPr>
              <w:t>185</w:t>
            </w:r>
          </w:p>
        </w:tc>
        <w:tc>
          <w:tcPr>
            <w:tcW w:w="2515" w:type="dxa"/>
            <w:shd w:val="clear" w:color="auto" w:fill="FDE9D9" w:themeFill="accent6" w:themeFillTint="33"/>
            <w:hideMark/>
          </w:tcPr>
          <w:p w14:paraId="1AC652E9" w14:textId="77777777" w:rsidR="0033544B" w:rsidRPr="008E73C2" w:rsidRDefault="0033544B" w:rsidP="006008CE">
            <w:pPr>
              <w:pStyle w:val="NormalWeb"/>
              <w:jc w:val="center"/>
              <w:rPr>
                <w:b/>
              </w:rPr>
            </w:pPr>
            <w:r w:rsidRPr="008E73C2">
              <w:rPr>
                <w:b/>
              </w:rPr>
              <w:t>29</w:t>
            </w:r>
          </w:p>
        </w:tc>
        <w:tc>
          <w:tcPr>
            <w:tcW w:w="2515" w:type="dxa"/>
            <w:shd w:val="clear" w:color="auto" w:fill="FDE9D9" w:themeFill="accent6" w:themeFillTint="33"/>
            <w:hideMark/>
          </w:tcPr>
          <w:p w14:paraId="45677682" w14:textId="77777777" w:rsidR="0033544B" w:rsidRPr="008E73C2" w:rsidRDefault="0033544B" w:rsidP="006008CE">
            <w:pPr>
              <w:pStyle w:val="NormalWeb"/>
              <w:jc w:val="center"/>
              <w:rPr>
                <w:b/>
              </w:rPr>
            </w:pPr>
            <w:r w:rsidRPr="008E73C2">
              <w:rPr>
                <w:b/>
              </w:rPr>
              <w:t>293</w:t>
            </w:r>
          </w:p>
        </w:tc>
      </w:tr>
    </w:tbl>
    <w:p w14:paraId="2AD49B39" w14:textId="77777777" w:rsidR="00657A3B" w:rsidRDefault="00657A3B" w:rsidP="00657A3B">
      <w:pPr>
        <w:pStyle w:val="CDIFigures"/>
        <w:sectPr w:rsidR="00657A3B" w:rsidSect="00657A3B">
          <w:pgSz w:w="16838" w:h="11906" w:orient="landscape"/>
          <w:pgMar w:top="720" w:right="720" w:bottom="720" w:left="1134" w:header="709" w:footer="284" w:gutter="0"/>
          <w:cols w:space="708"/>
          <w:titlePg/>
          <w:docGrid w:linePitch="360"/>
        </w:sectPr>
      </w:pPr>
    </w:p>
    <w:p w14:paraId="3953A323" w14:textId="77777777" w:rsidR="0033544B" w:rsidRDefault="0033544B" w:rsidP="00657A3B">
      <w:pPr>
        <w:pStyle w:val="CDIFigures"/>
      </w:pPr>
      <w:r>
        <w:lastRenderedPageBreak/>
        <w:t>Table 4: Enterovirus test results from the NERL Australia, 1995 to 2015</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enterovirus testing at the National Enterovirus Reference Laboratory 1995 to 2015."/>
      </w:tblPr>
      <w:tblGrid>
        <w:gridCol w:w="851"/>
        <w:gridCol w:w="1134"/>
        <w:gridCol w:w="1559"/>
        <w:gridCol w:w="1843"/>
        <w:gridCol w:w="1843"/>
        <w:gridCol w:w="1701"/>
        <w:gridCol w:w="1535"/>
      </w:tblGrid>
      <w:tr w:rsidR="00E23347" w:rsidRPr="00E23347" w14:paraId="61197DEF" w14:textId="77777777" w:rsidTr="00566BE5">
        <w:trPr>
          <w:cnfStyle w:val="100000000000" w:firstRow="1" w:lastRow="0" w:firstColumn="0" w:lastColumn="0" w:oddVBand="0" w:evenVBand="0" w:oddHBand="0" w:evenHBand="0" w:firstRowFirstColumn="0" w:firstRowLastColumn="0" w:lastRowFirstColumn="0" w:lastRowLastColumn="0"/>
          <w:tblHeader/>
        </w:trPr>
        <w:tc>
          <w:tcPr>
            <w:tcW w:w="851" w:type="dxa"/>
            <w:vMerge w:val="restart"/>
            <w:tcBorders>
              <w:bottom w:val="single" w:sz="2" w:space="0" w:color="FFFFFF" w:themeColor="background1"/>
              <w:right w:val="single" w:sz="2" w:space="0" w:color="FFFFFF" w:themeColor="background1"/>
            </w:tcBorders>
            <w:hideMark/>
          </w:tcPr>
          <w:p w14:paraId="58A64FDA" w14:textId="77777777" w:rsidR="0033544B" w:rsidRPr="00E23347" w:rsidRDefault="0033544B">
            <w:pPr>
              <w:pStyle w:val="NormalWeb"/>
              <w:rPr>
                <w:color w:val="FFFFFF" w:themeColor="background1"/>
              </w:rPr>
            </w:pPr>
            <w:r w:rsidRPr="00E23347">
              <w:rPr>
                <w:color w:val="FFFFFF" w:themeColor="background1"/>
              </w:rPr>
              <w:t>Year</w:t>
            </w:r>
          </w:p>
        </w:tc>
        <w:tc>
          <w:tcPr>
            <w:tcW w:w="2693" w:type="dxa"/>
            <w:gridSpan w:val="2"/>
            <w:tcBorders>
              <w:left w:val="single" w:sz="2" w:space="0" w:color="FFFFFF" w:themeColor="background1"/>
              <w:bottom w:val="single" w:sz="2" w:space="0" w:color="FFFFFF" w:themeColor="background1"/>
              <w:right w:val="single" w:sz="2" w:space="0" w:color="FFFFFF" w:themeColor="background1"/>
            </w:tcBorders>
            <w:hideMark/>
          </w:tcPr>
          <w:p w14:paraId="7F524BBD" w14:textId="77777777" w:rsidR="0033544B" w:rsidRPr="00E23347" w:rsidRDefault="0033544B" w:rsidP="001C7D4A">
            <w:pPr>
              <w:pStyle w:val="NormalWeb"/>
              <w:jc w:val="center"/>
              <w:rPr>
                <w:color w:val="FFFFFF" w:themeColor="background1"/>
              </w:rPr>
            </w:pPr>
            <w:r w:rsidRPr="00E23347">
              <w:rPr>
                <w:color w:val="FFFFFF" w:themeColor="background1"/>
              </w:rPr>
              <w:t>Poliovirus</w:t>
            </w:r>
          </w:p>
        </w:tc>
        <w:tc>
          <w:tcPr>
            <w:tcW w:w="1843"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133080EF" w14:textId="77777777" w:rsidR="0033544B" w:rsidRPr="00E23347" w:rsidRDefault="0033544B" w:rsidP="001C7D4A">
            <w:pPr>
              <w:pStyle w:val="NormalWeb"/>
              <w:jc w:val="center"/>
              <w:rPr>
                <w:color w:val="FFFFFF" w:themeColor="background1"/>
              </w:rPr>
            </w:pPr>
            <w:r w:rsidRPr="00E23347">
              <w:rPr>
                <w:color w:val="FFFFFF" w:themeColor="background1"/>
              </w:rPr>
              <w:t>Non-polio enterovirus</w:t>
            </w:r>
          </w:p>
        </w:tc>
        <w:tc>
          <w:tcPr>
            <w:tcW w:w="1843"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46CEFA42" w14:textId="77777777" w:rsidR="0033544B" w:rsidRPr="00E23347" w:rsidRDefault="0033544B" w:rsidP="001C7D4A">
            <w:pPr>
              <w:pStyle w:val="NormalWeb"/>
              <w:jc w:val="center"/>
              <w:rPr>
                <w:color w:val="FFFFFF" w:themeColor="background1"/>
              </w:rPr>
            </w:pPr>
            <w:r w:rsidRPr="00E23347">
              <w:rPr>
                <w:color w:val="FFFFFF" w:themeColor="background1"/>
              </w:rPr>
              <w:t>No enterovirus detected</w:t>
            </w:r>
          </w:p>
        </w:tc>
        <w:tc>
          <w:tcPr>
            <w:tcW w:w="1701"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0D63A0FA" w14:textId="77777777" w:rsidR="0033544B" w:rsidRPr="00E23347" w:rsidRDefault="0033544B" w:rsidP="001C7D4A">
            <w:pPr>
              <w:pStyle w:val="NormalWeb"/>
              <w:jc w:val="center"/>
              <w:rPr>
                <w:color w:val="FFFFFF" w:themeColor="background1"/>
              </w:rPr>
            </w:pPr>
            <w:r w:rsidRPr="00E23347">
              <w:rPr>
                <w:color w:val="FFFFFF" w:themeColor="background1"/>
              </w:rPr>
              <w:t xml:space="preserve">EVID results </w:t>
            </w:r>
            <w:proofErr w:type="spellStart"/>
            <w:r w:rsidRPr="00E23347">
              <w:rPr>
                <w:color w:val="FFFFFF" w:themeColor="background1"/>
              </w:rPr>
              <w:t>referred</w:t>
            </w:r>
            <w:r w:rsidRPr="00C07697">
              <w:rPr>
                <w:color w:val="FFFFFF" w:themeColor="background1"/>
                <w:vertAlign w:val="superscript"/>
              </w:rPr>
              <w:t>a</w:t>
            </w:r>
            <w:proofErr w:type="spellEnd"/>
          </w:p>
        </w:tc>
        <w:tc>
          <w:tcPr>
            <w:tcW w:w="1535" w:type="dxa"/>
            <w:vMerge w:val="restart"/>
            <w:tcBorders>
              <w:left w:val="single" w:sz="2" w:space="0" w:color="FFFFFF" w:themeColor="background1"/>
              <w:bottom w:val="single" w:sz="2" w:space="0" w:color="FFFFFF" w:themeColor="background1"/>
            </w:tcBorders>
            <w:hideMark/>
          </w:tcPr>
          <w:p w14:paraId="422358FB" w14:textId="77777777" w:rsidR="0033544B" w:rsidRPr="00E23347" w:rsidRDefault="0033544B" w:rsidP="001C7D4A">
            <w:pPr>
              <w:pStyle w:val="NormalWeb"/>
              <w:jc w:val="center"/>
              <w:rPr>
                <w:color w:val="FFFFFF" w:themeColor="background1"/>
              </w:rPr>
            </w:pPr>
            <w:r w:rsidRPr="00E23347">
              <w:rPr>
                <w:color w:val="FFFFFF" w:themeColor="background1"/>
              </w:rPr>
              <w:t>Total samples reviewed</w:t>
            </w:r>
          </w:p>
        </w:tc>
      </w:tr>
      <w:tr w:rsidR="00E23347" w:rsidRPr="00E23347" w14:paraId="3E9BE972" w14:textId="77777777" w:rsidTr="00566BE5">
        <w:trPr>
          <w:cnfStyle w:val="100000000000" w:firstRow="1" w:lastRow="0" w:firstColumn="0" w:lastColumn="0" w:oddVBand="0" w:evenVBand="0" w:oddHBand="0" w:evenHBand="0" w:firstRowFirstColumn="0" w:firstRowLastColumn="0" w:lastRowFirstColumn="0" w:lastRowLastColumn="0"/>
          <w:tblHeader/>
        </w:trPr>
        <w:tc>
          <w:tcPr>
            <w:tcW w:w="851" w:type="dxa"/>
            <w:vMerge/>
            <w:tcBorders>
              <w:top w:val="single" w:sz="2" w:space="0" w:color="FFFFFF" w:themeColor="background1"/>
              <w:right w:val="single" w:sz="2" w:space="0" w:color="FFFFFF" w:themeColor="background1"/>
            </w:tcBorders>
            <w:hideMark/>
          </w:tcPr>
          <w:p w14:paraId="2A01111E" w14:textId="77777777" w:rsidR="0033544B" w:rsidRPr="00E23347" w:rsidRDefault="0033544B">
            <w:pPr>
              <w:rPr>
                <w:color w:val="FFFFFF" w:themeColor="background1"/>
                <w:sz w:val="24"/>
                <w:szCs w:val="24"/>
              </w:rPr>
            </w:pP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05FA76D5" w14:textId="77777777" w:rsidR="0033544B" w:rsidRPr="00E23347" w:rsidRDefault="0033544B" w:rsidP="001C7D4A">
            <w:pPr>
              <w:pStyle w:val="NormalWeb"/>
              <w:jc w:val="center"/>
              <w:rPr>
                <w:color w:val="FFFFFF" w:themeColor="background1"/>
              </w:rPr>
            </w:pPr>
            <w:r w:rsidRPr="00E23347">
              <w:rPr>
                <w:color w:val="FFFFFF" w:themeColor="background1"/>
              </w:rPr>
              <w:t>Sabin-like</w:t>
            </w:r>
          </w:p>
        </w:tc>
        <w:tc>
          <w:tcPr>
            <w:tcW w:w="1559" w:type="dxa"/>
            <w:tcBorders>
              <w:top w:val="single" w:sz="2" w:space="0" w:color="FFFFFF" w:themeColor="background1"/>
              <w:left w:val="single" w:sz="2" w:space="0" w:color="FFFFFF" w:themeColor="background1"/>
              <w:right w:val="single" w:sz="2" w:space="0" w:color="FFFFFF" w:themeColor="background1"/>
            </w:tcBorders>
            <w:hideMark/>
          </w:tcPr>
          <w:p w14:paraId="74AD6F11" w14:textId="77777777" w:rsidR="0033544B" w:rsidRPr="00E23347" w:rsidRDefault="0033544B" w:rsidP="001C7D4A">
            <w:pPr>
              <w:pStyle w:val="NormalWeb"/>
              <w:jc w:val="center"/>
              <w:rPr>
                <w:color w:val="FFFFFF" w:themeColor="background1"/>
              </w:rPr>
            </w:pPr>
            <w:r w:rsidRPr="00E23347">
              <w:rPr>
                <w:color w:val="FFFFFF" w:themeColor="background1"/>
              </w:rPr>
              <w:t>Non-Sabin-like</w:t>
            </w:r>
          </w:p>
        </w:tc>
        <w:tc>
          <w:tcPr>
            <w:tcW w:w="1843" w:type="dxa"/>
            <w:vMerge/>
            <w:tcBorders>
              <w:top w:val="single" w:sz="2" w:space="0" w:color="FFFFFF" w:themeColor="background1"/>
              <w:left w:val="single" w:sz="2" w:space="0" w:color="FFFFFF" w:themeColor="background1"/>
              <w:right w:val="single" w:sz="2" w:space="0" w:color="FFFFFF" w:themeColor="background1"/>
            </w:tcBorders>
            <w:hideMark/>
          </w:tcPr>
          <w:p w14:paraId="3C8AC707" w14:textId="77777777" w:rsidR="0033544B" w:rsidRPr="00E23347" w:rsidRDefault="0033544B" w:rsidP="001C7D4A">
            <w:pPr>
              <w:jc w:val="center"/>
              <w:rPr>
                <w:color w:val="FFFFFF" w:themeColor="background1"/>
                <w:sz w:val="24"/>
                <w:szCs w:val="24"/>
              </w:rPr>
            </w:pPr>
          </w:p>
        </w:tc>
        <w:tc>
          <w:tcPr>
            <w:tcW w:w="1843" w:type="dxa"/>
            <w:vMerge/>
            <w:tcBorders>
              <w:top w:val="single" w:sz="2" w:space="0" w:color="FFFFFF" w:themeColor="background1"/>
              <w:left w:val="single" w:sz="2" w:space="0" w:color="FFFFFF" w:themeColor="background1"/>
              <w:right w:val="single" w:sz="2" w:space="0" w:color="FFFFFF" w:themeColor="background1"/>
            </w:tcBorders>
            <w:hideMark/>
          </w:tcPr>
          <w:p w14:paraId="33022818" w14:textId="77777777" w:rsidR="0033544B" w:rsidRPr="00E23347" w:rsidRDefault="0033544B" w:rsidP="001C7D4A">
            <w:pPr>
              <w:jc w:val="center"/>
              <w:rPr>
                <w:color w:val="FFFFFF" w:themeColor="background1"/>
                <w:sz w:val="24"/>
                <w:szCs w:val="24"/>
              </w:rPr>
            </w:pPr>
          </w:p>
        </w:tc>
        <w:tc>
          <w:tcPr>
            <w:tcW w:w="1701" w:type="dxa"/>
            <w:vMerge/>
            <w:tcBorders>
              <w:top w:val="single" w:sz="2" w:space="0" w:color="FFFFFF" w:themeColor="background1"/>
              <w:left w:val="single" w:sz="2" w:space="0" w:color="FFFFFF" w:themeColor="background1"/>
              <w:right w:val="single" w:sz="2" w:space="0" w:color="FFFFFF" w:themeColor="background1"/>
            </w:tcBorders>
            <w:hideMark/>
          </w:tcPr>
          <w:p w14:paraId="74C8DE4F" w14:textId="77777777" w:rsidR="0033544B" w:rsidRPr="00E23347" w:rsidRDefault="0033544B" w:rsidP="001C7D4A">
            <w:pPr>
              <w:jc w:val="center"/>
              <w:rPr>
                <w:color w:val="FFFFFF" w:themeColor="background1"/>
                <w:sz w:val="24"/>
                <w:szCs w:val="24"/>
              </w:rPr>
            </w:pPr>
          </w:p>
        </w:tc>
        <w:tc>
          <w:tcPr>
            <w:tcW w:w="1535" w:type="dxa"/>
            <w:vMerge/>
            <w:tcBorders>
              <w:top w:val="single" w:sz="2" w:space="0" w:color="FFFFFF" w:themeColor="background1"/>
              <w:left w:val="single" w:sz="2" w:space="0" w:color="FFFFFF" w:themeColor="background1"/>
            </w:tcBorders>
            <w:hideMark/>
          </w:tcPr>
          <w:p w14:paraId="59056260" w14:textId="77777777" w:rsidR="0033544B" w:rsidRPr="00E23347" w:rsidRDefault="0033544B" w:rsidP="001C7D4A">
            <w:pPr>
              <w:jc w:val="center"/>
              <w:rPr>
                <w:color w:val="FFFFFF" w:themeColor="background1"/>
                <w:sz w:val="24"/>
                <w:szCs w:val="24"/>
              </w:rPr>
            </w:pPr>
          </w:p>
        </w:tc>
      </w:tr>
      <w:tr w:rsidR="0033544B" w14:paraId="21791021" w14:textId="77777777" w:rsidTr="00566BE5">
        <w:tc>
          <w:tcPr>
            <w:tcW w:w="851" w:type="dxa"/>
            <w:tcBorders>
              <w:right w:val="single" w:sz="2" w:space="0" w:color="auto"/>
            </w:tcBorders>
            <w:hideMark/>
          </w:tcPr>
          <w:p w14:paraId="7E579BD1" w14:textId="77777777" w:rsidR="0033544B" w:rsidRDefault="0033544B">
            <w:pPr>
              <w:pStyle w:val="NormalWeb"/>
            </w:pPr>
            <w:r>
              <w:t>1995</w:t>
            </w:r>
          </w:p>
        </w:tc>
        <w:tc>
          <w:tcPr>
            <w:tcW w:w="1134" w:type="dxa"/>
            <w:tcBorders>
              <w:left w:val="single" w:sz="2" w:space="0" w:color="auto"/>
              <w:right w:val="single" w:sz="2" w:space="0" w:color="auto"/>
            </w:tcBorders>
            <w:hideMark/>
          </w:tcPr>
          <w:p w14:paraId="0201A63A" w14:textId="77777777" w:rsidR="0033544B" w:rsidRDefault="0033544B" w:rsidP="001C7D4A">
            <w:pPr>
              <w:pStyle w:val="NormalWeb"/>
              <w:jc w:val="center"/>
            </w:pPr>
            <w:r>
              <w:t>190</w:t>
            </w:r>
          </w:p>
        </w:tc>
        <w:tc>
          <w:tcPr>
            <w:tcW w:w="1559" w:type="dxa"/>
            <w:tcBorders>
              <w:left w:val="single" w:sz="2" w:space="0" w:color="auto"/>
              <w:right w:val="single" w:sz="2" w:space="0" w:color="auto"/>
            </w:tcBorders>
            <w:hideMark/>
          </w:tcPr>
          <w:p w14:paraId="1452B7F2"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44676D39" w14:textId="77777777" w:rsidR="0033544B" w:rsidRDefault="0033544B" w:rsidP="001C7D4A">
            <w:pPr>
              <w:pStyle w:val="NormalWeb"/>
              <w:jc w:val="center"/>
            </w:pPr>
            <w:r>
              <w:t>200</w:t>
            </w:r>
          </w:p>
        </w:tc>
        <w:tc>
          <w:tcPr>
            <w:tcW w:w="1843" w:type="dxa"/>
            <w:tcBorders>
              <w:left w:val="single" w:sz="2" w:space="0" w:color="auto"/>
              <w:right w:val="single" w:sz="2" w:space="0" w:color="auto"/>
            </w:tcBorders>
            <w:hideMark/>
          </w:tcPr>
          <w:p w14:paraId="4ED5F7ED" w14:textId="77777777" w:rsidR="0033544B" w:rsidRDefault="0033544B" w:rsidP="001C7D4A">
            <w:pPr>
              <w:pStyle w:val="NormalWeb"/>
              <w:jc w:val="center"/>
            </w:pPr>
            <w:r>
              <w:t>13</w:t>
            </w:r>
          </w:p>
        </w:tc>
        <w:tc>
          <w:tcPr>
            <w:tcW w:w="1701" w:type="dxa"/>
            <w:tcBorders>
              <w:left w:val="single" w:sz="2" w:space="0" w:color="auto"/>
              <w:right w:val="single" w:sz="2" w:space="0" w:color="auto"/>
            </w:tcBorders>
            <w:hideMark/>
          </w:tcPr>
          <w:p w14:paraId="01951F3C" w14:textId="77777777" w:rsidR="0033544B" w:rsidRDefault="0033544B" w:rsidP="001C7D4A">
            <w:pPr>
              <w:pStyle w:val="NormalWeb"/>
              <w:jc w:val="center"/>
            </w:pPr>
            <w:r>
              <w:t>0</w:t>
            </w:r>
          </w:p>
        </w:tc>
        <w:tc>
          <w:tcPr>
            <w:tcW w:w="1535" w:type="dxa"/>
            <w:tcBorders>
              <w:left w:val="single" w:sz="2" w:space="0" w:color="auto"/>
            </w:tcBorders>
            <w:hideMark/>
          </w:tcPr>
          <w:p w14:paraId="50DBF5FF" w14:textId="77777777" w:rsidR="0033544B" w:rsidRDefault="0033544B" w:rsidP="001C7D4A">
            <w:pPr>
              <w:pStyle w:val="NormalWeb"/>
              <w:jc w:val="center"/>
            </w:pPr>
            <w:r>
              <w:t>403</w:t>
            </w:r>
          </w:p>
        </w:tc>
      </w:tr>
      <w:tr w:rsidR="0033544B" w14:paraId="212DE307" w14:textId="77777777" w:rsidTr="00566BE5">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3C6C94C9" w14:textId="77777777" w:rsidR="0033544B" w:rsidRDefault="0033544B">
            <w:pPr>
              <w:pStyle w:val="NormalWeb"/>
            </w:pPr>
            <w:r>
              <w:t>1996</w:t>
            </w:r>
          </w:p>
        </w:tc>
        <w:tc>
          <w:tcPr>
            <w:tcW w:w="1134" w:type="dxa"/>
            <w:tcBorders>
              <w:left w:val="single" w:sz="2" w:space="0" w:color="auto"/>
              <w:right w:val="single" w:sz="2" w:space="0" w:color="auto"/>
            </w:tcBorders>
            <w:hideMark/>
          </w:tcPr>
          <w:p w14:paraId="2C94B1D8" w14:textId="77777777" w:rsidR="0033544B" w:rsidRDefault="0033544B" w:rsidP="001C7D4A">
            <w:pPr>
              <w:pStyle w:val="NormalWeb"/>
              <w:jc w:val="center"/>
            </w:pPr>
            <w:r>
              <w:t>224</w:t>
            </w:r>
          </w:p>
        </w:tc>
        <w:tc>
          <w:tcPr>
            <w:tcW w:w="1559" w:type="dxa"/>
            <w:tcBorders>
              <w:left w:val="single" w:sz="2" w:space="0" w:color="auto"/>
              <w:right w:val="single" w:sz="2" w:space="0" w:color="auto"/>
            </w:tcBorders>
            <w:hideMark/>
          </w:tcPr>
          <w:p w14:paraId="5F77889A"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07C073AF" w14:textId="77777777" w:rsidR="0033544B" w:rsidRDefault="0033544B" w:rsidP="001C7D4A">
            <w:pPr>
              <w:pStyle w:val="NormalWeb"/>
              <w:jc w:val="center"/>
            </w:pPr>
            <w:r>
              <w:t>198</w:t>
            </w:r>
          </w:p>
        </w:tc>
        <w:tc>
          <w:tcPr>
            <w:tcW w:w="1843" w:type="dxa"/>
            <w:tcBorders>
              <w:left w:val="single" w:sz="2" w:space="0" w:color="auto"/>
              <w:right w:val="single" w:sz="2" w:space="0" w:color="auto"/>
            </w:tcBorders>
            <w:hideMark/>
          </w:tcPr>
          <w:p w14:paraId="7D22BE16" w14:textId="77777777" w:rsidR="0033544B" w:rsidRDefault="0033544B" w:rsidP="001C7D4A">
            <w:pPr>
              <w:pStyle w:val="NormalWeb"/>
              <w:jc w:val="center"/>
            </w:pPr>
            <w:r>
              <w:t>9</w:t>
            </w:r>
          </w:p>
        </w:tc>
        <w:tc>
          <w:tcPr>
            <w:tcW w:w="1701" w:type="dxa"/>
            <w:tcBorders>
              <w:left w:val="single" w:sz="2" w:space="0" w:color="auto"/>
              <w:right w:val="single" w:sz="2" w:space="0" w:color="auto"/>
            </w:tcBorders>
            <w:hideMark/>
          </w:tcPr>
          <w:p w14:paraId="38E35711" w14:textId="77777777" w:rsidR="0033544B" w:rsidRDefault="0033544B" w:rsidP="001C7D4A">
            <w:pPr>
              <w:pStyle w:val="NormalWeb"/>
              <w:jc w:val="center"/>
            </w:pPr>
            <w:r>
              <w:t>0</w:t>
            </w:r>
          </w:p>
        </w:tc>
        <w:tc>
          <w:tcPr>
            <w:tcW w:w="1535" w:type="dxa"/>
            <w:tcBorders>
              <w:left w:val="single" w:sz="2" w:space="0" w:color="auto"/>
            </w:tcBorders>
            <w:hideMark/>
          </w:tcPr>
          <w:p w14:paraId="048FF16F" w14:textId="77777777" w:rsidR="0033544B" w:rsidRDefault="0033544B" w:rsidP="001C7D4A">
            <w:pPr>
              <w:pStyle w:val="NormalWeb"/>
              <w:jc w:val="center"/>
            </w:pPr>
            <w:r>
              <w:t>431</w:t>
            </w:r>
          </w:p>
        </w:tc>
      </w:tr>
      <w:tr w:rsidR="0033544B" w14:paraId="789F10BE" w14:textId="77777777" w:rsidTr="00566BE5">
        <w:tc>
          <w:tcPr>
            <w:tcW w:w="851" w:type="dxa"/>
            <w:tcBorders>
              <w:right w:val="single" w:sz="2" w:space="0" w:color="auto"/>
            </w:tcBorders>
            <w:hideMark/>
          </w:tcPr>
          <w:p w14:paraId="786B43C1" w14:textId="77777777" w:rsidR="0033544B" w:rsidRDefault="0033544B">
            <w:pPr>
              <w:pStyle w:val="NormalWeb"/>
            </w:pPr>
            <w:r>
              <w:t>1997</w:t>
            </w:r>
          </w:p>
        </w:tc>
        <w:tc>
          <w:tcPr>
            <w:tcW w:w="1134" w:type="dxa"/>
            <w:tcBorders>
              <w:left w:val="single" w:sz="2" w:space="0" w:color="auto"/>
              <w:right w:val="single" w:sz="2" w:space="0" w:color="auto"/>
            </w:tcBorders>
            <w:hideMark/>
          </w:tcPr>
          <w:p w14:paraId="46133681" w14:textId="77777777" w:rsidR="0033544B" w:rsidRDefault="0033544B" w:rsidP="001C7D4A">
            <w:pPr>
              <w:pStyle w:val="NormalWeb"/>
              <w:jc w:val="center"/>
            </w:pPr>
            <w:r>
              <w:t>124</w:t>
            </w:r>
          </w:p>
        </w:tc>
        <w:tc>
          <w:tcPr>
            <w:tcW w:w="1559" w:type="dxa"/>
            <w:tcBorders>
              <w:left w:val="single" w:sz="2" w:space="0" w:color="auto"/>
              <w:right w:val="single" w:sz="2" w:space="0" w:color="auto"/>
            </w:tcBorders>
            <w:hideMark/>
          </w:tcPr>
          <w:p w14:paraId="6A1EC236"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390D792B" w14:textId="77777777" w:rsidR="0033544B" w:rsidRDefault="0033544B" w:rsidP="001C7D4A">
            <w:pPr>
              <w:pStyle w:val="NormalWeb"/>
              <w:jc w:val="center"/>
            </w:pPr>
            <w:r>
              <w:t>76</w:t>
            </w:r>
          </w:p>
        </w:tc>
        <w:tc>
          <w:tcPr>
            <w:tcW w:w="1843" w:type="dxa"/>
            <w:tcBorders>
              <w:left w:val="single" w:sz="2" w:space="0" w:color="auto"/>
              <w:right w:val="single" w:sz="2" w:space="0" w:color="auto"/>
            </w:tcBorders>
            <w:hideMark/>
          </w:tcPr>
          <w:p w14:paraId="54EE4182" w14:textId="77777777" w:rsidR="0033544B" w:rsidRDefault="0033544B" w:rsidP="001C7D4A">
            <w:pPr>
              <w:pStyle w:val="NormalWeb"/>
              <w:jc w:val="center"/>
            </w:pPr>
            <w:r>
              <w:t>0</w:t>
            </w:r>
          </w:p>
        </w:tc>
        <w:tc>
          <w:tcPr>
            <w:tcW w:w="1701" w:type="dxa"/>
            <w:tcBorders>
              <w:left w:val="single" w:sz="2" w:space="0" w:color="auto"/>
              <w:right w:val="single" w:sz="2" w:space="0" w:color="auto"/>
            </w:tcBorders>
            <w:hideMark/>
          </w:tcPr>
          <w:p w14:paraId="5353FEBA" w14:textId="77777777" w:rsidR="0033544B" w:rsidRDefault="0033544B" w:rsidP="001C7D4A">
            <w:pPr>
              <w:pStyle w:val="NormalWeb"/>
              <w:jc w:val="center"/>
            </w:pPr>
            <w:r>
              <w:t>0</w:t>
            </w:r>
          </w:p>
        </w:tc>
        <w:tc>
          <w:tcPr>
            <w:tcW w:w="1535" w:type="dxa"/>
            <w:tcBorders>
              <w:left w:val="single" w:sz="2" w:space="0" w:color="auto"/>
            </w:tcBorders>
            <w:hideMark/>
          </w:tcPr>
          <w:p w14:paraId="586011FE" w14:textId="77777777" w:rsidR="0033544B" w:rsidRDefault="0033544B" w:rsidP="001C7D4A">
            <w:pPr>
              <w:pStyle w:val="NormalWeb"/>
              <w:jc w:val="center"/>
            </w:pPr>
            <w:r>
              <w:t>200</w:t>
            </w:r>
          </w:p>
        </w:tc>
      </w:tr>
      <w:tr w:rsidR="0033544B" w14:paraId="77A20549" w14:textId="77777777" w:rsidTr="00566BE5">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09523034" w14:textId="77777777" w:rsidR="0033544B" w:rsidRDefault="0033544B">
            <w:pPr>
              <w:pStyle w:val="NormalWeb"/>
            </w:pPr>
            <w:r>
              <w:t>1998</w:t>
            </w:r>
          </w:p>
        </w:tc>
        <w:tc>
          <w:tcPr>
            <w:tcW w:w="1134" w:type="dxa"/>
            <w:tcBorders>
              <w:left w:val="single" w:sz="2" w:space="0" w:color="auto"/>
              <w:right w:val="single" w:sz="2" w:space="0" w:color="auto"/>
            </w:tcBorders>
            <w:hideMark/>
          </w:tcPr>
          <w:p w14:paraId="310FF303" w14:textId="77777777" w:rsidR="0033544B" w:rsidRDefault="0033544B" w:rsidP="001C7D4A">
            <w:pPr>
              <w:pStyle w:val="NormalWeb"/>
              <w:jc w:val="center"/>
            </w:pPr>
            <w:r>
              <w:t>52</w:t>
            </w:r>
          </w:p>
        </w:tc>
        <w:tc>
          <w:tcPr>
            <w:tcW w:w="1559" w:type="dxa"/>
            <w:tcBorders>
              <w:left w:val="single" w:sz="2" w:space="0" w:color="auto"/>
              <w:right w:val="single" w:sz="2" w:space="0" w:color="auto"/>
            </w:tcBorders>
            <w:hideMark/>
          </w:tcPr>
          <w:p w14:paraId="4BEA95CD"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0181BFE7" w14:textId="77777777" w:rsidR="0033544B" w:rsidRDefault="0033544B" w:rsidP="001C7D4A">
            <w:pPr>
              <w:pStyle w:val="NormalWeb"/>
              <w:jc w:val="center"/>
            </w:pPr>
            <w:r>
              <w:t>15</w:t>
            </w:r>
          </w:p>
        </w:tc>
        <w:tc>
          <w:tcPr>
            <w:tcW w:w="1843" w:type="dxa"/>
            <w:tcBorders>
              <w:left w:val="single" w:sz="2" w:space="0" w:color="auto"/>
              <w:right w:val="single" w:sz="2" w:space="0" w:color="auto"/>
            </w:tcBorders>
            <w:hideMark/>
          </w:tcPr>
          <w:p w14:paraId="69ABC001" w14:textId="77777777" w:rsidR="0033544B" w:rsidRDefault="0033544B" w:rsidP="001C7D4A">
            <w:pPr>
              <w:pStyle w:val="NormalWeb"/>
              <w:jc w:val="center"/>
            </w:pPr>
            <w:r>
              <w:t>4</w:t>
            </w:r>
          </w:p>
        </w:tc>
        <w:tc>
          <w:tcPr>
            <w:tcW w:w="1701" w:type="dxa"/>
            <w:tcBorders>
              <w:left w:val="single" w:sz="2" w:space="0" w:color="auto"/>
              <w:right w:val="single" w:sz="2" w:space="0" w:color="auto"/>
            </w:tcBorders>
            <w:hideMark/>
          </w:tcPr>
          <w:p w14:paraId="7CF1E451" w14:textId="77777777" w:rsidR="0033544B" w:rsidRDefault="0033544B" w:rsidP="001C7D4A">
            <w:pPr>
              <w:pStyle w:val="NormalWeb"/>
              <w:jc w:val="center"/>
            </w:pPr>
            <w:r>
              <w:t>0</w:t>
            </w:r>
          </w:p>
        </w:tc>
        <w:tc>
          <w:tcPr>
            <w:tcW w:w="1535" w:type="dxa"/>
            <w:tcBorders>
              <w:left w:val="single" w:sz="2" w:space="0" w:color="auto"/>
            </w:tcBorders>
            <w:hideMark/>
          </w:tcPr>
          <w:p w14:paraId="66D0E9B0" w14:textId="77777777" w:rsidR="0033544B" w:rsidRDefault="0033544B" w:rsidP="001C7D4A">
            <w:pPr>
              <w:pStyle w:val="NormalWeb"/>
              <w:jc w:val="center"/>
            </w:pPr>
            <w:r>
              <w:t>71</w:t>
            </w:r>
          </w:p>
        </w:tc>
      </w:tr>
      <w:tr w:rsidR="0033544B" w14:paraId="35842BA9" w14:textId="77777777" w:rsidTr="00566BE5">
        <w:tc>
          <w:tcPr>
            <w:tcW w:w="851" w:type="dxa"/>
            <w:tcBorders>
              <w:right w:val="single" w:sz="2" w:space="0" w:color="auto"/>
            </w:tcBorders>
            <w:hideMark/>
          </w:tcPr>
          <w:p w14:paraId="1DB1C77E" w14:textId="77777777" w:rsidR="0033544B" w:rsidRDefault="0033544B">
            <w:pPr>
              <w:pStyle w:val="NormalWeb"/>
            </w:pPr>
            <w:r>
              <w:t>1999</w:t>
            </w:r>
            <w:r w:rsidRPr="00C07697">
              <w:rPr>
                <w:vertAlign w:val="superscript"/>
              </w:rPr>
              <w:t>b</w:t>
            </w:r>
          </w:p>
        </w:tc>
        <w:tc>
          <w:tcPr>
            <w:tcW w:w="1134" w:type="dxa"/>
            <w:tcBorders>
              <w:left w:val="single" w:sz="2" w:space="0" w:color="auto"/>
              <w:right w:val="single" w:sz="2" w:space="0" w:color="auto"/>
            </w:tcBorders>
            <w:hideMark/>
          </w:tcPr>
          <w:p w14:paraId="483EFDEC" w14:textId="77777777" w:rsidR="0033544B" w:rsidRDefault="0033544B" w:rsidP="001C7D4A">
            <w:pPr>
              <w:pStyle w:val="NormalWeb"/>
              <w:jc w:val="center"/>
            </w:pPr>
            <w:r>
              <w:t>60</w:t>
            </w:r>
          </w:p>
        </w:tc>
        <w:tc>
          <w:tcPr>
            <w:tcW w:w="1559" w:type="dxa"/>
            <w:tcBorders>
              <w:left w:val="single" w:sz="2" w:space="0" w:color="auto"/>
              <w:right w:val="single" w:sz="2" w:space="0" w:color="auto"/>
            </w:tcBorders>
            <w:hideMark/>
          </w:tcPr>
          <w:p w14:paraId="33A015B6" w14:textId="77777777" w:rsidR="0033544B" w:rsidRDefault="0033544B" w:rsidP="001C7D4A">
            <w:pPr>
              <w:pStyle w:val="NormalWeb"/>
              <w:jc w:val="center"/>
            </w:pPr>
            <w:r>
              <w:t>1</w:t>
            </w:r>
          </w:p>
        </w:tc>
        <w:tc>
          <w:tcPr>
            <w:tcW w:w="1843" w:type="dxa"/>
            <w:tcBorders>
              <w:left w:val="single" w:sz="2" w:space="0" w:color="auto"/>
              <w:right w:val="single" w:sz="2" w:space="0" w:color="auto"/>
            </w:tcBorders>
            <w:hideMark/>
          </w:tcPr>
          <w:p w14:paraId="1F6DABD4" w14:textId="77777777" w:rsidR="0033544B" w:rsidRDefault="0033544B" w:rsidP="001C7D4A">
            <w:pPr>
              <w:pStyle w:val="NormalWeb"/>
              <w:jc w:val="center"/>
            </w:pPr>
            <w:r>
              <w:t>9</w:t>
            </w:r>
          </w:p>
        </w:tc>
        <w:tc>
          <w:tcPr>
            <w:tcW w:w="1843" w:type="dxa"/>
            <w:tcBorders>
              <w:left w:val="single" w:sz="2" w:space="0" w:color="auto"/>
              <w:right w:val="single" w:sz="2" w:space="0" w:color="auto"/>
            </w:tcBorders>
            <w:hideMark/>
          </w:tcPr>
          <w:p w14:paraId="4D65AD25" w14:textId="77777777" w:rsidR="0033544B" w:rsidRDefault="0033544B" w:rsidP="001C7D4A">
            <w:pPr>
              <w:pStyle w:val="NormalWeb"/>
              <w:jc w:val="center"/>
            </w:pPr>
            <w:r>
              <w:t>9</w:t>
            </w:r>
          </w:p>
        </w:tc>
        <w:tc>
          <w:tcPr>
            <w:tcW w:w="1701" w:type="dxa"/>
            <w:tcBorders>
              <w:left w:val="single" w:sz="2" w:space="0" w:color="auto"/>
              <w:right w:val="single" w:sz="2" w:space="0" w:color="auto"/>
            </w:tcBorders>
            <w:hideMark/>
          </w:tcPr>
          <w:p w14:paraId="50B04912" w14:textId="77777777" w:rsidR="0033544B" w:rsidRDefault="0033544B" w:rsidP="001C7D4A">
            <w:pPr>
              <w:pStyle w:val="NormalWeb"/>
              <w:jc w:val="center"/>
            </w:pPr>
            <w:r>
              <w:t>0</w:t>
            </w:r>
          </w:p>
        </w:tc>
        <w:tc>
          <w:tcPr>
            <w:tcW w:w="1535" w:type="dxa"/>
            <w:tcBorders>
              <w:left w:val="single" w:sz="2" w:space="0" w:color="auto"/>
            </w:tcBorders>
            <w:hideMark/>
          </w:tcPr>
          <w:p w14:paraId="15F00F35" w14:textId="77777777" w:rsidR="0033544B" w:rsidRDefault="0033544B" w:rsidP="001C7D4A">
            <w:pPr>
              <w:pStyle w:val="NormalWeb"/>
              <w:jc w:val="center"/>
            </w:pPr>
            <w:r>
              <w:t>79</w:t>
            </w:r>
          </w:p>
        </w:tc>
      </w:tr>
      <w:tr w:rsidR="0033544B" w14:paraId="3FAD3F67" w14:textId="77777777" w:rsidTr="00566BE5">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2A8BD035" w14:textId="77777777" w:rsidR="0033544B" w:rsidRDefault="0033544B">
            <w:pPr>
              <w:pStyle w:val="NormalWeb"/>
            </w:pPr>
            <w:r>
              <w:t>2000</w:t>
            </w:r>
          </w:p>
        </w:tc>
        <w:tc>
          <w:tcPr>
            <w:tcW w:w="1134" w:type="dxa"/>
            <w:tcBorders>
              <w:left w:val="single" w:sz="2" w:space="0" w:color="auto"/>
              <w:right w:val="single" w:sz="2" w:space="0" w:color="auto"/>
            </w:tcBorders>
            <w:hideMark/>
          </w:tcPr>
          <w:p w14:paraId="50BF449D" w14:textId="77777777" w:rsidR="0033544B" w:rsidRDefault="0033544B" w:rsidP="001C7D4A">
            <w:pPr>
              <w:pStyle w:val="NormalWeb"/>
              <w:jc w:val="center"/>
            </w:pPr>
            <w:r>
              <w:t>45</w:t>
            </w:r>
          </w:p>
        </w:tc>
        <w:tc>
          <w:tcPr>
            <w:tcW w:w="1559" w:type="dxa"/>
            <w:tcBorders>
              <w:left w:val="single" w:sz="2" w:space="0" w:color="auto"/>
              <w:right w:val="single" w:sz="2" w:space="0" w:color="auto"/>
            </w:tcBorders>
            <w:hideMark/>
          </w:tcPr>
          <w:p w14:paraId="54B82030"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36B7B385" w14:textId="77777777" w:rsidR="0033544B" w:rsidRDefault="0033544B" w:rsidP="001C7D4A">
            <w:pPr>
              <w:pStyle w:val="NormalWeb"/>
              <w:jc w:val="center"/>
            </w:pPr>
            <w:r>
              <w:t>44</w:t>
            </w:r>
          </w:p>
        </w:tc>
        <w:tc>
          <w:tcPr>
            <w:tcW w:w="1843" w:type="dxa"/>
            <w:tcBorders>
              <w:left w:val="single" w:sz="2" w:space="0" w:color="auto"/>
              <w:right w:val="single" w:sz="2" w:space="0" w:color="auto"/>
            </w:tcBorders>
            <w:hideMark/>
          </w:tcPr>
          <w:p w14:paraId="406EC63D" w14:textId="77777777" w:rsidR="0033544B" w:rsidRDefault="0033544B" w:rsidP="001C7D4A">
            <w:pPr>
              <w:pStyle w:val="NormalWeb"/>
              <w:jc w:val="center"/>
            </w:pPr>
            <w:r>
              <w:t>47</w:t>
            </w:r>
          </w:p>
        </w:tc>
        <w:tc>
          <w:tcPr>
            <w:tcW w:w="1701" w:type="dxa"/>
            <w:tcBorders>
              <w:left w:val="single" w:sz="2" w:space="0" w:color="auto"/>
              <w:right w:val="single" w:sz="2" w:space="0" w:color="auto"/>
            </w:tcBorders>
            <w:hideMark/>
          </w:tcPr>
          <w:p w14:paraId="74B7F297" w14:textId="77777777" w:rsidR="0033544B" w:rsidRDefault="0033544B" w:rsidP="001C7D4A">
            <w:pPr>
              <w:pStyle w:val="NormalWeb"/>
              <w:jc w:val="center"/>
            </w:pPr>
            <w:r>
              <w:t>0</w:t>
            </w:r>
          </w:p>
        </w:tc>
        <w:tc>
          <w:tcPr>
            <w:tcW w:w="1535" w:type="dxa"/>
            <w:tcBorders>
              <w:left w:val="single" w:sz="2" w:space="0" w:color="auto"/>
            </w:tcBorders>
            <w:hideMark/>
          </w:tcPr>
          <w:p w14:paraId="4FE2824A" w14:textId="77777777" w:rsidR="0033544B" w:rsidRDefault="0033544B" w:rsidP="001C7D4A">
            <w:pPr>
              <w:pStyle w:val="NormalWeb"/>
              <w:jc w:val="center"/>
            </w:pPr>
            <w:r>
              <w:t>136</w:t>
            </w:r>
          </w:p>
        </w:tc>
      </w:tr>
      <w:tr w:rsidR="0033544B" w14:paraId="522707A4" w14:textId="77777777" w:rsidTr="00566BE5">
        <w:tc>
          <w:tcPr>
            <w:tcW w:w="851" w:type="dxa"/>
            <w:tcBorders>
              <w:right w:val="single" w:sz="2" w:space="0" w:color="auto"/>
            </w:tcBorders>
            <w:hideMark/>
          </w:tcPr>
          <w:p w14:paraId="7466292F" w14:textId="77777777" w:rsidR="0033544B" w:rsidRDefault="0033544B">
            <w:pPr>
              <w:pStyle w:val="NormalWeb"/>
            </w:pPr>
            <w:r>
              <w:t>2001</w:t>
            </w:r>
            <w:r w:rsidRPr="00C07697">
              <w:rPr>
                <w:vertAlign w:val="superscript"/>
              </w:rPr>
              <w:t>b</w:t>
            </w:r>
          </w:p>
        </w:tc>
        <w:tc>
          <w:tcPr>
            <w:tcW w:w="1134" w:type="dxa"/>
            <w:tcBorders>
              <w:left w:val="single" w:sz="2" w:space="0" w:color="auto"/>
              <w:right w:val="single" w:sz="2" w:space="0" w:color="auto"/>
            </w:tcBorders>
            <w:hideMark/>
          </w:tcPr>
          <w:p w14:paraId="0E46D6F4" w14:textId="77777777" w:rsidR="0033544B" w:rsidRDefault="0033544B" w:rsidP="001C7D4A">
            <w:pPr>
              <w:pStyle w:val="NormalWeb"/>
              <w:jc w:val="center"/>
            </w:pPr>
            <w:r>
              <w:t>46</w:t>
            </w:r>
          </w:p>
        </w:tc>
        <w:tc>
          <w:tcPr>
            <w:tcW w:w="1559" w:type="dxa"/>
            <w:tcBorders>
              <w:left w:val="single" w:sz="2" w:space="0" w:color="auto"/>
              <w:right w:val="single" w:sz="2" w:space="0" w:color="auto"/>
            </w:tcBorders>
            <w:hideMark/>
          </w:tcPr>
          <w:p w14:paraId="4EB11140" w14:textId="77777777" w:rsidR="0033544B" w:rsidRDefault="0033544B" w:rsidP="001C7D4A">
            <w:pPr>
              <w:pStyle w:val="NormalWeb"/>
              <w:jc w:val="center"/>
            </w:pPr>
            <w:r>
              <w:t>5</w:t>
            </w:r>
          </w:p>
        </w:tc>
        <w:tc>
          <w:tcPr>
            <w:tcW w:w="1843" w:type="dxa"/>
            <w:tcBorders>
              <w:left w:val="single" w:sz="2" w:space="0" w:color="auto"/>
              <w:right w:val="single" w:sz="2" w:space="0" w:color="auto"/>
            </w:tcBorders>
            <w:hideMark/>
          </w:tcPr>
          <w:p w14:paraId="79EFB071" w14:textId="77777777" w:rsidR="0033544B" w:rsidRDefault="0033544B" w:rsidP="001C7D4A">
            <w:pPr>
              <w:pStyle w:val="NormalWeb"/>
              <w:jc w:val="center"/>
            </w:pPr>
            <w:r>
              <w:t>33</w:t>
            </w:r>
          </w:p>
        </w:tc>
        <w:tc>
          <w:tcPr>
            <w:tcW w:w="1843" w:type="dxa"/>
            <w:tcBorders>
              <w:left w:val="single" w:sz="2" w:space="0" w:color="auto"/>
              <w:right w:val="single" w:sz="2" w:space="0" w:color="auto"/>
            </w:tcBorders>
            <w:hideMark/>
          </w:tcPr>
          <w:p w14:paraId="7B50EA57" w14:textId="77777777" w:rsidR="0033544B" w:rsidRDefault="0033544B" w:rsidP="001C7D4A">
            <w:pPr>
              <w:pStyle w:val="NormalWeb"/>
              <w:jc w:val="center"/>
            </w:pPr>
            <w:r>
              <w:t>75</w:t>
            </w:r>
          </w:p>
        </w:tc>
        <w:tc>
          <w:tcPr>
            <w:tcW w:w="1701" w:type="dxa"/>
            <w:tcBorders>
              <w:left w:val="single" w:sz="2" w:space="0" w:color="auto"/>
              <w:right w:val="single" w:sz="2" w:space="0" w:color="auto"/>
            </w:tcBorders>
            <w:hideMark/>
          </w:tcPr>
          <w:p w14:paraId="6A3AFF38" w14:textId="77777777" w:rsidR="0033544B" w:rsidRDefault="0033544B" w:rsidP="001C7D4A">
            <w:pPr>
              <w:pStyle w:val="NormalWeb"/>
              <w:jc w:val="center"/>
            </w:pPr>
            <w:r>
              <w:t>0</w:t>
            </w:r>
          </w:p>
        </w:tc>
        <w:tc>
          <w:tcPr>
            <w:tcW w:w="1535" w:type="dxa"/>
            <w:tcBorders>
              <w:left w:val="single" w:sz="2" w:space="0" w:color="auto"/>
            </w:tcBorders>
            <w:hideMark/>
          </w:tcPr>
          <w:p w14:paraId="745DEBAB" w14:textId="77777777" w:rsidR="0033544B" w:rsidRDefault="0033544B" w:rsidP="001C7D4A">
            <w:pPr>
              <w:pStyle w:val="NormalWeb"/>
              <w:jc w:val="center"/>
            </w:pPr>
            <w:r>
              <w:t>159</w:t>
            </w:r>
          </w:p>
        </w:tc>
      </w:tr>
      <w:tr w:rsidR="0033544B" w14:paraId="77415D07" w14:textId="77777777" w:rsidTr="00566BE5">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3E5CF69F" w14:textId="77777777" w:rsidR="0033544B" w:rsidRDefault="0033544B">
            <w:pPr>
              <w:pStyle w:val="NormalWeb"/>
            </w:pPr>
            <w:r>
              <w:t>2002</w:t>
            </w:r>
          </w:p>
        </w:tc>
        <w:tc>
          <w:tcPr>
            <w:tcW w:w="1134" w:type="dxa"/>
            <w:tcBorders>
              <w:left w:val="single" w:sz="2" w:space="0" w:color="auto"/>
              <w:right w:val="single" w:sz="2" w:space="0" w:color="auto"/>
            </w:tcBorders>
            <w:hideMark/>
          </w:tcPr>
          <w:p w14:paraId="0F6DF5A6" w14:textId="77777777" w:rsidR="0033544B" w:rsidRDefault="0033544B" w:rsidP="001C7D4A">
            <w:pPr>
              <w:pStyle w:val="NormalWeb"/>
              <w:jc w:val="center"/>
            </w:pPr>
            <w:r>
              <w:t>36</w:t>
            </w:r>
          </w:p>
        </w:tc>
        <w:tc>
          <w:tcPr>
            <w:tcW w:w="1559" w:type="dxa"/>
            <w:tcBorders>
              <w:left w:val="single" w:sz="2" w:space="0" w:color="auto"/>
              <w:right w:val="single" w:sz="2" w:space="0" w:color="auto"/>
            </w:tcBorders>
            <w:hideMark/>
          </w:tcPr>
          <w:p w14:paraId="0875AA83"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251B28D3" w14:textId="77777777" w:rsidR="0033544B" w:rsidRDefault="0033544B" w:rsidP="001C7D4A">
            <w:pPr>
              <w:pStyle w:val="NormalWeb"/>
              <w:jc w:val="center"/>
            </w:pPr>
            <w:r>
              <w:t>21</w:t>
            </w:r>
          </w:p>
        </w:tc>
        <w:tc>
          <w:tcPr>
            <w:tcW w:w="1843" w:type="dxa"/>
            <w:tcBorders>
              <w:left w:val="single" w:sz="2" w:space="0" w:color="auto"/>
              <w:right w:val="single" w:sz="2" w:space="0" w:color="auto"/>
            </w:tcBorders>
            <w:hideMark/>
          </w:tcPr>
          <w:p w14:paraId="1DF9FA33" w14:textId="77777777" w:rsidR="0033544B" w:rsidRDefault="0033544B" w:rsidP="001C7D4A">
            <w:pPr>
              <w:pStyle w:val="NormalWeb"/>
              <w:jc w:val="center"/>
            </w:pPr>
            <w:r>
              <w:t>49</w:t>
            </w:r>
          </w:p>
        </w:tc>
        <w:tc>
          <w:tcPr>
            <w:tcW w:w="1701" w:type="dxa"/>
            <w:tcBorders>
              <w:left w:val="single" w:sz="2" w:space="0" w:color="auto"/>
              <w:right w:val="single" w:sz="2" w:space="0" w:color="auto"/>
            </w:tcBorders>
            <w:hideMark/>
          </w:tcPr>
          <w:p w14:paraId="1A003E50" w14:textId="77777777" w:rsidR="0033544B" w:rsidRDefault="0033544B" w:rsidP="001C7D4A">
            <w:pPr>
              <w:pStyle w:val="NormalWeb"/>
              <w:jc w:val="center"/>
            </w:pPr>
            <w:r>
              <w:t>0</w:t>
            </w:r>
          </w:p>
        </w:tc>
        <w:tc>
          <w:tcPr>
            <w:tcW w:w="1535" w:type="dxa"/>
            <w:tcBorders>
              <w:left w:val="single" w:sz="2" w:space="0" w:color="auto"/>
            </w:tcBorders>
            <w:hideMark/>
          </w:tcPr>
          <w:p w14:paraId="166336FE" w14:textId="77777777" w:rsidR="0033544B" w:rsidRDefault="0033544B" w:rsidP="001C7D4A">
            <w:pPr>
              <w:pStyle w:val="NormalWeb"/>
              <w:jc w:val="center"/>
            </w:pPr>
            <w:r>
              <w:t>106</w:t>
            </w:r>
          </w:p>
        </w:tc>
      </w:tr>
      <w:tr w:rsidR="0033544B" w14:paraId="056ADC3A" w14:textId="77777777" w:rsidTr="00566BE5">
        <w:tc>
          <w:tcPr>
            <w:tcW w:w="851" w:type="dxa"/>
            <w:tcBorders>
              <w:right w:val="single" w:sz="2" w:space="0" w:color="auto"/>
            </w:tcBorders>
            <w:hideMark/>
          </w:tcPr>
          <w:p w14:paraId="219ABC92" w14:textId="77777777" w:rsidR="0033544B" w:rsidRDefault="0033544B">
            <w:pPr>
              <w:pStyle w:val="NormalWeb"/>
            </w:pPr>
            <w:r>
              <w:t>2003</w:t>
            </w:r>
          </w:p>
        </w:tc>
        <w:tc>
          <w:tcPr>
            <w:tcW w:w="1134" w:type="dxa"/>
            <w:tcBorders>
              <w:left w:val="single" w:sz="2" w:space="0" w:color="auto"/>
              <w:right w:val="single" w:sz="2" w:space="0" w:color="auto"/>
            </w:tcBorders>
            <w:hideMark/>
          </w:tcPr>
          <w:p w14:paraId="4840FD96" w14:textId="77777777" w:rsidR="0033544B" w:rsidRDefault="0033544B" w:rsidP="001C7D4A">
            <w:pPr>
              <w:pStyle w:val="NormalWeb"/>
              <w:jc w:val="center"/>
            </w:pPr>
            <w:r>
              <w:t>9</w:t>
            </w:r>
          </w:p>
        </w:tc>
        <w:tc>
          <w:tcPr>
            <w:tcW w:w="1559" w:type="dxa"/>
            <w:tcBorders>
              <w:left w:val="single" w:sz="2" w:space="0" w:color="auto"/>
              <w:right w:val="single" w:sz="2" w:space="0" w:color="auto"/>
            </w:tcBorders>
            <w:hideMark/>
          </w:tcPr>
          <w:p w14:paraId="004D4773"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2FBAC618" w14:textId="77777777" w:rsidR="0033544B" w:rsidRDefault="0033544B" w:rsidP="001C7D4A">
            <w:pPr>
              <w:pStyle w:val="NormalWeb"/>
              <w:jc w:val="center"/>
            </w:pPr>
            <w:r>
              <w:t>15</w:t>
            </w:r>
          </w:p>
        </w:tc>
        <w:tc>
          <w:tcPr>
            <w:tcW w:w="1843" w:type="dxa"/>
            <w:tcBorders>
              <w:left w:val="single" w:sz="2" w:space="0" w:color="auto"/>
              <w:right w:val="single" w:sz="2" w:space="0" w:color="auto"/>
            </w:tcBorders>
            <w:hideMark/>
          </w:tcPr>
          <w:p w14:paraId="2B4E4CDB" w14:textId="77777777" w:rsidR="0033544B" w:rsidRDefault="0033544B" w:rsidP="001C7D4A">
            <w:pPr>
              <w:pStyle w:val="NormalWeb"/>
              <w:jc w:val="center"/>
            </w:pPr>
            <w:r>
              <w:t>47</w:t>
            </w:r>
          </w:p>
        </w:tc>
        <w:tc>
          <w:tcPr>
            <w:tcW w:w="1701" w:type="dxa"/>
            <w:tcBorders>
              <w:left w:val="single" w:sz="2" w:space="0" w:color="auto"/>
              <w:right w:val="single" w:sz="2" w:space="0" w:color="auto"/>
            </w:tcBorders>
            <w:hideMark/>
          </w:tcPr>
          <w:p w14:paraId="75E73004" w14:textId="77777777" w:rsidR="0033544B" w:rsidRDefault="0033544B" w:rsidP="001C7D4A">
            <w:pPr>
              <w:pStyle w:val="NormalWeb"/>
              <w:jc w:val="center"/>
            </w:pPr>
            <w:r>
              <w:t>0</w:t>
            </w:r>
          </w:p>
        </w:tc>
        <w:tc>
          <w:tcPr>
            <w:tcW w:w="1535" w:type="dxa"/>
            <w:tcBorders>
              <w:left w:val="single" w:sz="2" w:space="0" w:color="auto"/>
            </w:tcBorders>
            <w:hideMark/>
          </w:tcPr>
          <w:p w14:paraId="412A0E14" w14:textId="77777777" w:rsidR="0033544B" w:rsidRDefault="0033544B" w:rsidP="001C7D4A">
            <w:pPr>
              <w:pStyle w:val="NormalWeb"/>
              <w:jc w:val="center"/>
            </w:pPr>
            <w:r>
              <w:t>71</w:t>
            </w:r>
          </w:p>
        </w:tc>
      </w:tr>
      <w:tr w:rsidR="0033544B" w14:paraId="4266BA00" w14:textId="77777777" w:rsidTr="00566BE5">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6F8F5111" w14:textId="77777777" w:rsidR="0033544B" w:rsidRDefault="0033544B">
            <w:pPr>
              <w:pStyle w:val="NormalWeb"/>
            </w:pPr>
            <w:r>
              <w:t>2004</w:t>
            </w:r>
          </w:p>
        </w:tc>
        <w:tc>
          <w:tcPr>
            <w:tcW w:w="1134" w:type="dxa"/>
            <w:tcBorders>
              <w:left w:val="single" w:sz="2" w:space="0" w:color="auto"/>
              <w:right w:val="single" w:sz="2" w:space="0" w:color="auto"/>
            </w:tcBorders>
            <w:hideMark/>
          </w:tcPr>
          <w:p w14:paraId="6825FBA0" w14:textId="77777777" w:rsidR="0033544B" w:rsidRDefault="0033544B" w:rsidP="001C7D4A">
            <w:pPr>
              <w:pStyle w:val="NormalWeb"/>
              <w:jc w:val="center"/>
            </w:pPr>
            <w:r>
              <w:t>6</w:t>
            </w:r>
          </w:p>
        </w:tc>
        <w:tc>
          <w:tcPr>
            <w:tcW w:w="1559" w:type="dxa"/>
            <w:tcBorders>
              <w:left w:val="single" w:sz="2" w:space="0" w:color="auto"/>
              <w:right w:val="single" w:sz="2" w:space="0" w:color="auto"/>
            </w:tcBorders>
            <w:hideMark/>
          </w:tcPr>
          <w:p w14:paraId="14330C1C"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05643FA1" w14:textId="77777777" w:rsidR="0033544B" w:rsidRDefault="0033544B" w:rsidP="001C7D4A">
            <w:pPr>
              <w:pStyle w:val="NormalWeb"/>
              <w:jc w:val="center"/>
            </w:pPr>
            <w:r>
              <w:t>26</w:t>
            </w:r>
          </w:p>
        </w:tc>
        <w:tc>
          <w:tcPr>
            <w:tcW w:w="1843" w:type="dxa"/>
            <w:tcBorders>
              <w:left w:val="single" w:sz="2" w:space="0" w:color="auto"/>
              <w:right w:val="single" w:sz="2" w:space="0" w:color="auto"/>
            </w:tcBorders>
            <w:hideMark/>
          </w:tcPr>
          <w:p w14:paraId="71E9B277" w14:textId="77777777" w:rsidR="0033544B" w:rsidRDefault="0033544B" w:rsidP="001C7D4A">
            <w:pPr>
              <w:pStyle w:val="NormalWeb"/>
              <w:jc w:val="center"/>
            </w:pPr>
            <w:r>
              <w:t>61</w:t>
            </w:r>
          </w:p>
        </w:tc>
        <w:tc>
          <w:tcPr>
            <w:tcW w:w="1701" w:type="dxa"/>
            <w:tcBorders>
              <w:left w:val="single" w:sz="2" w:space="0" w:color="auto"/>
              <w:right w:val="single" w:sz="2" w:space="0" w:color="auto"/>
            </w:tcBorders>
            <w:hideMark/>
          </w:tcPr>
          <w:p w14:paraId="2D707B2A" w14:textId="77777777" w:rsidR="0033544B" w:rsidRDefault="0033544B" w:rsidP="001C7D4A">
            <w:pPr>
              <w:pStyle w:val="NormalWeb"/>
              <w:jc w:val="center"/>
            </w:pPr>
            <w:r>
              <w:t>0</w:t>
            </w:r>
          </w:p>
        </w:tc>
        <w:tc>
          <w:tcPr>
            <w:tcW w:w="1535" w:type="dxa"/>
            <w:tcBorders>
              <w:left w:val="single" w:sz="2" w:space="0" w:color="auto"/>
            </w:tcBorders>
            <w:hideMark/>
          </w:tcPr>
          <w:p w14:paraId="4F31BE84" w14:textId="77777777" w:rsidR="0033544B" w:rsidRDefault="0033544B" w:rsidP="001C7D4A">
            <w:pPr>
              <w:pStyle w:val="NormalWeb"/>
              <w:jc w:val="center"/>
            </w:pPr>
            <w:r>
              <w:t>93</w:t>
            </w:r>
          </w:p>
        </w:tc>
      </w:tr>
      <w:tr w:rsidR="0033544B" w14:paraId="58EEB3F7" w14:textId="77777777" w:rsidTr="00566BE5">
        <w:tc>
          <w:tcPr>
            <w:tcW w:w="851" w:type="dxa"/>
            <w:tcBorders>
              <w:right w:val="single" w:sz="2" w:space="0" w:color="auto"/>
            </w:tcBorders>
            <w:hideMark/>
          </w:tcPr>
          <w:p w14:paraId="79FA68FD" w14:textId="77777777" w:rsidR="0033544B" w:rsidRDefault="0033544B">
            <w:pPr>
              <w:pStyle w:val="NormalWeb"/>
            </w:pPr>
            <w:r>
              <w:t>2005</w:t>
            </w:r>
          </w:p>
        </w:tc>
        <w:tc>
          <w:tcPr>
            <w:tcW w:w="1134" w:type="dxa"/>
            <w:tcBorders>
              <w:left w:val="single" w:sz="2" w:space="0" w:color="auto"/>
              <w:right w:val="single" w:sz="2" w:space="0" w:color="auto"/>
            </w:tcBorders>
            <w:hideMark/>
          </w:tcPr>
          <w:p w14:paraId="169AADB2" w14:textId="77777777" w:rsidR="0033544B" w:rsidRDefault="0033544B" w:rsidP="001C7D4A">
            <w:pPr>
              <w:pStyle w:val="NormalWeb"/>
              <w:jc w:val="center"/>
            </w:pPr>
            <w:r>
              <w:t>18</w:t>
            </w:r>
          </w:p>
        </w:tc>
        <w:tc>
          <w:tcPr>
            <w:tcW w:w="1559" w:type="dxa"/>
            <w:tcBorders>
              <w:left w:val="single" w:sz="2" w:space="0" w:color="auto"/>
              <w:right w:val="single" w:sz="2" w:space="0" w:color="auto"/>
            </w:tcBorders>
            <w:hideMark/>
          </w:tcPr>
          <w:p w14:paraId="47063BD6"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55326718" w14:textId="77777777" w:rsidR="0033544B" w:rsidRDefault="0033544B" w:rsidP="001C7D4A">
            <w:pPr>
              <w:pStyle w:val="NormalWeb"/>
              <w:jc w:val="center"/>
            </w:pPr>
            <w:r>
              <w:t>10</w:t>
            </w:r>
          </w:p>
        </w:tc>
        <w:tc>
          <w:tcPr>
            <w:tcW w:w="1843" w:type="dxa"/>
            <w:tcBorders>
              <w:left w:val="single" w:sz="2" w:space="0" w:color="auto"/>
              <w:right w:val="single" w:sz="2" w:space="0" w:color="auto"/>
            </w:tcBorders>
            <w:hideMark/>
          </w:tcPr>
          <w:p w14:paraId="09A9E235" w14:textId="77777777" w:rsidR="0033544B" w:rsidRDefault="0033544B" w:rsidP="001C7D4A">
            <w:pPr>
              <w:pStyle w:val="NormalWeb"/>
              <w:jc w:val="center"/>
            </w:pPr>
            <w:r>
              <w:t>39</w:t>
            </w:r>
          </w:p>
        </w:tc>
        <w:tc>
          <w:tcPr>
            <w:tcW w:w="1701" w:type="dxa"/>
            <w:tcBorders>
              <w:left w:val="single" w:sz="2" w:space="0" w:color="auto"/>
              <w:right w:val="single" w:sz="2" w:space="0" w:color="auto"/>
            </w:tcBorders>
            <w:hideMark/>
          </w:tcPr>
          <w:p w14:paraId="5557C09A" w14:textId="77777777" w:rsidR="0033544B" w:rsidRDefault="0033544B" w:rsidP="001C7D4A">
            <w:pPr>
              <w:pStyle w:val="NormalWeb"/>
              <w:jc w:val="center"/>
            </w:pPr>
            <w:r>
              <w:t>0</w:t>
            </w:r>
          </w:p>
        </w:tc>
        <w:tc>
          <w:tcPr>
            <w:tcW w:w="1535" w:type="dxa"/>
            <w:tcBorders>
              <w:left w:val="single" w:sz="2" w:space="0" w:color="auto"/>
            </w:tcBorders>
            <w:hideMark/>
          </w:tcPr>
          <w:p w14:paraId="2284BA60" w14:textId="77777777" w:rsidR="0033544B" w:rsidRDefault="0033544B" w:rsidP="001C7D4A">
            <w:pPr>
              <w:pStyle w:val="NormalWeb"/>
              <w:jc w:val="center"/>
            </w:pPr>
            <w:r>
              <w:t>67</w:t>
            </w:r>
          </w:p>
        </w:tc>
      </w:tr>
      <w:tr w:rsidR="0033544B" w14:paraId="5FEB4926" w14:textId="77777777" w:rsidTr="00566BE5">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587AE252" w14:textId="77777777" w:rsidR="0033544B" w:rsidRDefault="0033544B">
            <w:pPr>
              <w:pStyle w:val="NormalWeb"/>
            </w:pPr>
            <w:r>
              <w:t>2006</w:t>
            </w:r>
          </w:p>
        </w:tc>
        <w:tc>
          <w:tcPr>
            <w:tcW w:w="1134" w:type="dxa"/>
            <w:tcBorders>
              <w:left w:val="single" w:sz="2" w:space="0" w:color="auto"/>
              <w:right w:val="single" w:sz="2" w:space="0" w:color="auto"/>
            </w:tcBorders>
            <w:hideMark/>
          </w:tcPr>
          <w:p w14:paraId="7D494A96" w14:textId="77777777" w:rsidR="0033544B" w:rsidRDefault="0033544B" w:rsidP="001C7D4A">
            <w:pPr>
              <w:pStyle w:val="NormalWeb"/>
              <w:jc w:val="center"/>
            </w:pPr>
            <w:r>
              <w:t>2</w:t>
            </w:r>
          </w:p>
        </w:tc>
        <w:tc>
          <w:tcPr>
            <w:tcW w:w="1559" w:type="dxa"/>
            <w:tcBorders>
              <w:left w:val="single" w:sz="2" w:space="0" w:color="auto"/>
              <w:right w:val="single" w:sz="2" w:space="0" w:color="auto"/>
            </w:tcBorders>
            <w:hideMark/>
          </w:tcPr>
          <w:p w14:paraId="7FBF64C8"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6C8A5C71" w14:textId="77777777" w:rsidR="0033544B" w:rsidRDefault="0033544B" w:rsidP="001C7D4A">
            <w:pPr>
              <w:pStyle w:val="NormalWeb"/>
              <w:jc w:val="center"/>
            </w:pPr>
            <w:r>
              <w:t>6</w:t>
            </w:r>
          </w:p>
        </w:tc>
        <w:tc>
          <w:tcPr>
            <w:tcW w:w="1843" w:type="dxa"/>
            <w:tcBorders>
              <w:left w:val="single" w:sz="2" w:space="0" w:color="auto"/>
              <w:right w:val="single" w:sz="2" w:space="0" w:color="auto"/>
            </w:tcBorders>
            <w:hideMark/>
          </w:tcPr>
          <w:p w14:paraId="13094AC6" w14:textId="77777777" w:rsidR="0033544B" w:rsidRDefault="0033544B" w:rsidP="001C7D4A">
            <w:pPr>
              <w:pStyle w:val="NormalWeb"/>
              <w:jc w:val="center"/>
            </w:pPr>
            <w:r>
              <w:t>71</w:t>
            </w:r>
          </w:p>
        </w:tc>
        <w:tc>
          <w:tcPr>
            <w:tcW w:w="1701" w:type="dxa"/>
            <w:tcBorders>
              <w:left w:val="single" w:sz="2" w:space="0" w:color="auto"/>
              <w:right w:val="single" w:sz="2" w:space="0" w:color="auto"/>
            </w:tcBorders>
            <w:hideMark/>
          </w:tcPr>
          <w:p w14:paraId="66863ACF" w14:textId="77777777" w:rsidR="0033544B" w:rsidRDefault="0033544B" w:rsidP="001C7D4A">
            <w:pPr>
              <w:pStyle w:val="NormalWeb"/>
              <w:jc w:val="center"/>
            </w:pPr>
            <w:r>
              <w:t>29</w:t>
            </w:r>
          </w:p>
        </w:tc>
        <w:tc>
          <w:tcPr>
            <w:tcW w:w="1535" w:type="dxa"/>
            <w:tcBorders>
              <w:left w:val="single" w:sz="2" w:space="0" w:color="auto"/>
            </w:tcBorders>
            <w:hideMark/>
          </w:tcPr>
          <w:p w14:paraId="468B0FD5" w14:textId="77777777" w:rsidR="0033544B" w:rsidRDefault="0033544B" w:rsidP="001C7D4A">
            <w:pPr>
              <w:pStyle w:val="NormalWeb"/>
              <w:jc w:val="center"/>
            </w:pPr>
            <w:r>
              <w:t>108</w:t>
            </w:r>
          </w:p>
        </w:tc>
      </w:tr>
      <w:tr w:rsidR="0033544B" w14:paraId="0DE33DF5" w14:textId="77777777" w:rsidTr="00566BE5">
        <w:tc>
          <w:tcPr>
            <w:tcW w:w="851" w:type="dxa"/>
            <w:tcBorders>
              <w:right w:val="single" w:sz="2" w:space="0" w:color="auto"/>
            </w:tcBorders>
            <w:hideMark/>
          </w:tcPr>
          <w:p w14:paraId="606230C9" w14:textId="77777777" w:rsidR="0033544B" w:rsidRDefault="0033544B">
            <w:pPr>
              <w:pStyle w:val="NormalWeb"/>
            </w:pPr>
            <w:r>
              <w:t>2007</w:t>
            </w:r>
            <w:r w:rsidRPr="00C07697">
              <w:rPr>
                <w:vertAlign w:val="superscript"/>
              </w:rPr>
              <w:t>c</w:t>
            </w:r>
          </w:p>
        </w:tc>
        <w:tc>
          <w:tcPr>
            <w:tcW w:w="1134" w:type="dxa"/>
            <w:tcBorders>
              <w:left w:val="single" w:sz="2" w:space="0" w:color="auto"/>
              <w:right w:val="single" w:sz="2" w:space="0" w:color="auto"/>
            </w:tcBorders>
            <w:hideMark/>
          </w:tcPr>
          <w:p w14:paraId="31F68422" w14:textId="77777777" w:rsidR="0033544B" w:rsidRDefault="0033544B" w:rsidP="001C7D4A">
            <w:pPr>
              <w:pStyle w:val="NormalWeb"/>
              <w:jc w:val="center"/>
            </w:pPr>
            <w:r>
              <w:t>0</w:t>
            </w:r>
          </w:p>
        </w:tc>
        <w:tc>
          <w:tcPr>
            <w:tcW w:w="1559" w:type="dxa"/>
            <w:tcBorders>
              <w:left w:val="single" w:sz="2" w:space="0" w:color="auto"/>
              <w:right w:val="single" w:sz="2" w:space="0" w:color="auto"/>
            </w:tcBorders>
            <w:hideMark/>
          </w:tcPr>
          <w:p w14:paraId="5937E285" w14:textId="77777777" w:rsidR="0033544B" w:rsidRDefault="0033544B" w:rsidP="001C7D4A">
            <w:pPr>
              <w:pStyle w:val="NormalWeb"/>
              <w:jc w:val="center"/>
            </w:pPr>
            <w:r>
              <w:t>2</w:t>
            </w:r>
          </w:p>
        </w:tc>
        <w:tc>
          <w:tcPr>
            <w:tcW w:w="1843" w:type="dxa"/>
            <w:tcBorders>
              <w:left w:val="single" w:sz="2" w:space="0" w:color="auto"/>
              <w:right w:val="single" w:sz="2" w:space="0" w:color="auto"/>
            </w:tcBorders>
            <w:hideMark/>
          </w:tcPr>
          <w:p w14:paraId="4FF9DDCF" w14:textId="77777777" w:rsidR="0033544B" w:rsidRDefault="0033544B" w:rsidP="001C7D4A">
            <w:pPr>
              <w:pStyle w:val="NormalWeb"/>
              <w:jc w:val="center"/>
            </w:pPr>
            <w:r>
              <w:t>32</w:t>
            </w:r>
          </w:p>
        </w:tc>
        <w:tc>
          <w:tcPr>
            <w:tcW w:w="1843" w:type="dxa"/>
            <w:tcBorders>
              <w:left w:val="single" w:sz="2" w:space="0" w:color="auto"/>
              <w:right w:val="single" w:sz="2" w:space="0" w:color="auto"/>
            </w:tcBorders>
            <w:hideMark/>
          </w:tcPr>
          <w:p w14:paraId="3FBF31B4" w14:textId="77777777" w:rsidR="0033544B" w:rsidRDefault="0033544B" w:rsidP="001C7D4A">
            <w:pPr>
              <w:pStyle w:val="NormalWeb"/>
              <w:jc w:val="center"/>
            </w:pPr>
            <w:r>
              <w:t>115</w:t>
            </w:r>
          </w:p>
        </w:tc>
        <w:tc>
          <w:tcPr>
            <w:tcW w:w="1701" w:type="dxa"/>
            <w:tcBorders>
              <w:left w:val="single" w:sz="2" w:space="0" w:color="auto"/>
              <w:right w:val="single" w:sz="2" w:space="0" w:color="auto"/>
            </w:tcBorders>
            <w:hideMark/>
          </w:tcPr>
          <w:p w14:paraId="24E2A8A0" w14:textId="77777777" w:rsidR="0033544B" w:rsidRDefault="0033544B" w:rsidP="001C7D4A">
            <w:pPr>
              <w:pStyle w:val="NormalWeb"/>
              <w:jc w:val="center"/>
            </w:pPr>
            <w:r>
              <w:t>107</w:t>
            </w:r>
          </w:p>
        </w:tc>
        <w:tc>
          <w:tcPr>
            <w:tcW w:w="1535" w:type="dxa"/>
            <w:tcBorders>
              <w:left w:val="single" w:sz="2" w:space="0" w:color="auto"/>
            </w:tcBorders>
            <w:hideMark/>
          </w:tcPr>
          <w:p w14:paraId="266BBA9F" w14:textId="77777777" w:rsidR="0033544B" w:rsidRDefault="0033544B" w:rsidP="001C7D4A">
            <w:pPr>
              <w:pStyle w:val="NormalWeb"/>
              <w:jc w:val="center"/>
            </w:pPr>
            <w:r>
              <w:t>256</w:t>
            </w:r>
          </w:p>
        </w:tc>
      </w:tr>
      <w:tr w:rsidR="0033544B" w14:paraId="37C4A105" w14:textId="77777777" w:rsidTr="00566BE5">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61CC8B76" w14:textId="77777777" w:rsidR="0033544B" w:rsidRDefault="0033544B">
            <w:pPr>
              <w:pStyle w:val="NormalWeb"/>
            </w:pPr>
            <w:r>
              <w:t>2008</w:t>
            </w:r>
          </w:p>
        </w:tc>
        <w:tc>
          <w:tcPr>
            <w:tcW w:w="1134" w:type="dxa"/>
            <w:tcBorders>
              <w:left w:val="single" w:sz="2" w:space="0" w:color="auto"/>
              <w:right w:val="single" w:sz="2" w:space="0" w:color="auto"/>
            </w:tcBorders>
            <w:hideMark/>
          </w:tcPr>
          <w:p w14:paraId="7F0F1531" w14:textId="77777777" w:rsidR="0033544B" w:rsidRDefault="0033544B" w:rsidP="001C7D4A">
            <w:pPr>
              <w:pStyle w:val="NormalWeb"/>
              <w:jc w:val="center"/>
            </w:pPr>
            <w:r>
              <w:t>0</w:t>
            </w:r>
          </w:p>
        </w:tc>
        <w:tc>
          <w:tcPr>
            <w:tcW w:w="1559" w:type="dxa"/>
            <w:tcBorders>
              <w:left w:val="single" w:sz="2" w:space="0" w:color="auto"/>
              <w:right w:val="single" w:sz="2" w:space="0" w:color="auto"/>
            </w:tcBorders>
            <w:hideMark/>
          </w:tcPr>
          <w:p w14:paraId="00ACE527"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03DFAF76" w14:textId="77777777" w:rsidR="0033544B" w:rsidRDefault="0033544B" w:rsidP="001C7D4A">
            <w:pPr>
              <w:pStyle w:val="NormalWeb"/>
              <w:jc w:val="center"/>
            </w:pPr>
            <w:r>
              <w:t>20</w:t>
            </w:r>
          </w:p>
        </w:tc>
        <w:tc>
          <w:tcPr>
            <w:tcW w:w="1843" w:type="dxa"/>
            <w:tcBorders>
              <w:left w:val="single" w:sz="2" w:space="0" w:color="auto"/>
              <w:right w:val="single" w:sz="2" w:space="0" w:color="auto"/>
            </w:tcBorders>
            <w:hideMark/>
          </w:tcPr>
          <w:p w14:paraId="375AEE60" w14:textId="77777777" w:rsidR="0033544B" w:rsidRDefault="0033544B" w:rsidP="001C7D4A">
            <w:pPr>
              <w:pStyle w:val="NormalWeb"/>
              <w:jc w:val="center"/>
            </w:pPr>
            <w:r>
              <w:t>92</w:t>
            </w:r>
          </w:p>
        </w:tc>
        <w:tc>
          <w:tcPr>
            <w:tcW w:w="1701" w:type="dxa"/>
            <w:tcBorders>
              <w:left w:val="single" w:sz="2" w:space="0" w:color="auto"/>
              <w:right w:val="single" w:sz="2" w:space="0" w:color="auto"/>
            </w:tcBorders>
            <w:hideMark/>
          </w:tcPr>
          <w:p w14:paraId="3677BA2A" w14:textId="77777777" w:rsidR="0033544B" w:rsidRDefault="0033544B" w:rsidP="001C7D4A">
            <w:pPr>
              <w:pStyle w:val="NormalWeb"/>
              <w:jc w:val="center"/>
            </w:pPr>
            <w:r>
              <w:t>77</w:t>
            </w:r>
          </w:p>
        </w:tc>
        <w:tc>
          <w:tcPr>
            <w:tcW w:w="1535" w:type="dxa"/>
            <w:tcBorders>
              <w:left w:val="single" w:sz="2" w:space="0" w:color="auto"/>
            </w:tcBorders>
            <w:hideMark/>
          </w:tcPr>
          <w:p w14:paraId="2A2DBD51" w14:textId="77777777" w:rsidR="0033544B" w:rsidRDefault="0033544B" w:rsidP="001C7D4A">
            <w:pPr>
              <w:pStyle w:val="NormalWeb"/>
              <w:jc w:val="center"/>
            </w:pPr>
            <w:r>
              <w:t>189</w:t>
            </w:r>
          </w:p>
        </w:tc>
      </w:tr>
      <w:tr w:rsidR="0033544B" w14:paraId="4D3DDF57" w14:textId="77777777" w:rsidTr="00566BE5">
        <w:tc>
          <w:tcPr>
            <w:tcW w:w="851" w:type="dxa"/>
            <w:tcBorders>
              <w:right w:val="single" w:sz="2" w:space="0" w:color="auto"/>
            </w:tcBorders>
            <w:hideMark/>
          </w:tcPr>
          <w:p w14:paraId="0D62196E" w14:textId="77777777" w:rsidR="0033544B" w:rsidRDefault="0033544B">
            <w:pPr>
              <w:pStyle w:val="NormalWeb"/>
            </w:pPr>
            <w:r>
              <w:t>2009</w:t>
            </w:r>
            <w:r w:rsidRPr="00C07697">
              <w:rPr>
                <w:vertAlign w:val="superscript"/>
              </w:rPr>
              <w:t>d</w:t>
            </w:r>
          </w:p>
        </w:tc>
        <w:tc>
          <w:tcPr>
            <w:tcW w:w="1134" w:type="dxa"/>
            <w:tcBorders>
              <w:left w:val="single" w:sz="2" w:space="0" w:color="auto"/>
              <w:right w:val="single" w:sz="2" w:space="0" w:color="auto"/>
            </w:tcBorders>
            <w:hideMark/>
          </w:tcPr>
          <w:p w14:paraId="077657EC" w14:textId="77777777" w:rsidR="0033544B" w:rsidRDefault="0033544B" w:rsidP="001C7D4A">
            <w:pPr>
              <w:pStyle w:val="NormalWeb"/>
              <w:jc w:val="center"/>
            </w:pPr>
            <w:r>
              <w:t>1</w:t>
            </w:r>
          </w:p>
        </w:tc>
        <w:tc>
          <w:tcPr>
            <w:tcW w:w="1559" w:type="dxa"/>
            <w:tcBorders>
              <w:left w:val="single" w:sz="2" w:space="0" w:color="auto"/>
              <w:right w:val="single" w:sz="2" w:space="0" w:color="auto"/>
            </w:tcBorders>
            <w:hideMark/>
          </w:tcPr>
          <w:p w14:paraId="6217ACBC"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414A8462" w14:textId="77777777" w:rsidR="0033544B" w:rsidRDefault="0033544B" w:rsidP="001C7D4A">
            <w:pPr>
              <w:pStyle w:val="NormalWeb"/>
              <w:jc w:val="center"/>
            </w:pPr>
            <w:r>
              <w:t>63</w:t>
            </w:r>
          </w:p>
        </w:tc>
        <w:tc>
          <w:tcPr>
            <w:tcW w:w="1843" w:type="dxa"/>
            <w:tcBorders>
              <w:left w:val="single" w:sz="2" w:space="0" w:color="auto"/>
              <w:right w:val="single" w:sz="2" w:space="0" w:color="auto"/>
            </w:tcBorders>
            <w:hideMark/>
          </w:tcPr>
          <w:p w14:paraId="62C58681" w14:textId="77777777" w:rsidR="0033544B" w:rsidRDefault="0033544B" w:rsidP="001C7D4A">
            <w:pPr>
              <w:pStyle w:val="NormalWeb"/>
              <w:jc w:val="center"/>
            </w:pPr>
            <w:r>
              <w:t>78</w:t>
            </w:r>
          </w:p>
        </w:tc>
        <w:tc>
          <w:tcPr>
            <w:tcW w:w="1701" w:type="dxa"/>
            <w:tcBorders>
              <w:left w:val="single" w:sz="2" w:space="0" w:color="auto"/>
              <w:right w:val="single" w:sz="2" w:space="0" w:color="auto"/>
            </w:tcBorders>
            <w:hideMark/>
          </w:tcPr>
          <w:p w14:paraId="4EC5FA13" w14:textId="77777777" w:rsidR="0033544B" w:rsidRDefault="0033544B" w:rsidP="001C7D4A">
            <w:pPr>
              <w:pStyle w:val="NormalWeb"/>
              <w:jc w:val="center"/>
            </w:pPr>
            <w:r>
              <w:t>113</w:t>
            </w:r>
          </w:p>
        </w:tc>
        <w:tc>
          <w:tcPr>
            <w:tcW w:w="1535" w:type="dxa"/>
            <w:tcBorders>
              <w:left w:val="single" w:sz="2" w:space="0" w:color="auto"/>
            </w:tcBorders>
            <w:hideMark/>
          </w:tcPr>
          <w:p w14:paraId="1C17845F" w14:textId="77777777" w:rsidR="0033544B" w:rsidRDefault="0033544B" w:rsidP="001C7D4A">
            <w:pPr>
              <w:pStyle w:val="NormalWeb"/>
              <w:jc w:val="center"/>
            </w:pPr>
            <w:r>
              <w:t>255</w:t>
            </w:r>
          </w:p>
        </w:tc>
      </w:tr>
      <w:tr w:rsidR="0033544B" w14:paraId="2E53E510" w14:textId="77777777" w:rsidTr="00566BE5">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59ADFA99" w14:textId="77777777" w:rsidR="0033544B" w:rsidRDefault="0033544B">
            <w:pPr>
              <w:pStyle w:val="NormalWeb"/>
            </w:pPr>
            <w:r>
              <w:t>2010</w:t>
            </w:r>
          </w:p>
        </w:tc>
        <w:tc>
          <w:tcPr>
            <w:tcW w:w="1134" w:type="dxa"/>
            <w:tcBorders>
              <w:left w:val="single" w:sz="2" w:space="0" w:color="auto"/>
              <w:right w:val="single" w:sz="2" w:space="0" w:color="auto"/>
            </w:tcBorders>
            <w:hideMark/>
          </w:tcPr>
          <w:p w14:paraId="0273B24D" w14:textId="77777777" w:rsidR="0033544B" w:rsidRDefault="0033544B" w:rsidP="001C7D4A">
            <w:pPr>
              <w:pStyle w:val="NormalWeb"/>
              <w:jc w:val="center"/>
            </w:pPr>
            <w:r>
              <w:t>0</w:t>
            </w:r>
          </w:p>
        </w:tc>
        <w:tc>
          <w:tcPr>
            <w:tcW w:w="1559" w:type="dxa"/>
            <w:tcBorders>
              <w:left w:val="single" w:sz="2" w:space="0" w:color="auto"/>
              <w:right w:val="single" w:sz="2" w:space="0" w:color="auto"/>
            </w:tcBorders>
            <w:hideMark/>
          </w:tcPr>
          <w:p w14:paraId="2B8BEAF9"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31C21260" w14:textId="77777777" w:rsidR="0033544B" w:rsidRDefault="0033544B" w:rsidP="001C7D4A">
            <w:pPr>
              <w:pStyle w:val="NormalWeb"/>
              <w:jc w:val="center"/>
            </w:pPr>
            <w:r>
              <w:t>170</w:t>
            </w:r>
          </w:p>
        </w:tc>
        <w:tc>
          <w:tcPr>
            <w:tcW w:w="1843" w:type="dxa"/>
            <w:tcBorders>
              <w:left w:val="single" w:sz="2" w:space="0" w:color="auto"/>
              <w:right w:val="single" w:sz="2" w:space="0" w:color="auto"/>
            </w:tcBorders>
            <w:hideMark/>
          </w:tcPr>
          <w:p w14:paraId="7D47B507" w14:textId="77777777" w:rsidR="0033544B" w:rsidRDefault="0033544B" w:rsidP="001C7D4A">
            <w:pPr>
              <w:pStyle w:val="NormalWeb"/>
              <w:jc w:val="center"/>
            </w:pPr>
            <w:r>
              <w:t>39</w:t>
            </w:r>
          </w:p>
        </w:tc>
        <w:tc>
          <w:tcPr>
            <w:tcW w:w="1701" w:type="dxa"/>
            <w:tcBorders>
              <w:left w:val="single" w:sz="2" w:space="0" w:color="auto"/>
              <w:right w:val="single" w:sz="2" w:space="0" w:color="auto"/>
            </w:tcBorders>
            <w:hideMark/>
          </w:tcPr>
          <w:p w14:paraId="42F8CAAC" w14:textId="77777777" w:rsidR="0033544B" w:rsidRDefault="0033544B" w:rsidP="001C7D4A">
            <w:pPr>
              <w:pStyle w:val="NormalWeb"/>
              <w:jc w:val="center"/>
            </w:pPr>
            <w:r>
              <w:t>108</w:t>
            </w:r>
          </w:p>
        </w:tc>
        <w:tc>
          <w:tcPr>
            <w:tcW w:w="1535" w:type="dxa"/>
            <w:tcBorders>
              <w:left w:val="single" w:sz="2" w:space="0" w:color="auto"/>
            </w:tcBorders>
            <w:hideMark/>
          </w:tcPr>
          <w:p w14:paraId="5D840F82" w14:textId="77777777" w:rsidR="0033544B" w:rsidRDefault="0033544B" w:rsidP="001C7D4A">
            <w:pPr>
              <w:pStyle w:val="NormalWeb"/>
              <w:jc w:val="center"/>
            </w:pPr>
            <w:r>
              <w:t>317</w:t>
            </w:r>
          </w:p>
        </w:tc>
      </w:tr>
      <w:tr w:rsidR="0033544B" w14:paraId="32E252E0" w14:textId="77777777" w:rsidTr="00566BE5">
        <w:tc>
          <w:tcPr>
            <w:tcW w:w="851" w:type="dxa"/>
            <w:tcBorders>
              <w:right w:val="single" w:sz="2" w:space="0" w:color="auto"/>
            </w:tcBorders>
            <w:hideMark/>
          </w:tcPr>
          <w:p w14:paraId="638773CC" w14:textId="77777777" w:rsidR="0033544B" w:rsidRDefault="0033544B">
            <w:pPr>
              <w:pStyle w:val="NormalWeb"/>
            </w:pPr>
            <w:r>
              <w:t>2011</w:t>
            </w:r>
          </w:p>
        </w:tc>
        <w:tc>
          <w:tcPr>
            <w:tcW w:w="1134" w:type="dxa"/>
            <w:tcBorders>
              <w:left w:val="single" w:sz="2" w:space="0" w:color="auto"/>
              <w:right w:val="single" w:sz="2" w:space="0" w:color="auto"/>
            </w:tcBorders>
            <w:hideMark/>
          </w:tcPr>
          <w:p w14:paraId="5E7242E8" w14:textId="77777777" w:rsidR="0033544B" w:rsidRDefault="0033544B" w:rsidP="001C7D4A">
            <w:pPr>
              <w:pStyle w:val="NormalWeb"/>
              <w:jc w:val="center"/>
            </w:pPr>
            <w:r>
              <w:t>0</w:t>
            </w:r>
          </w:p>
        </w:tc>
        <w:tc>
          <w:tcPr>
            <w:tcW w:w="1559" w:type="dxa"/>
            <w:tcBorders>
              <w:left w:val="single" w:sz="2" w:space="0" w:color="auto"/>
              <w:right w:val="single" w:sz="2" w:space="0" w:color="auto"/>
            </w:tcBorders>
            <w:hideMark/>
          </w:tcPr>
          <w:p w14:paraId="607DAA67"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4FFF0F61" w14:textId="77777777" w:rsidR="0033544B" w:rsidRDefault="0033544B" w:rsidP="001C7D4A">
            <w:pPr>
              <w:pStyle w:val="NormalWeb"/>
              <w:jc w:val="center"/>
            </w:pPr>
            <w:r>
              <w:t>174</w:t>
            </w:r>
          </w:p>
        </w:tc>
        <w:tc>
          <w:tcPr>
            <w:tcW w:w="1843" w:type="dxa"/>
            <w:tcBorders>
              <w:left w:val="single" w:sz="2" w:space="0" w:color="auto"/>
              <w:right w:val="single" w:sz="2" w:space="0" w:color="auto"/>
            </w:tcBorders>
            <w:hideMark/>
          </w:tcPr>
          <w:p w14:paraId="06FDCD8A" w14:textId="77777777" w:rsidR="0033544B" w:rsidRDefault="0033544B" w:rsidP="001C7D4A">
            <w:pPr>
              <w:pStyle w:val="NormalWeb"/>
              <w:jc w:val="center"/>
            </w:pPr>
            <w:r>
              <w:t>61</w:t>
            </w:r>
          </w:p>
        </w:tc>
        <w:tc>
          <w:tcPr>
            <w:tcW w:w="1701" w:type="dxa"/>
            <w:tcBorders>
              <w:left w:val="single" w:sz="2" w:space="0" w:color="auto"/>
              <w:right w:val="single" w:sz="2" w:space="0" w:color="auto"/>
            </w:tcBorders>
            <w:hideMark/>
          </w:tcPr>
          <w:p w14:paraId="51C2DDAE" w14:textId="77777777" w:rsidR="0033544B" w:rsidRDefault="0033544B" w:rsidP="001C7D4A">
            <w:pPr>
              <w:pStyle w:val="NormalWeb"/>
              <w:jc w:val="center"/>
            </w:pPr>
            <w:r>
              <w:t>205</w:t>
            </w:r>
          </w:p>
        </w:tc>
        <w:tc>
          <w:tcPr>
            <w:tcW w:w="1535" w:type="dxa"/>
            <w:tcBorders>
              <w:left w:val="single" w:sz="2" w:space="0" w:color="auto"/>
            </w:tcBorders>
            <w:hideMark/>
          </w:tcPr>
          <w:p w14:paraId="3BBF3F0B" w14:textId="77777777" w:rsidR="0033544B" w:rsidRDefault="0033544B" w:rsidP="001C7D4A">
            <w:pPr>
              <w:pStyle w:val="NormalWeb"/>
              <w:jc w:val="center"/>
            </w:pPr>
            <w:r>
              <w:t>440</w:t>
            </w:r>
          </w:p>
        </w:tc>
      </w:tr>
      <w:tr w:rsidR="0033544B" w14:paraId="7988AA37" w14:textId="77777777" w:rsidTr="00566BE5">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2F9238F6" w14:textId="77777777" w:rsidR="0033544B" w:rsidRDefault="0033544B">
            <w:pPr>
              <w:pStyle w:val="NormalWeb"/>
            </w:pPr>
            <w:r>
              <w:t>2012</w:t>
            </w:r>
          </w:p>
        </w:tc>
        <w:tc>
          <w:tcPr>
            <w:tcW w:w="1134" w:type="dxa"/>
            <w:tcBorders>
              <w:left w:val="single" w:sz="2" w:space="0" w:color="auto"/>
              <w:right w:val="single" w:sz="2" w:space="0" w:color="auto"/>
            </w:tcBorders>
            <w:hideMark/>
          </w:tcPr>
          <w:p w14:paraId="17A00A30" w14:textId="77777777" w:rsidR="0033544B" w:rsidRDefault="0033544B" w:rsidP="001C7D4A">
            <w:pPr>
              <w:pStyle w:val="NormalWeb"/>
              <w:jc w:val="center"/>
            </w:pPr>
            <w:r>
              <w:t>0</w:t>
            </w:r>
          </w:p>
        </w:tc>
        <w:tc>
          <w:tcPr>
            <w:tcW w:w="1559" w:type="dxa"/>
            <w:tcBorders>
              <w:left w:val="single" w:sz="2" w:space="0" w:color="auto"/>
              <w:right w:val="single" w:sz="2" w:space="0" w:color="auto"/>
            </w:tcBorders>
            <w:hideMark/>
          </w:tcPr>
          <w:p w14:paraId="71B39E96"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12D7E7D1" w14:textId="77777777" w:rsidR="0033544B" w:rsidRDefault="0033544B" w:rsidP="001C7D4A">
            <w:pPr>
              <w:pStyle w:val="NormalWeb"/>
              <w:jc w:val="center"/>
            </w:pPr>
            <w:r>
              <w:t>155</w:t>
            </w:r>
          </w:p>
        </w:tc>
        <w:tc>
          <w:tcPr>
            <w:tcW w:w="1843" w:type="dxa"/>
            <w:tcBorders>
              <w:left w:val="single" w:sz="2" w:space="0" w:color="auto"/>
              <w:right w:val="single" w:sz="2" w:space="0" w:color="auto"/>
            </w:tcBorders>
            <w:hideMark/>
          </w:tcPr>
          <w:p w14:paraId="7FE4F232" w14:textId="77777777" w:rsidR="0033544B" w:rsidRDefault="0033544B" w:rsidP="001C7D4A">
            <w:pPr>
              <w:pStyle w:val="NormalWeb"/>
              <w:jc w:val="center"/>
            </w:pPr>
            <w:r>
              <w:t>97</w:t>
            </w:r>
          </w:p>
        </w:tc>
        <w:tc>
          <w:tcPr>
            <w:tcW w:w="1701" w:type="dxa"/>
            <w:tcBorders>
              <w:left w:val="single" w:sz="2" w:space="0" w:color="auto"/>
              <w:right w:val="single" w:sz="2" w:space="0" w:color="auto"/>
            </w:tcBorders>
            <w:hideMark/>
          </w:tcPr>
          <w:p w14:paraId="0D2C6DFD" w14:textId="77777777" w:rsidR="0033544B" w:rsidRDefault="0033544B" w:rsidP="001C7D4A">
            <w:pPr>
              <w:pStyle w:val="NormalWeb"/>
              <w:jc w:val="center"/>
            </w:pPr>
            <w:r>
              <w:t>123</w:t>
            </w:r>
          </w:p>
        </w:tc>
        <w:tc>
          <w:tcPr>
            <w:tcW w:w="1535" w:type="dxa"/>
            <w:tcBorders>
              <w:left w:val="single" w:sz="2" w:space="0" w:color="auto"/>
            </w:tcBorders>
            <w:hideMark/>
          </w:tcPr>
          <w:p w14:paraId="7C844644" w14:textId="77777777" w:rsidR="0033544B" w:rsidRDefault="0033544B" w:rsidP="001C7D4A">
            <w:pPr>
              <w:pStyle w:val="NormalWeb"/>
              <w:jc w:val="center"/>
            </w:pPr>
            <w:r>
              <w:t>375</w:t>
            </w:r>
          </w:p>
        </w:tc>
      </w:tr>
      <w:tr w:rsidR="0033544B" w14:paraId="69B219CD" w14:textId="77777777" w:rsidTr="00566BE5">
        <w:tc>
          <w:tcPr>
            <w:tcW w:w="851" w:type="dxa"/>
            <w:tcBorders>
              <w:right w:val="single" w:sz="2" w:space="0" w:color="auto"/>
            </w:tcBorders>
            <w:hideMark/>
          </w:tcPr>
          <w:p w14:paraId="0AF70894" w14:textId="77777777" w:rsidR="0033544B" w:rsidRDefault="0033544B">
            <w:pPr>
              <w:pStyle w:val="NormalWeb"/>
            </w:pPr>
            <w:r>
              <w:t>2013</w:t>
            </w:r>
            <w:r w:rsidRPr="00C07697">
              <w:rPr>
                <w:vertAlign w:val="superscript"/>
              </w:rPr>
              <w:t>e</w:t>
            </w:r>
          </w:p>
        </w:tc>
        <w:tc>
          <w:tcPr>
            <w:tcW w:w="1134" w:type="dxa"/>
            <w:tcBorders>
              <w:left w:val="single" w:sz="2" w:space="0" w:color="auto"/>
              <w:right w:val="single" w:sz="2" w:space="0" w:color="auto"/>
            </w:tcBorders>
            <w:hideMark/>
          </w:tcPr>
          <w:p w14:paraId="4210CE56" w14:textId="77777777" w:rsidR="0033544B" w:rsidRDefault="0033544B" w:rsidP="001C7D4A">
            <w:pPr>
              <w:pStyle w:val="NormalWeb"/>
              <w:jc w:val="center"/>
            </w:pPr>
            <w:r>
              <w:t>1</w:t>
            </w:r>
          </w:p>
        </w:tc>
        <w:tc>
          <w:tcPr>
            <w:tcW w:w="1559" w:type="dxa"/>
            <w:tcBorders>
              <w:left w:val="single" w:sz="2" w:space="0" w:color="auto"/>
              <w:right w:val="single" w:sz="2" w:space="0" w:color="auto"/>
            </w:tcBorders>
            <w:hideMark/>
          </w:tcPr>
          <w:p w14:paraId="19C89867"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3F8B751E" w14:textId="77777777" w:rsidR="0033544B" w:rsidRDefault="0033544B" w:rsidP="001C7D4A">
            <w:pPr>
              <w:pStyle w:val="NormalWeb"/>
              <w:jc w:val="center"/>
            </w:pPr>
            <w:r>
              <w:t>242</w:t>
            </w:r>
          </w:p>
        </w:tc>
        <w:tc>
          <w:tcPr>
            <w:tcW w:w="1843" w:type="dxa"/>
            <w:tcBorders>
              <w:left w:val="single" w:sz="2" w:space="0" w:color="auto"/>
              <w:right w:val="single" w:sz="2" w:space="0" w:color="auto"/>
            </w:tcBorders>
            <w:hideMark/>
          </w:tcPr>
          <w:p w14:paraId="6418E799" w14:textId="77777777" w:rsidR="0033544B" w:rsidRDefault="0033544B" w:rsidP="001C7D4A">
            <w:pPr>
              <w:pStyle w:val="NormalWeb"/>
              <w:jc w:val="center"/>
            </w:pPr>
            <w:r>
              <w:t>198</w:t>
            </w:r>
          </w:p>
        </w:tc>
        <w:tc>
          <w:tcPr>
            <w:tcW w:w="1701" w:type="dxa"/>
            <w:tcBorders>
              <w:left w:val="single" w:sz="2" w:space="0" w:color="auto"/>
              <w:right w:val="single" w:sz="2" w:space="0" w:color="auto"/>
            </w:tcBorders>
            <w:hideMark/>
          </w:tcPr>
          <w:p w14:paraId="2A79C169" w14:textId="77777777" w:rsidR="0033544B" w:rsidRDefault="0033544B" w:rsidP="001C7D4A">
            <w:pPr>
              <w:pStyle w:val="NormalWeb"/>
              <w:jc w:val="center"/>
            </w:pPr>
            <w:r>
              <w:t>230</w:t>
            </w:r>
          </w:p>
        </w:tc>
        <w:tc>
          <w:tcPr>
            <w:tcW w:w="1535" w:type="dxa"/>
            <w:tcBorders>
              <w:left w:val="single" w:sz="2" w:space="0" w:color="auto"/>
            </w:tcBorders>
            <w:hideMark/>
          </w:tcPr>
          <w:p w14:paraId="1BFD910B" w14:textId="77777777" w:rsidR="0033544B" w:rsidRDefault="0033544B" w:rsidP="001C7D4A">
            <w:pPr>
              <w:pStyle w:val="NormalWeb"/>
              <w:jc w:val="center"/>
            </w:pPr>
            <w:r>
              <w:t>671</w:t>
            </w:r>
          </w:p>
        </w:tc>
      </w:tr>
      <w:tr w:rsidR="0033544B" w14:paraId="598DC958" w14:textId="77777777" w:rsidTr="00566BE5">
        <w:trPr>
          <w:cnfStyle w:val="000000010000" w:firstRow="0" w:lastRow="0" w:firstColumn="0" w:lastColumn="0" w:oddVBand="0" w:evenVBand="0" w:oddHBand="0" w:evenHBand="1" w:firstRowFirstColumn="0" w:firstRowLastColumn="0" w:lastRowFirstColumn="0" w:lastRowLastColumn="0"/>
        </w:trPr>
        <w:tc>
          <w:tcPr>
            <w:tcW w:w="851" w:type="dxa"/>
            <w:tcBorders>
              <w:right w:val="single" w:sz="2" w:space="0" w:color="auto"/>
            </w:tcBorders>
            <w:hideMark/>
          </w:tcPr>
          <w:p w14:paraId="7094C043" w14:textId="77777777" w:rsidR="0033544B" w:rsidRDefault="0033544B">
            <w:pPr>
              <w:pStyle w:val="NormalWeb"/>
            </w:pPr>
            <w:r>
              <w:t>2014</w:t>
            </w:r>
          </w:p>
        </w:tc>
        <w:tc>
          <w:tcPr>
            <w:tcW w:w="1134" w:type="dxa"/>
            <w:tcBorders>
              <w:left w:val="single" w:sz="2" w:space="0" w:color="auto"/>
              <w:right w:val="single" w:sz="2" w:space="0" w:color="auto"/>
            </w:tcBorders>
            <w:hideMark/>
          </w:tcPr>
          <w:p w14:paraId="15A0AEAC" w14:textId="77777777" w:rsidR="0033544B" w:rsidRDefault="0033544B" w:rsidP="001C7D4A">
            <w:pPr>
              <w:pStyle w:val="NormalWeb"/>
              <w:jc w:val="center"/>
            </w:pPr>
            <w:r>
              <w:t>0</w:t>
            </w:r>
          </w:p>
        </w:tc>
        <w:tc>
          <w:tcPr>
            <w:tcW w:w="1559" w:type="dxa"/>
            <w:tcBorders>
              <w:left w:val="single" w:sz="2" w:space="0" w:color="auto"/>
              <w:right w:val="single" w:sz="2" w:space="0" w:color="auto"/>
            </w:tcBorders>
            <w:hideMark/>
          </w:tcPr>
          <w:p w14:paraId="5059B85A"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1D02338F" w14:textId="77777777" w:rsidR="0033544B" w:rsidRDefault="0033544B" w:rsidP="001C7D4A">
            <w:pPr>
              <w:pStyle w:val="NormalWeb"/>
              <w:jc w:val="center"/>
            </w:pPr>
            <w:r>
              <w:t>68</w:t>
            </w:r>
          </w:p>
        </w:tc>
        <w:tc>
          <w:tcPr>
            <w:tcW w:w="1843" w:type="dxa"/>
            <w:tcBorders>
              <w:left w:val="single" w:sz="2" w:space="0" w:color="auto"/>
              <w:right w:val="single" w:sz="2" w:space="0" w:color="auto"/>
            </w:tcBorders>
            <w:hideMark/>
          </w:tcPr>
          <w:p w14:paraId="7880A6C6" w14:textId="77777777" w:rsidR="0033544B" w:rsidRDefault="0033544B" w:rsidP="001C7D4A">
            <w:pPr>
              <w:pStyle w:val="NormalWeb"/>
              <w:jc w:val="center"/>
            </w:pPr>
            <w:r>
              <w:t>128</w:t>
            </w:r>
          </w:p>
        </w:tc>
        <w:tc>
          <w:tcPr>
            <w:tcW w:w="1701" w:type="dxa"/>
            <w:tcBorders>
              <w:left w:val="single" w:sz="2" w:space="0" w:color="auto"/>
              <w:right w:val="single" w:sz="2" w:space="0" w:color="auto"/>
            </w:tcBorders>
            <w:hideMark/>
          </w:tcPr>
          <w:p w14:paraId="7A8AF21D" w14:textId="77777777" w:rsidR="0033544B" w:rsidRDefault="0033544B" w:rsidP="001C7D4A">
            <w:pPr>
              <w:pStyle w:val="NormalWeb"/>
              <w:jc w:val="center"/>
            </w:pPr>
            <w:r>
              <w:t>506</w:t>
            </w:r>
          </w:p>
        </w:tc>
        <w:tc>
          <w:tcPr>
            <w:tcW w:w="1535" w:type="dxa"/>
            <w:tcBorders>
              <w:left w:val="single" w:sz="2" w:space="0" w:color="auto"/>
            </w:tcBorders>
            <w:hideMark/>
          </w:tcPr>
          <w:p w14:paraId="3F7729DD" w14:textId="77777777" w:rsidR="0033544B" w:rsidRDefault="0033544B" w:rsidP="001C7D4A">
            <w:pPr>
              <w:pStyle w:val="NormalWeb"/>
              <w:jc w:val="center"/>
            </w:pPr>
            <w:r>
              <w:t>702</w:t>
            </w:r>
          </w:p>
        </w:tc>
      </w:tr>
      <w:tr w:rsidR="0033544B" w14:paraId="1328DAED" w14:textId="77777777" w:rsidTr="00566BE5">
        <w:tc>
          <w:tcPr>
            <w:tcW w:w="851" w:type="dxa"/>
            <w:tcBorders>
              <w:right w:val="single" w:sz="2" w:space="0" w:color="auto"/>
            </w:tcBorders>
            <w:hideMark/>
          </w:tcPr>
          <w:p w14:paraId="2F720871" w14:textId="77777777" w:rsidR="0033544B" w:rsidRDefault="0033544B">
            <w:pPr>
              <w:pStyle w:val="NormalWeb"/>
            </w:pPr>
            <w:r>
              <w:t>2015</w:t>
            </w:r>
            <w:r w:rsidRPr="00C07697">
              <w:rPr>
                <w:vertAlign w:val="superscript"/>
              </w:rPr>
              <w:t>f</w:t>
            </w:r>
          </w:p>
        </w:tc>
        <w:tc>
          <w:tcPr>
            <w:tcW w:w="1134" w:type="dxa"/>
            <w:tcBorders>
              <w:left w:val="single" w:sz="2" w:space="0" w:color="auto"/>
              <w:right w:val="single" w:sz="2" w:space="0" w:color="auto"/>
            </w:tcBorders>
            <w:hideMark/>
          </w:tcPr>
          <w:p w14:paraId="44BA97DD" w14:textId="77777777" w:rsidR="0033544B" w:rsidRDefault="0033544B" w:rsidP="001C7D4A">
            <w:pPr>
              <w:pStyle w:val="NormalWeb"/>
              <w:jc w:val="center"/>
            </w:pPr>
            <w:r>
              <w:t>12</w:t>
            </w:r>
          </w:p>
        </w:tc>
        <w:tc>
          <w:tcPr>
            <w:tcW w:w="1559" w:type="dxa"/>
            <w:tcBorders>
              <w:left w:val="single" w:sz="2" w:space="0" w:color="auto"/>
              <w:right w:val="single" w:sz="2" w:space="0" w:color="auto"/>
            </w:tcBorders>
            <w:hideMark/>
          </w:tcPr>
          <w:p w14:paraId="4560D7B2" w14:textId="77777777" w:rsidR="0033544B" w:rsidRDefault="0033544B" w:rsidP="001C7D4A">
            <w:pPr>
              <w:pStyle w:val="NormalWeb"/>
              <w:jc w:val="center"/>
            </w:pPr>
            <w:r>
              <w:t>0</w:t>
            </w:r>
          </w:p>
        </w:tc>
        <w:tc>
          <w:tcPr>
            <w:tcW w:w="1843" w:type="dxa"/>
            <w:tcBorders>
              <w:left w:val="single" w:sz="2" w:space="0" w:color="auto"/>
              <w:right w:val="single" w:sz="2" w:space="0" w:color="auto"/>
            </w:tcBorders>
            <w:hideMark/>
          </w:tcPr>
          <w:p w14:paraId="2F3F9C69" w14:textId="77777777" w:rsidR="0033544B" w:rsidRDefault="0033544B" w:rsidP="001C7D4A">
            <w:pPr>
              <w:pStyle w:val="NormalWeb"/>
              <w:jc w:val="center"/>
            </w:pPr>
            <w:r>
              <w:t>185</w:t>
            </w:r>
          </w:p>
        </w:tc>
        <w:tc>
          <w:tcPr>
            <w:tcW w:w="1843" w:type="dxa"/>
            <w:tcBorders>
              <w:left w:val="single" w:sz="2" w:space="0" w:color="auto"/>
              <w:right w:val="single" w:sz="2" w:space="0" w:color="auto"/>
            </w:tcBorders>
            <w:hideMark/>
          </w:tcPr>
          <w:p w14:paraId="36602C55" w14:textId="77777777" w:rsidR="0033544B" w:rsidRDefault="0033544B" w:rsidP="001C7D4A">
            <w:pPr>
              <w:pStyle w:val="NormalWeb"/>
              <w:jc w:val="center"/>
            </w:pPr>
            <w:r>
              <w:t>96</w:t>
            </w:r>
          </w:p>
        </w:tc>
        <w:tc>
          <w:tcPr>
            <w:tcW w:w="1701" w:type="dxa"/>
            <w:tcBorders>
              <w:left w:val="single" w:sz="2" w:space="0" w:color="auto"/>
              <w:right w:val="single" w:sz="2" w:space="0" w:color="auto"/>
            </w:tcBorders>
            <w:hideMark/>
          </w:tcPr>
          <w:p w14:paraId="22917799" w14:textId="77777777" w:rsidR="0033544B" w:rsidRDefault="0033544B" w:rsidP="001C7D4A">
            <w:pPr>
              <w:pStyle w:val="NormalWeb"/>
              <w:jc w:val="center"/>
            </w:pPr>
            <w:r>
              <w:t>168</w:t>
            </w:r>
          </w:p>
        </w:tc>
        <w:tc>
          <w:tcPr>
            <w:tcW w:w="1535" w:type="dxa"/>
            <w:tcBorders>
              <w:left w:val="single" w:sz="2" w:space="0" w:color="auto"/>
            </w:tcBorders>
            <w:hideMark/>
          </w:tcPr>
          <w:p w14:paraId="41A5DD55" w14:textId="77777777" w:rsidR="0033544B" w:rsidRDefault="0033544B" w:rsidP="001C7D4A">
            <w:pPr>
              <w:pStyle w:val="NormalWeb"/>
              <w:jc w:val="center"/>
            </w:pPr>
            <w:r>
              <w:t>461</w:t>
            </w:r>
          </w:p>
        </w:tc>
      </w:tr>
    </w:tbl>
    <w:p w14:paraId="21636FCB" w14:textId="77777777" w:rsidR="0033544B" w:rsidRDefault="0033544B" w:rsidP="0033544B">
      <w:pPr>
        <w:pStyle w:val="CDIfootnotes"/>
      </w:pPr>
      <w:proofErr w:type="gramStart"/>
      <w:r>
        <w:t>a</w:t>
      </w:r>
      <w:proofErr w:type="gramEnd"/>
      <w:r>
        <w:tab/>
        <w:t>Enterovirus Identification (EVID) results include retrospective data made available via the ERNLA.</w:t>
      </w:r>
    </w:p>
    <w:p w14:paraId="7EC49356" w14:textId="77777777" w:rsidR="0033544B" w:rsidRDefault="0033544B" w:rsidP="0033544B">
      <w:pPr>
        <w:pStyle w:val="CDIfootnotes"/>
      </w:pPr>
      <w:r>
        <w:t>b</w:t>
      </w:r>
      <w:r>
        <w:tab/>
        <w:t>Untyped enterovirus or uncharacterised poliovirus isolates were referred for further testing after completion of a laboratory inventory. The 6 isolates (one in 1999 and five in 2001) tested as non-Sabin-like and were subsequently identified as wild type poliovirus prototype strains and were destroyed.</w:t>
      </w:r>
    </w:p>
    <w:p w14:paraId="56554D37" w14:textId="77777777" w:rsidR="0033544B" w:rsidRDefault="0033544B" w:rsidP="0033544B">
      <w:pPr>
        <w:pStyle w:val="CDIfootnotes"/>
      </w:pPr>
      <w:r>
        <w:t>c</w:t>
      </w:r>
      <w:r>
        <w:tab/>
        <w:t>Wild poliovirus type 1 was imported from Pakistan.</w:t>
      </w:r>
    </w:p>
    <w:p w14:paraId="2180244E" w14:textId="77777777" w:rsidR="0033544B" w:rsidRDefault="0033544B" w:rsidP="0033544B">
      <w:pPr>
        <w:pStyle w:val="CDIfootnotes"/>
      </w:pPr>
      <w:r>
        <w:t>d</w:t>
      </w:r>
      <w:r>
        <w:tab/>
        <w:t>A Sabin-like poliovirus type 1 was identified from an unimmunised infant.</w:t>
      </w:r>
    </w:p>
    <w:p w14:paraId="4BFD7856" w14:textId="77777777" w:rsidR="0033544B" w:rsidRDefault="0033544B" w:rsidP="0033544B">
      <w:pPr>
        <w:pStyle w:val="CDIfootnotes"/>
      </w:pPr>
      <w:r>
        <w:t>e</w:t>
      </w:r>
      <w:r>
        <w:tab/>
        <w:t>A Sabin-like poliovirus type 2 was identified from an infant who was immunised overseas with oral polio vaccine and hospitalised with diarrhoea upon return to Australia.</w:t>
      </w:r>
    </w:p>
    <w:p w14:paraId="55FE5754" w14:textId="77777777" w:rsidR="0033544B" w:rsidRDefault="0033544B" w:rsidP="0033544B">
      <w:pPr>
        <w:pStyle w:val="CDIfootnotes"/>
      </w:pPr>
      <w:r>
        <w:t>f</w:t>
      </w:r>
      <w:r>
        <w:tab/>
        <w:t xml:space="preserve">Ten archived Sabin-like poliovirus type 1 samples were identified during a laboratory clean-up. Single isolations of Sabin-like poliovirus type 2 and type 3 were identified from </w:t>
      </w:r>
      <w:r>
        <w:rPr>
          <w:rFonts w:cs="Myriad Pro"/>
          <w:color w:val="221E1F"/>
          <w:sz w:val="16"/>
          <w:szCs w:val="16"/>
        </w:rPr>
        <w:t>sewage.</w:t>
      </w:r>
    </w:p>
    <w:p w14:paraId="1969146C" w14:textId="77777777" w:rsidR="0033544B" w:rsidRDefault="0033544B">
      <w:pPr>
        <w:pStyle w:val="NormalWeb"/>
      </w:pPr>
      <w:r>
        <w:t> </w:t>
      </w:r>
    </w:p>
    <w:p w14:paraId="6F414414" w14:textId="77777777" w:rsidR="004C775B" w:rsidRDefault="004C775B" w:rsidP="00976408">
      <w:pPr>
        <w:pStyle w:val="Heading2"/>
        <w:sectPr w:rsidR="004C775B" w:rsidSect="00A30C37">
          <w:pgSz w:w="11906" w:h="16838"/>
          <w:pgMar w:top="720" w:right="720" w:bottom="1134" w:left="720" w:header="709" w:footer="284" w:gutter="0"/>
          <w:cols w:space="708"/>
          <w:titlePg/>
          <w:docGrid w:linePitch="360"/>
        </w:sectPr>
      </w:pPr>
    </w:p>
    <w:p w14:paraId="35DDB318" w14:textId="77777777" w:rsidR="0033544B" w:rsidRPr="00976408" w:rsidRDefault="0033544B" w:rsidP="00976408">
      <w:pPr>
        <w:pStyle w:val="Heading2"/>
      </w:pPr>
      <w:r w:rsidRPr="00976408">
        <w:lastRenderedPageBreak/>
        <w:t xml:space="preserve">Enterovirus surveillance </w:t>
      </w:r>
    </w:p>
    <w:p w14:paraId="152C7511" w14:textId="77777777" w:rsidR="0033544B" w:rsidRDefault="0033544B" w:rsidP="00976408">
      <w:r>
        <w:t xml:space="preserve">Putative poliovirus samples in long-term storage were referred by a laboratory and were subsequently identified as Sabin poliovirus type 1. A total of 353 NPEVs were typed by members of the Enterovirus Reference Laboratory Network of Australia from clinical specimens (Tables 3 and 4). The most common genotypes identified, in order of decreasing frequency, were coxsackievirus B5, coxsackievirus A6, echovirus 6, and echovirus 18 collectively accounting for more than half the total, while only sporadic detections of enterovirus A71 were reported. </w:t>
      </w:r>
    </w:p>
    <w:p w14:paraId="6593BC61" w14:textId="77777777" w:rsidR="0033544B" w:rsidRPr="00976408" w:rsidRDefault="0033544B" w:rsidP="00976408">
      <w:pPr>
        <w:pStyle w:val="Heading2"/>
      </w:pPr>
      <w:r w:rsidRPr="00976408">
        <w:t xml:space="preserve">Environmental surveillance </w:t>
      </w:r>
    </w:p>
    <w:p w14:paraId="6FAEBFB5" w14:textId="77777777" w:rsidR="0033544B" w:rsidRDefault="0033544B" w:rsidP="00976408">
      <w:r>
        <w:t xml:space="preserve">Twenty-nine sewage samples were collected at a sentinel site in metropolitan Melbourne from January to August 2015. Two Sabin-like polioviruses were isolated in this period: type 3 in February and type 2 in March. The type 3 Sabin-like poliovirus had one nucleotide different from the Sabin prototype sequence, indicative of a recent vaccination event, but the type 2 poliovirus had four mutations compared to prototype sequence suggestive of five months replication. NPEVs act as an indicator organism for the collection, transport and test procedures and were identified from 26 samples. Enterovirus RNA was detected in one other sample but was of insufficient amount to type, while rhinovirus was identified in another sample. </w:t>
      </w:r>
    </w:p>
    <w:p w14:paraId="1DFD873B" w14:textId="77777777" w:rsidR="0033544B" w:rsidRPr="00976408" w:rsidRDefault="0033544B" w:rsidP="00976408">
      <w:pPr>
        <w:pStyle w:val="Heading2"/>
      </w:pPr>
      <w:r w:rsidRPr="00976408">
        <w:t xml:space="preserve">Polio regional reference laboratory activities </w:t>
      </w:r>
    </w:p>
    <w:p w14:paraId="22399B4E" w14:textId="77777777" w:rsidR="0033544B" w:rsidRDefault="0033544B" w:rsidP="00976408">
      <w:r>
        <w:t xml:space="preserve">As part of its role as a Polio Regional Reference Laboratory, in 2015, the NERL received specimens from AFP cases referred from Brunei Darussalam (4 cases), Pacific Island countries (17 cases) and Papua New Guinea (26 cases). Sabin-like poliovirus type 3 was isolated from one AFP case from Fiji and Sabin-like poliovirus type 1 from one case from Papua New Guinea. NPEVs were reported from one AFP case from Brunei Darussalam, two cases from the Pacific Islands and 10 AFP cases from Papua New Guinea. </w:t>
      </w:r>
    </w:p>
    <w:p w14:paraId="1707D402" w14:textId="77777777" w:rsidR="0033544B" w:rsidRPr="00976408" w:rsidRDefault="0033544B" w:rsidP="00976408">
      <w:pPr>
        <w:pStyle w:val="Heading2"/>
      </w:pPr>
      <w:r w:rsidRPr="00976408">
        <w:t xml:space="preserve">Quality assurance programs </w:t>
      </w:r>
    </w:p>
    <w:p w14:paraId="225D0DF2" w14:textId="77777777" w:rsidR="0033544B" w:rsidRDefault="0033544B" w:rsidP="00976408">
      <w:r>
        <w:t xml:space="preserve">In 2015, the NERL was accredited as a WHO Polio Regional Reference Laboratory through participation in the annual WHO poliovirus isolation quality assurance panel. The laboratory was accredited for quality and competence as a medical laboratory by the National Association of Testing Authorities and also successfully participated in the Royal College of Pathologists of Australasia quality assurance panel for enterovirus detection by RT-PCR. </w:t>
      </w:r>
    </w:p>
    <w:p w14:paraId="66ECBFC0" w14:textId="77777777" w:rsidR="0033544B" w:rsidRPr="00976408" w:rsidRDefault="0033544B" w:rsidP="00976408">
      <w:pPr>
        <w:pStyle w:val="Heading1"/>
      </w:pPr>
      <w:r w:rsidRPr="00976408">
        <w:t xml:space="preserve">Discussion </w:t>
      </w:r>
    </w:p>
    <w:p w14:paraId="2385037D" w14:textId="77777777" w:rsidR="0033544B" w:rsidRDefault="0033544B" w:rsidP="00976408">
      <w:r>
        <w:t>Australia has met the WHO non-polio AFP surveillance target for the eighth year in a row, reporting 1.2 cases per 100,000 children less than 15 years of age. The notification of AFP cases via the APSU monthly report card and the PAEDS system has routinely met the international standard that assesses whether an imported case of polio in children less than 15 years of age would be detected, although gaps in AFP surveillance were noted at the sub-national level in the Australian Capital Territory and New South Wales.</w:t>
      </w:r>
      <w:r>
        <w:rPr>
          <w:vertAlign w:val="superscript"/>
        </w:rPr>
        <w:t>1,2,3</w:t>
      </w:r>
      <w:r>
        <w:t xml:space="preserve"> Australia has never met the strict WHO surveillance target for adequate stool collection from 80% of the non-polio AFP cases, however 75% of the cases had at least one specimen collected within 14 days of the onset of paralysis. Enterovirus and environmental surveillance for poliovirus supplement the AFP surveillance program and in total provide a comprehensive surveillance system monitoring Australia’s polio-free status. </w:t>
      </w:r>
    </w:p>
    <w:p w14:paraId="40E3AAFA" w14:textId="77777777" w:rsidR="0033544B" w:rsidRDefault="0033544B" w:rsidP="00976408">
      <w:r>
        <w:t xml:space="preserve">Four key points in 2015 highlight the significant progress made in the WHO polio eradication program: </w:t>
      </w:r>
    </w:p>
    <w:p w14:paraId="7923071E" w14:textId="77777777" w:rsidR="0033544B" w:rsidRPr="00976408" w:rsidRDefault="0033544B" w:rsidP="00976408">
      <w:pPr>
        <w:pStyle w:val="ListParagraph"/>
        <w:numPr>
          <w:ilvl w:val="0"/>
          <w:numId w:val="12"/>
        </w:numPr>
        <w:rPr>
          <w:rFonts w:eastAsia="Times New Roman"/>
        </w:rPr>
      </w:pPr>
      <w:r w:rsidRPr="00976408">
        <w:rPr>
          <w:rFonts w:eastAsia="Times New Roman"/>
        </w:rPr>
        <w:t xml:space="preserve">The reporting of 74 polio cases worldwide, all caused by wild poliovirus type 1, is the lowest number recorded since the goal of global polio eradication was declared in </w:t>
      </w:r>
      <w:proofErr w:type="gramStart"/>
      <w:r w:rsidRPr="00976408">
        <w:rPr>
          <w:rFonts w:eastAsia="Times New Roman"/>
        </w:rPr>
        <w:t>1988;</w:t>
      </w:r>
      <w:proofErr w:type="gramEnd"/>
      <w:r w:rsidRPr="00976408">
        <w:rPr>
          <w:rFonts w:eastAsia="Times New Roman"/>
        </w:rPr>
        <w:t xml:space="preserve"> </w:t>
      </w:r>
    </w:p>
    <w:p w14:paraId="4FD502FB" w14:textId="77777777" w:rsidR="0033544B" w:rsidRPr="00976408" w:rsidRDefault="0033544B" w:rsidP="00976408">
      <w:pPr>
        <w:pStyle w:val="ListParagraph"/>
        <w:numPr>
          <w:ilvl w:val="0"/>
          <w:numId w:val="12"/>
        </w:numPr>
        <w:rPr>
          <w:rFonts w:eastAsia="Times New Roman"/>
        </w:rPr>
      </w:pPr>
      <w:r w:rsidRPr="00976408">
        <w:rPr>
          <w:rFonts w:eastAsia="Times New Roman"/>
        </w:rPr>
        <w:t>The declaration of Nigeria as polio-free</w:t>
      </w:r>
      <w:r w:rsidR="00D65257">
        <w:rPr>
          <w:rFonts w:eastAsia="Times New Roman"/>
        </w:rPr>
        <w:t>,</w:t>
      </w:r>
      <w:r w:rsidRPr="00976408">
        <w:rPr>
          <w:rFonts w:eastAsia="Times New Roman"/>
        </w:rPr>
        <w:t xml:space="preserve"> in September 2015, reduced the number of endemic polio countries to two (Afghanistan and Pakistan), the fewest ever </w:t>
      </w:r>
      <w:proofErr w:type="gramStart"/>
      <w:r w:rsidRPr="00976408">
        <w:rPr>
          <w:rFonts w:eastAsia="Times New Roman"/>
        </w:rPr>
        <w:t>recorded;</w:t>
      </w:r>
      <w:proofErr w:type="gramEnd"/>
      <w:r w:rsidRPr="00976408">
        <w:rPr>
          <w:rFonts w:eastAsia="Times New Roman"/>
        </w:rPr>
        <w:t xml:space="preserve"> </w:t>
      </w:r>
    </w:p>
    <w:p w14:paraId="39E04567" w14:textId="77777777" w:rsidR="0033544B" w:rsidRPr="00976408" w:rsidRDefault="0033544B" w:rsidP="00976408">
      <w:pPr>
        <w:pStyle w:val="ListParagraph"/>
        <w:numPr>
          <w:ilvl w:val="0"/>
          <w:numId w:val="12"/>
        </w:numPr>
        <w:rPr>
          <w:rFonts w:eastAsia="Times New Roman"/>
        </w:rPr>
      </w:pPr>
      <w:r w:rsidRPr="00976408">
        <w:rPr>
          <w:rFonts w:eastAsia="Times New Roman"/>
        </w:rPr>
        <w:t xml:space="preserve">In 2015, for the first time since at least 2000, no polio-free countries reported importations of wild polio; and </w:t>
      </w:r>
    </w:p>
    <w:p w14:paraId="6BD361AC" w14:textId="77777777" w:rsidR="0033544B" w:rsidRPr="00976408" w:rsidRDefault="0033544B" w:rsidP="00976408">
      <w:pPr>
        <w:pStyle w:val="ListParagraph"/>
        <w:numPr>
          <w:ilvl w:val="0"/>
          <w:numId w:val="12"/>
        </w:numPr>
        <w:rPr>
          <w:rFonts w:eastAsia="Times New Roman"/>
        </w:rPr>
      </w:pPr>
      <w:r w:rsidRPr="00976408">
        <w:rPr>
          <w:rFonts w:eastAsia="Times New Roman"/>
        </w:rPr>
        <w:lastRenderedPageBreak/>
        <w:t>The certification of the global eradication of wild poliovirus type 2, in September 2015, leaves serotypes 1 and 3 as the remaining targets of the eradication program.</w:t>
      </w:r>
      <w:r w:rsidRPr="00976408">
        <w:rPr>
          <w:rFonts w:eastAsia="Times New Roman"/>
          <w:vertAlign w:val="superscript"/>
        </w:rPr>
        <w:t xml:space="preserve">4,5,7 </w:t>
      </w:r>
    </w:p>
    <w:p w14:paraId="2756FAD9" w14:textId="77777777" w:rsidR="0033544B" w:rsidRDefault="0033544B" w:rsidP="00976408">
      <w:r>
        <w:t>Furthermore, wild poliovirus type 3, last detected in 2012, is likely to have been eradicated, but WHO may be circumspect in certifying this achievement as fewer than 1% of poliovirus type 3 infections present with paralysis or poliomyelitis.</w:t>
      </w:r>
      <w:r>
        <w:rPr>
          <w:vertAlign w:val="superscript"/>
        </w:rPr>
        <w:t>4</w:t>
      </w:r>
      <w:r>
        <w:t xml:space="preserve"> It is essential that sensitive surveillance systems are maintained until the global eradication of polio is declared for all three poliovirus serotypes. </w:t>
      </w:r>
    </w:p>
    <w:p w14:paraId="4EE217F2" w14:textId="77777777" w:rsidR="0033544B" w:rsidRDefault="0033544B" w:rsidP="00976408">
      <w:r>
        <w:t xml:space="preserve">Never have there been so few polio cases involving only one of the three poliovirus serotypes in so few countries. This achievement underscores the </w:t>
      </w:r>
      <w:r w:rsidRPr="00D65257">
        <w:rPr>
          <w:i/>
        </w:rPr>
        <w:t>WHO Polio Endgame Eradication Strategic Plan, 2013–2018</w:t>
      </w:r>
      <w:r>
        <w:t>, that recommends the withdrawal of the Sabin poliovirus type 2 strain from oral polio vaccine in April 2016.</w:t>
      </w:r>
      <w:r>
        <w:rPr>
          <w:vertAlign w:val="superscript"/>
        </w:rPr>
        <w:t>20</w:t>
      </w:r>
      <w:r>
        <w:t xml:space="preserve"> While wild poliovirus type 2 has been eradicated, outbreaks of paralytic polio caused by circulating vaccine-derived poliovirus type 2 have occurred with the virus evolving through person-to-person transmission in areas with low polio vaccine coverage that will be prevented by removal of the virus from oral polio vaccine. From April 2016, all countries will include at least one dose of trivalent inactivated polio vaccine in routine immunisation schedules as insurance to maintain immunity to poliovirus type 2. </w:t>
      </w:r>
    </w:p>
    <w:p w14:paraId="52BD72D5" w14:textId="77777777" w:rsidR="0033544B" w:rsidRDefault="0033544B" w:rsidP="00976408">
      <w:r>
        <w:t>The withdrawal of poliovirus type 2 from the oral polio vaccine means the last remaining stocks of the virus will be held by vaccine production facilities and research and diagnostic laboratories. WHO has requested all facilities to destroy any unwanted material containing type 2 poliovirus or to transfer it to a polio essential facility that complies with the strict laboratory containment regulations stipulated in the 3</w:t>
      </w:r>
      <w:r>
        <w:rPr>
          <w:vertAlign w:val="superscript"/>
        </w:rPr>
        <w:t>rd</w:t>
      </w:r>
      <w:r>
        <w:t xml:space="preserve"> edition of the </w:t>
      </w:r>
      <w:r w:rsidRPr="009767EE">
        <w:rPr>
          <w:rStyle w:val="Emphasis"/>
          <w:b w:val="0"/>
        </w:rPr>
        <w:t>WHO Global Action Plan to minimize poliovirus facility-associated risk after type-specific eradication of wild polioviruses and sequential cessation of OPV use</w:t>
      </w:r>
      <w:r>
        <w:t xml:space="preserve"> (GAPIII).</w:t>
      </w:r>
      <w:r>
        <w:rPr>
          <w:vertAlign w:val="superscript"/>
        </w:rPr>
        <w:t>21</w:t>
      </w:r>
      <w:r>
        <w:t xml:space="preserve"> Wild poliovirus type 2 material must have been destroyed or contained by 31 December 2015 and Sabin poliovirus type 2 material must be destroyed or contained by 31 July</w:t>
      </w:r>
      <w:r w:rsidR="00CC249C">
        <w:t> </w:t>
      </w:r>
      <w:r>
        <w:t xml:space="preserve">2016. </w:t>
      </w:r>
    </w:p>
    <w:p w14:paraId="48EB4000" w14:textId="77777777" w:rsidR="0033544B" w:rsidRDefault="0033544B" w:rsidP="00976408">
      <w:r>
        <w:t>At the end of 2015, the Australian government nominated the NERL to WHO as a polio essential facility for wild and OPV/Sabin poliovirus strains, which will enable the laboratory to continue to fully characterise all polioviruses detected in Australia. The detection of two Sabin poliovirus strains, including a type 2 serotype estimated to have been replicating in one or more persons for more than five months, from sewage collected in Melbourne during 2015, is a stark reminder that poliovirus importations continue to occur since Australia ceased usage of oral polio vaccine in 2005. Laboratories in Australia are recommended to refer any putative poliovirus from any source immediately to the NERL for full characterisation. The identification of Sabin poliovirus type 1 from archived laboratory samples demonstrates that not all stocks of poliovirus have been accounted for in Australia, supporting the recommendation made by the National Certification Commission for Poliomyelitis Eradication to review the laboratory containment of poliovirus.</w:t>
      </w:r>
      <w:r>
        <w:rPr>
          <w:vertAlign w:val="superscript"/>
        </w:rPr>
        <w:t xml:space="preserve">22 </w:t>
      </w:r>
    </w:p>
    <w:p w14:paraId="04032C0D" w14:textId="77777777" w:rsidR="0033544B" w:rsidRPr="00976408" w:rsidRDefault="0033544B" w:rsidP="00976408">
      <w:pPr>
        <w:pStyle w:val="Heading1"/>
      </w:pPr>
      <w:r w:rsidRPr="00976408">
        <w:t xml:space="preserve">Acknowledgements </w:t>
      </w:r>
    </w:p>
    <w:p w14:paraId="08BD9F5B" w14:textId="77777777" w:rsidR="0033544B" w:rsidRDefault="0033544B" w:rsidP="00976408">
      <w:r>
        <w:t xml:space="preserve">The authors thank the clinicians and healthcare workers who participated in the AFP surveillance program in 2015 as well as the teams at APSU and PAEDS. The active involvement of the laboratory members of the ERLNA is gratefully acknowledged. The polio surveillance program co-ordinated by the NERL is funded by the Australian Government Department of Health, the Victorian </w:t>
      </w:r>
      <w:r w:rsidR="00CC4440">
        <w:t>G</w:t>
      </w:r>
      <w:r>
        <w:t xml:space="preserve">overnment Department of Health and VIDRL. </w:t>
      </w:r>
    </w:p>
    <w:p w14:paraId="6D97151C" w14:textId="77777777" w:rsidR="00641A0E" w:rsidRDefault="00641A0E">
      <w:pPr>
        <w:rPr>
          <w:rFonts w:asciiTheme="majorHAnsi" w:eastAsiaTheme="majorEastAsia" w:hAnsiTheme="majorHAnsi" w:cstheme="majorBidi"/>
          <w:b/>
          <w:bCs/>
          <w:sz w:val="32"/>
          <w:szCs w:val="28"/>
        </w:rPr>
      </w:pPr>
      <w:r>
        <w:br w:type="page"/>
      </w:r>
    </w:p>
    <w:p w14:paraId="5811D612" w14:textId="77777777" w:rsidR="0033544B" w:rsidRPr="00976408" w:rsidRDefault="0033544B" w:rsidP="00976408">
      <w:pPr>
        <w:pStyle w:val="Heading1"/>
      </w:pPr>
      <w:r w:rsidRPr="00976408">
        <w:lastRenderedPageBreak/>
        <w:t xml:space="preserve">Author details </w:t>
      </w:r>
    </w:p>
    <w:p w14:paraId="3F4E56F7" w14:textId="77777777" w:rsidR="0033544B" w:rsidRDefault="0033544B" w:rsidP="001361BC">
      <w:pPr>
        <w:pStyle w:val="NoSpacing"/>
      </w:pPr>
      <w:r>
        <w:t>Dr Jason Roberts, Senior Medical Scientist</w:t>
      </w:r>
      <w:r>
        <w:rPr>
          <w:vertAlign w:val="superscript"/>
        </w:rPr>
        <w:t xml:space="preserve">1 </w:t>
      </w:r>
    </w:p>
    <w:p w14:paraId="3B6B272F" w14:textId="77777777" w:rsidR="0033544B" w:rsidRDefault="0033544B" w:rsidP="001361BC">
      <w:pPr>
        <w:pStyle w:val="NoSpacing"/>
      </w:pPr>
      <w:r>
        <w:t>Ms Linda Hobday, Medical Scientist</w:t>
      </w:r>
      <w:r>
        <w:rPr>
          <w:vertAlign w:val="superscript"/>
        </w:rPr>
        <w:t xml:space="preserve">1 </w:t>
      </w:r>
    </w:p>
    <w:p w14:paraId="18CB0DAB" w14:textId="77777777" w:rsidR="0033544B" w:rsidRDefault="0033544B" w:rsidP="001361BC">
      <w:pPr>
        <w:pStyle w:val="NoSpacing"/>
      </w:pPr>
      <w:r>
        <w:t>Mrs Aishah Ibrahim, Medical Scientist</w:t>
      </w:r>
      <w:r>
        <w:rPr>
          <w:vertAlign w:val="superscript"/>
        </w:rPr>
        <w:t xml:space="preserve">1 </w:t>
      </w:r>
    </w:p>
    <w:p w14:paraId="40D8198F" w14:textId="77777777" w:rsidR="0033544B" w:rsidRDefault="0033544B" w:rsidP="001361BC">
      <w:pPr>
        <w:pStyle w:val="NoSpacing"/>
      </w:pPr>
      <w:r>
        <w:t>Mr Thomas Aitken, Administration Assistant</w:t>
      </w:r>
      <w:r>
        <w:rPr>
          <w:vertAlign w:val="superscript"/>
        </w:rPr>
        <w:t xml:space="preserve">1 </w:t>
      </w:r>
    </w:p>
    <w:p w14:paraId="3D5964E2" w14:textId="77777777" w:rsidR="0033544B" w:rsidRDefault="0033544B" w:rsidP="001361BC">
      <w:pPr>
        <w:pStyle w:val="NoSpacing"/>
      </w:pPr>
      <w:r>
        <w:t>A/Prof. Bruce Thorley, Senior Medical Scientist, Laboratory Head</w:t>
      </w:r>
      <w:r>
        <w:rPr>
          <w:vertAlign w:val="superscript"/>
        </w:rPr>
        <w:t xml:space="preserve">1 </w:t>
      </w:r>
    </w:p>
    <w:p w14:paraId="297FF517" w14:textId="77777777" w:rsidR="0033544B" w:rsidRPr="00976408" w:rsidRDefault="0033544B" w:rsidP="00976408">
      <w:pPr>
        <w:pStyle w:val="ListParagraph"/>
        <w:numPr>
          <w:ilvl w:val="0"/>
          <w:numId w:val="13"/>
        </w:numPr>
        <w:rPr>
          <w:rFonts w:eastAsia="Times New Roman"/>
        </w:rPr>
      </w:pPr>
      <w:r w:rsidRPr="00976408">
        <w:rPr>
          <w:rFonts w:eastAsia="Times New Roman"/>
        </w:rPr>
        <w:t xml:space="preserve">National Enterovirus Reference Laboratory, Victorian Infectious Diseases Reference Laboratory, Doherty Institute, 792 Elizabeth St, Melbourne 3000, Victoria, Australia </w:t>
      </w:r>
    </w:p>
    <w:p w14:paraId="2CEA35AB" w14:textId="77777777" w:rsidR="0033544B" w:rsidRPr="00976408" w:rsidRDefault="00F41F9F" w:rsidP="00976408">
      <w:pPr>
        <w:pStyle w:val="Heading2"/>
      </w:pPr>
      <w:r>
        <w:t>Corresponding author</w:t>
      </w:r>
    </w:p>
    <w:p w14:paraId="3019B172" w14:textId="77777777" w:rsidR="0033544B" w:rsidRDefault="0033544B" w:rsidP="00CC4440">
      <w:pPr>
        <w:spacing w:after="0"/>
      </w:pPr>
      <w:r>
        <w:t xml:space="preserve">A/Prof. Bruce Thorley </w:t>
      </w:r>
    </w:p>
    <w:p w14:paraId="64B93176" w14:textId="77777777" w:rsidR="0033544B" w:rsidRDefault="0033544B" w:rsidP="001361BC">
      <w:pPr>
        <w:pStyle w:val="NoSpacing"/>
      </w:pPr>
      <w:r>
        <w:t xml:space="preserve">Senior Medical Scientist, Laboratory Head, National Enterovirus Reference Laboratory, Victorian Infectious Diseases Reference Laboratory, Locked Bag 815, CARLTON SOUTH VIC 3053. </w:t>
      </w:r>
    </w:p>
    <w:p w14:paraId="2FAB6DE9" w14:textId="77777777" w:rsidR="0033544B" w:rsidRDefault="0033544B" w:rsidP="001361BC">
      <w:pPr>
        <w:pStyle w:val="NoSpacing"/>
      </w:pPr>
      <w:r>
        <w:t xml:space="preserve">Telephone: +61 3 9342 9607. </w:t>
      </w:r>
    </w:p>
    <w:p w14:paraId="5EA448A7" w14:textId="77777777" w:rsidR="0033544B" w:rsidRDefault="0033544B" w:rsidP="001361BC">
      <w:pPr>
        <w:pStyle w:val="NoSpacing"/>
      </w:pPr>
      <w:r>
        <w:t xml:space="preserve">Facsimile: +61 3 9342 9665. </w:t>
      </w:r>
    </w:p>
    <w:p w14:paraId="5F8413AB" w14:textId="6B5873C0" w:rsidR="0033544B" w:rsidRDefault="005735F6" w:rsidP="001361BC">
      <w:pPr>
        <w:pStyle w:val="NoSpacing"/>
      </w:pPr>
      <w:r>
        <w:t xml:space="preserve">Email: </w:t>
      </w:r>
      <w:hyperlink r:id="rId15" w:history="1">
        <w:r w:rsidRPr="00546918">
          <w:rPr>
            <w:rStyle w:val="Hyperlink"/>
          </w:rPr>
          <w:t>bruce.thorley@mh.org.au</w:t>
        </w:r>
      </w:hyperlink>
      <w:r>
        <w:t xml:space="preserve"> </w:t>
      </w:r>
    </w:p>
    <w:p w14:paraId="68F381A0" w14:textId="77777777" w:rsidR="0033544B" w:rsidRPr="00976408" w:rsidRDefault="0033544B" w:rsidP="00976408">
      <w:pPr>
        <w:pStyle w:val="Heading1"/>
      </w:pPr>
      <w:r w:rsidRPr="00976408">
        <w:t xml:space="preserve">References </w:t>
      </w:r>
    </w:p>
    <w:p w14:paraId="60C0D6A7" w14:textId="77777777" w:rsidR="0033544B" w:rsidRPr="00976408" w:rsidRDefault="0033544B" w:rsidP="00976408">
      <w:pPr>
        <w:pStyle w:val="ListParagraph"/>
        <w:numPr>
          <w:ilvl w:val="0"/>
          <w:numId w:val="14"/>
        </w:numPr>
        <w:rPr>
          <w:rFonts w:eastAsia="Times New Roman"/>
        </w:rPr>
      </w:pPr>
      <w:r w:rsidRPr="00976408">
        <w:rPr>
          <w:rFonts w:eastAsia="Times New Roman"/>
        </w:rPr>
        <w:t>Australian Paediatric Surveillance Unit (APSU). Study Protocol, Acute Flaccid Paralysis. [Internet.] APSU, 2014. [Accessed: 1 March 2016.] Available from: http://www.apsu.org.au/assets/current-studies/AFP-Study-Protocol-June-2014.pdf</w:t>
      </w:r>
    </w:p>
    <w:p w14:paraId="60F7A45A" w14:textId="77777777" w:rsidR="0033544B" w:rsidRPr="00976408" w:rsidRDefault="0033544B" w:rsidP="00976408">
      <w:pPr>
        <w:pStyle w:val="ListParagraph"/>
        <w:numPr>
          <w:ilvl w:val="0"/>
          <w:numId w:val="14"/>
        </w:numPr>
        <w:rPr>
          <w:rFonts w:eastAsia="Times New Roman"/>
        </w:rPr>
      </w:pPr>
      <w:r w:rsidRPr="00976408">
        <w:rPr>
          <w:rFonts w:eastAsia="Times New Roman"/>
        </w:rPr>
        <w:t xml:space="preserve">Australian Paediatric Surveillance Unit (APSU). Paediatric Active Enhanced Disease Surveillance. [Internet.]. APSU. [Accessed: 1 March 2016.] Available from: http://www.apsu.org.au/surveillance-systems/paeds/ . </w:t>
      </w:r>
    </w:p>
    <w:p w14:paraId="1768E8D0" w14:textId="77777777" w:rsidR="0033544B" w:rsidRPr="00976408" w:rsidRDefault="0033544B" w:rsidP="00976408">
      <w:pPr>
        <w:pStyle w:val="ListParagraph"/>
        <w:numPr>
          <w:ilvl w:val="0"/>
          <w:numId w:val="14"/>
        </w:numPr>
        <w:rPr>
          <w:rFonts w:eastAsia="Times New Roman"/>
        </w:rPr>
      </w:pPr>
      <w:proofErr w:type="spellStart"/>
      <w:r w:rsidRPr="00976408">
        <w:rPr>
          <w:rFonts w:eastAsia="Times New Roman"/>
        </w:rPr>
        <w:t>Zurynski</w:t>
      </w:r>
      <w:proofErr w:type="spellEnd"/>
      <w:r w:rsidRPr="00976408">
        <w:rPr>
          <w:rFonts w:eastAsia="Times New Roman"/>
        </w:rPr>
        <w:t xml:space="preserve"> Y, McIntyre P, </w:t>
      </w:r>
      <w:proofErr w:type="spellStart"/>
      <w:r w:rsidRPr="00976408">
        <w:rPr>
          <w:rFonts w:eastAsia="Times New Roman"/>
        </w:rPr>
        <w:t>Booy</w:t>
      </w:r>
      <w:proofErr w:type="spellEnd"/>
      <w:r w:rsidRPr="00976408">
        <w:rPr>
          <w:rFonts w:eastAsia="Times New Roman"/>
        </w:rPr>
        <w:t xml:space="preserve"> R, Elliott EJ, PAEDS Investigators Group. Paediatric active enhanced disease surveillance: a new surveillance system for Australia. </w:t>
      </w:r>
      <w:r w:rsidRPr="009767EE">
        <w:rPr>
          <w:rStyle w:val="Emphasis"/>
          <w:rFonts w:eastAsia="Times New Roman"/>
          <w:b w:val="0"/>
        </w:rPr>
        <w:t xml:space="preserve">J </w:t>
      </w:r>
      <w:proofErr w:type="spellStart"/>
      <w:r w:rsidRPr="009767EE">
        <w:rPr>
          <w:rStyle w:val="Emphasis"/>
          <w:rFonts w:eastAsia="Times New Roman"/>
          <w:b w:val="0"/>
        </w:rPr>
        <w:t>Paediatr</w:t>
      </w:r>
      <w:proofErr w:type="spellEnd"/>
      <w:r w:rsidRPr="009767EE">
        <w:rPr>
          <w:rStyle w:val="Emphasis"/>
          <w:rFonts w:eastAsia="Times New Roman"/>
          <w:b w:val="0"/>
        </w:rPr>
        <w:t xml:space="preserve"> Child Health.</w:t>
      </w:r>
      <w:r w:rsidRPr="00976408">
        <w:rPr>
          <w:rFonts w:eastAsia="Times New Roman"/>
        </w:rPr>
        <w:t xml:space="preserve"> 2013;49(7):588–94. </w:t>
      </w:r>
    </w:p>
    <w:p w14:paraId="2EB83E6B" w14:textId="77777777" w:rsidR="0033544B" w:rsidRPr="00976408" w:rsidRDefault="0033544B" w:rsidP="00976408">
      <w:pPr>
        <w:pStyle w:val="ListParagraph"/>
        <w:numPr>
          <w:ilvl w:val="0"/>
          <w:numId w:val="14"/>
        </w:numPr>
        <w:rPr>
          <w:rFonts w:eastAsia="Times New Roman"/>
        </w:rPr>
      </w:pPr>
      <w:r w:rsidRPr="00976408">
        <w:rPr>
          <w:rFonts w:eastAsia="Times New Roman"/>
        </w:rPr>
        <w:t>World Health Organization (WHO). Wild poliovirus 2011–2016. [Internet.] WHO, 2016. [Accessed: 21 March 2016.] Available from: http://www.polioeradication.org/Portals/0/Document/Data&amp;Monitoring/WPV_2011-2016_15MAR.pdf</w:t>
      </w:r>
    </w:p>
    <w:p w14:paraId="6D3F53F4" w14:textId="77777777" w:rsidR="0033544B" w:rsidRPr="00976408" w:rsidRDefault="0033544B" w:rsidP="00976408">
      <w:pPr>
        <w:pStyle w:val="ListParagraph"/>
        <w:numPr>
          <w:ilvl w:val="0"/>
          <w:numId w:val="14"/>
        </w:numPr>
        <w:rPr>
          <w:rFonts w:eastAsia="Times New Roman"/>
        </w:rPr>
      </w:pPr>
      <w:r w:rsidRPr="00976408">
        <w:rPr>
          <w:rFonts w:eastAsia="Times New Roman"/>
        </w:rPr>
        <w:t>World Health Organization (WHO). WHO removes Nigeria from polio endemic list. [Internet.] WHO, 2015. [Accessed: 21 March 2016.] Available from: http://www.who.int/mediacentre/news/releases/2015/nigeria-polio/en/</w:t>
      </w:r>
    </w:p>
    <w:p w14:paraId="3184A39D" w14:textId="77777777" w:rsidR="0033544B" w:rsidRPr="00976408" w:rsidRDefault="0033544B" w:rsidP="00976408">
      <w:pPr>
        <w:pStyle w:val="ListParagraph"/>
        <w:numPr>
          <w:ilvl w:val="0"/>
          <w:numId w:val="14"/>
        </w:numPr>
        <w:rPr>
          <w:rFonts w:eastAsia="Times New Roman"/>
        </w:rPr>
      </w:pPr>
      <w:r w:rsidRPr="00976408">
        <w:rPr>
          <w:rFonts w:eastAsia="Times New Roman"/>
        </w:rPr>
        <w:t xml:space="preserve">Kew OM, </w:t>
      </w:r>
      <w:proofErr w:type="spellStart"/>
      <w:r w:rsidRPr="00976408">
        <w:rPr>
          <w:rFonts w:eastAsia="Times New Roman"/>
        </w:rPr>
        <w:t>Cochi</w:t>
      </w:r>
      <w:proofErr w:type="spellEnd"/>
      <w:r w:rsidRPr="00976408">
        <w:rPr>
          <w:rFonts w:eastAsia="Times New Roman"/>
        </w:rPr>
        <w:t xml:space="preserve"> SL, Jafari HS, </w:t>
      </w:r>
      <w:proofErr w:type="spellStart"/>
      <w:r w:rsidRPr="00976408">
        <w:rPr>
          <w:rFonts w:eastAsia="Times New Roman"/>
        </w:rPr>
        <w:t>Sassilak</w:t>
      </w:r>
      <w:proofErr w:type="spellEnd"/>
      <w:r w:rsidRPr="00976408">
        <w:rPr>
          <w:rFonts w:eastAsia="Times New Roman"/>
        </w:rPr>
        <w:t xml:space="preserve"> SG, Mast EE, Diop OM et al. Possible eradication of wild poliovirus type 3 – worldwide, 2012. </w:t>
      </w:r>
      <w:r w:rsidRPr="009767EE">
        <w:rPr>
          <w:rStyle w:val="Emphasis"/>
          <w:rFonts w:eastAsia="Times New Roman"/>
          <w:b w:val="0"/>
        </w:rPr>
        <w:t xml:space="preserve">MMWR </w:t>
      </w:r>
      <w:proofErr w:type="spellStart"/>
      <w:r w:rsidRPr="009767EE">
        <w:rPr>
          <w:rStyle w:val="Emphasis"/>
          <w:rFonts w:eastAsia="Times New Roman"/>
          <w:b w:val="0"/>
        </w:rPr>
        <w:t>Morb</w:t>
      </w:r>
      <w:proofErr w:type="spellEnd"/>
      <w:r w:rsidRPr="009767EE">
        <w:rPr>
          <w:rStyle w:val="Emphasis"/>
          <w:rFonts w:eastAsia="Times New Roman"/>
          <w:b w:val="0"/>
        </w:rPr>
        <w:t xml:space="preserve"> Mortal </w:t>
      </w:r>
      <w:proofErr w:type="spellStart"/>
      <w:r w:rsidRPr="009767EE">
        <w:rPr>
          <w:rStyle w:val="Emphasis"/>
          <w:rFonts w:eastAsia="Times New Roman"/>
          <w:b w:val="0"/>
        </w:rPr>
        <w:t>Wkly</w:t>
      </w:r>
      <w:proofErr w:type="spellEnd"/>
      <w:r w:rsidRPr="009767EE">
        <w:rPr>
          <w:rStyle w:val="Emphasis"/>
          <w:rFonts w:eastAsia="Times New Roman"/>
          <w:b w:val="0"/>
        </w:rPr>
        <w:t xml:space="preserve"> Rep</w:t>
      </w:r>
      <w:r w:rsidRPr="00976408">
        <w:rPr>
          <w:rFonts w:eastAsia="Times New Roman"/>
        </w:rPr>
        <w:t xml:space="preserve">. 2014; 63(45):1031–3. </w:t>
      </w:r>
    </w:p>
    <w:p w14:paraId="48858E22" w14:textId="77777777" w:rsidR="0033544B" w:rsidRPr="00976408" w:rsidRDefault="0033544B" w:rsidP="00976408">
      <w:pPr>
        <w:pStyle w:val="ListParagraph"/>
        <w:numPr>
          <w:ilvl w:val="0"/>
          <w:numId w:val="14"/>
        </w:numPr>
        <w:rPr>
          <w:rFonts w:eastAsia="Times New Roman"/>
        </w:rPr>
      </w:pPr>
      <w:r w:rsidRPr="00976408">
        <w:rPr>
          <w:rFonts w:eastAsia="Times New Roman"/>
        </w:rPr>
        <w:t>World Health Organization (WHO). Global eradication of wild poliovirus type 2 declared. [Internet.] WHO, 2015. [Accessed: 1 March 2016.] Available from: http://www.polioeradication.org/mediaroom/newsstories/Global-eradication-of-wild-poliovirus-type-2-declared/tabid/526/news/1289/Default.aspx</w:t>
      </w:r>
    </w:p>
    <w:p w14:paraId="46AA8EDC" w14:textId="77777777" w:rsidR="0033544B" w:rsidRPr="00976408" w:rsidRDefault="0033544B" w:rsidP="00976408">
      <w:pPr>
        <w:pStyle w:val="ListParagraph"/>
        <w:numPr>
          <w:ilvl w:val="0"/>
          <w:numId w:val="14"/>
        </w:numPr>
        <w:rPr>
          <w:rFonts w:eastAsia="Times New Roman"/>
        </w:rPr>
      </w:pPr>
      <w:r w:rsidRPr="00976408">
        <w:rPr>
          <w:rFonts w:eastAsia="Times New Roman"/>
        </w:rPr>
        <w:t>World Health Organization (WHO). Containment of polioviruses. [Internet.] WHO. [Accessed: 21 March 2016.] Available from: http://www.polioeradication.org/Posteradication/Containment.aspx</w:t>
      </w:r>
    </w:p>
    <w:p w14:paraId="183765F7" w14:textId="77777777" w:rsidR="0033544B" w:rsidRPr="00976408" w:rsidRDefault="0033544B" w:rsidP="00976408">
      <w:pPr>
        <w:pStyle w:val="ListParagraph"/>
        <w:numPr>
          <w:ilvl w:val="0"/>
          <w:numId w:val="14"/>
        </w:numPr>
        <w:rPr>
          <w:rFonts w:eastAsia="Times New Roman"/>
        </w:rPr>
      </w:pPr>
      <w:r w:rsidRPr="00976408">
        <w:rPr>
          <w:rFonts w:eastAsia="Times New Roman"/>
        </w:rPr>
        <w:t>World Health Organization (WHO). Statement on the 8th IHR Emergency Committee meeting regarding the international spread of poliovirus. [Internet.] WHO, 2016. [Accessed: 29 March 2016.] Available from: http://www.who.int/mediacentre/news/statements/2016/8th-IHR-emergency-committee-polio/en/</w:t>
      </w:r>
    </w:p>
    <w:p w14:paraId="204F789E" w14:textId="77777777" w:rsidR="0033544B" w:rsidRPr="00976408" w:rsidRDefault="0033544B" w:rsidP="00976408">
      <w:pPr>
        <w:pStyle w:val="ListParagraph"/>
        <w:numPr>
          <w:ilvl w:val="0"/>
          <w:numId w:val="14"/>
        </w:numPr>
        <w:rPr>
          <w:rFonts w:eastAsia="Times New Roman"/>
        </w:rPr>
      </w:pPr>
      <w:r w:rsidRPr="00976408">
        <w:rPr>
          <w:rFonts w:eastAsia="Times New Roman"/>
        </w:rPr>
        <w:t xml:space="preserve">World Health Organization (WHO). Circulating vaccine-derived poliovirus cases, 2000–2016. [Internet.] WHO, 2016. [Accessed: 29 March 2016.] Available from: </w:t>
      </w:r>
      <w:r w:rsidRPr="00CC4440">
        <w:rPr>
          <w:rFonts w:eastAsia="Times New Roman"/>
        </w:rPr>
        <w:lastRenderedPageBreak/>
        <w:t>http://www.polioeradication.org/Dataandmonitoring/Poliothisweek/Circulatingvaccinederivedpoliovirus.aspx</w:t>
      </w:r>
    </w:p>
    <w:p w14:paraId="23D30E9B" w14:textId="77777777" w:rsidR="0033544B" w:rsidRPr="00976408" w:rsidRDefault="0033544B" w:rsidP="00976408">
      <w:pPr>
        <w:pStyle w:val="ListParagraph"/>
        <w:numPr>
          <w:ilvl w:val="0"/>
          <w:numId w:val="14"/>
        </w:numPr>
        <w:rPr>
          <w:rFonts w:eastAsia="Times New Roman"/>
        </w:rPr>
      </w:pPr>
      <w:r w:rsidRPr="00976408">
        <w:rPr>
          <w:rFonts w:eastAsia="Times New Roman"/>
        </w:rPr>
        <w:t xml:space="preserve">Department of Health. Poliovirus infection. [Internet.] Australian Government, Department of Health, 2015. [Accessed: </w:t>
      </w:r>
      <w:r w:rsidR="00BE68BD">
        <w:rPr>
          <w:rFonts w:eastAsia="Times New Roman"/>
        </w:rPr>
        <w:t xml:space="preserve">29 March 2016.] Available from: </w:t>
      </w:r>
      <w:r w:rsidRPr="00976408">
        <w:rPr>
          <w:rFonts w:eastAsia="Times New Roman"/>
        </w:rPr>
        <w:t>http://www.health.gov.au/internet/main/publishing.nsf/Content/cda-surveil-nndss-casedefs-cd_polio.htm</w:t>
      </w:r>
    </w:p>
    <w:p w14:paraId="72E4158A" w14:textId="77777777" w:rsidR="0033544B" w:rsidRPr="00976408" w:rsidRDefault="0033544B" w:rsidP="00976408">
      <w:pPr>
        <w:pStyle w:val="ListParagraph"/>
        <w:numPr>
          <w:ilvl w:val="0"/>
          <w:numId w:val="14"/>
        </w:numPr>
        <w:rPr>
          <w:rFonts w:eastAsia="Times New Roman"/>
        </w:rPr>
      </w:pPr>
      <w:r w:rsidRPr="00976408">
        <w:rPr>
          <w:rFonts w:eastAsia="Times New Roman"/>
        </w:rPr>
        <w:t xml:space="preserve">World Health Organization (WHO). Poliomyelitis. In </w:t>
      </w:r>
      <w:r w:rsidRPr="009767EE">
        <w:rPr>
          <w:rStyle w:val="Emphasis"/>
          <w:rFonts w:eastAsia="Times New Roman"/>
          <w:b w:val="0"/>
        </w:rPr>
        <w:t>WHO-recommended standards for surveillance of selected vaccine-preventable diseases</w:t>
      </w:r>
      <w:r w:rsidRPr="00976408">
        <w:rPr>
          <w:rFonts w:eastAsia="Times New Roman"/>
        </w:rPr>
        <w:t xml:space="preserve">. (WHO/V&amp;B/03.01) Geneva: WHO, Department of Vaccines and Biologicals, 2003. </w:t>
      </w:r>
    </w:p>
    <w:p w14:paraId="331B490B" w14:textId="77777777" w:rsidR="0033544B" w:rsidRPr="00976408" w:rsidRDefault="0033544B" w:rsidP="00976408">
      <w:pPr>
        <w:pStyle w:val="ListParagraph"/>
        <w:numPr>
          <w:ilvl w:val="0"/>
          <w:numId w:val="14"/>
        </w:numPr>
        <w:rPr>
          <w:rFonts w:eastAsia="Times New Roman"/>
        </w:rPr>
      </w:pPr>
      <w:r w:rsidRPr="00976408">
        <w:rPr>
          <w:rFonts w:eastAsia="Times New Roman"/>
        </w:rPr>
        <w:t xml:space="preserve">Wood DJ, Hull B. L20B cells simplify culture of polioviruses from clinical samples. </w:t>
      </w:r>
      <w:r w:rsidRPr="009767EE">
        <w:rPr>
          <w:rStyle w:val="Emphasis"/>
          <w:rFonts w:eastAsia="Times New Roman"/>
          <w:b w:val="0"/>
        </w:rPr>
        <w:t xml:space="preserve">J Med </w:t>
      </w:r>
      <w:proofErr w:type="spellStart"/>
      <w:r w:rsidRPr="009767EE">
        <w:rPr>
          <w:rStyle w:val="Emphasis"/>
          <w:rFonts w:eastAsia="Times New Roman"/>
          <w:b w:val="0"/>
        </w:rPr>
        <w:t>Virol</w:t>
      </w:r>
      <w:proofErr w:type="spellEnd"/>
      <w:r w:rsidRPr="009767EE">
        <w:rPr>
          <w:rStyle w:val="Emphasis"/>
          <w:rFonts w:eastAsia="Times New Roman"/>
          <w:b w:val="0"/>
        </w:rPr>
        <w:t xml:space="preserve">. </w:t>
      </w:r>
      <w:r w:rsidRPr="00976408">
        <w:rPr>
          <w:rFonts w:eastAsia="Times New Roman"/>
        </w:rPr>
        <w:t xml:space="preserve">1999;58(2):188–92. </w:t>
      </w:r>
    </w:p>
    <w:p w14:paraId="38CDF2DA" w14:textId="77777777" w:rsidR="0033544B" w:rsidRPr="00976408" w:rsidRDefault="0033544B" w:rsidP="00976408">
      <w:pPr>
        <w:pStyle w:val="ListParagraph"/>
        <w:numPr>
          <w:ilvl w:val="0"/>
          <w:numId w:val="14"/>
        </w:numPr>
        <w:rPr>
          <w:rFonts w:eastAsia="Times New Roman"/>
        </w:rPr>
      </w:pPr>
      <w:r w:rsidRPr="00976408">
        <w:rPr>
          <w:rFonts w:eastAsia="Times New Roman"/>
        </w:rPr>
        <w:t xml:space="preserve">World Health Organization (WHO). </w:t>
      </w:r>
      <w:r w:rsidRPr="009767EE">
        <w:rPr>
          <w:rStyle w:val="Emphasis"/>
          <w:rFonts w:eastAsia="Times New Roman"/>
          <w:b w:val="0"/>
        </w:rPr>
        <w:t>Polio Laboratory Manual</w:t>
      </w:r>
      <w:r w:rsidRPr="00976408">
        <w:rPr>
          <w:rFonts w:eastAsia="Times New Roman"/>
        </w:rPr>
        <w:t xml:space="preserve">, 4th edition. (WHO/IVB/04.10) Geneva: WHO, Department of Immunization, Vaccines and Biologicals, 2004. </w:t>
      </w:r>
    </w:p>
    <w:p w14:paraId="4FEA7674" w14:textId="77777777" w:rsidR="0033544B" w:rsidRPr="00976408" w:rsidRDefault="0033544B" w:rsidP="00976408">
      <w:pPr>
        <w:pStyle w:val="ListParagraph"/>
        <w:numPr>
          <w:ilvl w:val="0"/>
          <w:numId w:val="14"/>
        </w:numPr>
        <w:rPr>
          <w:rFonts w:eastAsia="Times New Roman"/>
        </w:rPr>
      </w:pPr>
      <w:r w:rsidRPr="00976408">
        <w:rPr>
          <w:rFonts w:eastAsia="Times New Roman"/>
        </w:rPr>
        <w:t xml:space="preserve">Kilpatrick DR, Yang CF, Ching K, Vincent A, </w:t>
      </w:r>
      <w:proofErr w:type="spellStart"/>
      <w:r w:rsidRPr="00976408">
        <w:rPr>
          <w:rFonts w:eastAsia="Times New Roman"/>
        </w:rPr>
        <w:t>Iber</w:t>
      </w:r>
      <w:proofErr w:type="spellEnd"/>
      <w:r w:rsidRPr="00976408">
        <w:rPr>
          <w:rFonts w:eastAsia="Times New Roman"/>
        </w:rPr>
        <w:t xml:space="preserve"> J, </w:t>
      </w:r>
      <w:proofErr w:type="spellStart"/>
      <w:r w:rsidRPr="00976408">
        <w:rPr>
          <w:rFonts w:eastAsia="Times New Roman"/>
        </w:rPr>
        <w:t>Campagnoli</w:t>
      </w:r>
      <w:proofErr w:type="spellEnd"/>
      <w:r w:rsidRPr="00976408">
        <w:rPr>
          <w:rFonts w:eastAsia="Times New Roman"/>
        </w:rPr>
        <w:t xml:space="preserve"> R, et al. Rapid group-, serotype-, and vaccine strain-specific identification of poliovirus isolates by real-time reverse transcription PCR using degenerate primers and probes containing </w:t>
      </w:r>
      <w:proofErr w:type="spellStart"/>
      <w:r w:rsidRPr="00976408">
        <w:rPr>
          <w:rFonts w:eastAsia="Times New Roman"/>
        </w:rPr>
        <w:t>deoxyinosine</w:t>
      </w:r>
      <w:proofErr w:type="spellEnd"/>
      <w:r w:rsidRPr="00976408">
        <w:rPr>
          <w:rFonts w:eastAsia="Times New Roman"/>
        </w:rPr>
        <w:t xml:space="preserve"> residues. </w:t>
      </w:r>
      <w:r w:rsidRPr="009767EE">
        <w:rPr>
          <w:rStyle w:val="Emphasis"/>
          <w:rFonts w:eastAsia="Times New Roman"/>
          <w:b w:val="0"/>
        </w:rPr>
        <w:t>J Clin Microbiol.</w:t>
      </w:r>
      <w:r w:rsidRPr="00976408">
        <w:rPr>
          <w:rFonts w:eastAsia="Times New Roman"/>
        </w:rPr>
        <w:t xml:space="preserve"> 2009;47(6):1939–41. </w:t>
      </w:r>
    </w:p>
    <w:p w14:paraId="70CF1123" w14:textId="77777777" w:rsidR="0033544B" w:rsidRPr="00976408" w:rsidRDefault="0033544B" w:rsidP="00976408">
      <w:pPr>
        <w:pStyle w:val="ListParagraph"/>
        <w:numPr>
          <w:ilvl w:val="0"/>
          <w:numId w:val="14"/>
        </w:numPr>
        <w:rPr>
          <w:rFonts w:eastAsia="Times New Roman"/>
        </w:rPr>
      </w:pPr>
      <w:r w:rsidRPr="00976408">
        <w:rPr>
          <w:rFonts w:eastAsia="Times New Roman"/>
        </w:rPr>
        <w:t xml:space="preserve">Stewardson AJ, Roberts JA, Beckett CL, Prime HT, </w:t>
      </w:r>
      <w:proofErr w:type="spellStart"/>
      <w:r w:rsidRPr="00976408">
        <w:rPr>
          <w:rFonts w:eastAsia="Times New Roman"/>
        </w:rPr>
        <w:t>Loh</w:t>
      </w:r>
      <w:proofErr w:type="spellEnd"/>
      <w:r w:rsidRPr="00976408">
        <w:rPr>
          <w:rFonts w:eastAsia="Times New Roman"/>
        </w:rPr>
        <w:t xml:space="preserve"> PS, Thorley BR et al. An imported case of poliomyelitis in Melbourne, Australia. </w:t>
      </w:r>
      <w:proofErr w:type="spellStart"/>
      <w:r w:rsidRPr="009767EE">
        <w:rPr>
          <w:rStyle w:val="Emphasis"/>
          <w:rFonts w:eastAsia="Times New Roman"/>
          <w:b w:val="0"/>
        </w:rPr>
        <w:t>Emerg</w:t>
      </w:r>
      <w:proofErr w:type="spellEnd"/>
      <w:r w:rsidRPr="009767EE">
        <w:rPr>
          <w:rStyle w:val="Emphasis"/>
          <w:rFonts w:eastAsia="Times New Roman"/>
          <w:b w:val="0"/>
        </w:rPr>
        <w:t xml:space="preserve"> Infect Dis.</w:t>
      </w:r>
      <w:r w:rsidRPr="00976408">
        <w:rPr>
          <w:rFonts w:eastAsia="Times New Roman"/>
        </w:rPr>
        <w:t xml:space="preserve"> 2009;15(1):63–5. </w:t>
      </w:r>
    </w:p>
    <w:p w14:paraId="52D1531D" w14:textId="77777777" w:rsidR="0033544B" w:rsidRPr="00976408" w:rsidRDefault="0033544B" w:rsidP="00976408">
      <w:pPr>
        <w:pStyle w:val="ListParagraph"/>
        <w:numPr>
          <w:ilvl w:val="0"/>
          <w:numId w:val="14"/>
        </w:numPr>
        <w:rPr>
          <w:rFonts w:eastAsia="Times New Roman"/>
        </w:rPr>
      </w:pPr>
      <w:r w:rsidRPr="00976408">
        <w:rPr>
          <w:rFonts w:eastAsia="Times New Roman"/>
        </w:rPr>
        <w:t xml:space="preserve">Roberts JA, Thorley BR. Chapter 32: Enterovirus. In Schuller M, </w:t>
      </w:r>
      <w:proofErr w:type="spellStart"/>
      <w:r w:rsidRPr="00976408">
        <w:rPr>
          <w:rFonts w:eastAsia="Times New Roman"/>
        </w:rPr>
        <w:t>Sloots</w:t>
      </w:r>
      <w:proofErr w:type="spellEnd"/>
      <w:r w:rsidRPr="00976408">
        <w:rPr>
          <w:rFonts w:eastAsia="Times New Roman"/>
        </w:rPr>
        <w:t xml:space="preserve"> TP, James GS, Halliday CL, Carter IWJ, eds. </w:t>
      </w:r>
      <w:r w:rsidRPr="009767EE">
        <w:rPr>
          <w:rStyle w:val="Emphasis"/>
          <w:rFonts w:eastAsia="Times New Roman"/>
          <w:b w:val="0"/>
        </w:rPr>
        <w:t>PCR for Clinical Microbiology: An Australian and International Perspective</w:t>
      </w:r>
      <w:r w:rsidRPr="00976408">
        <w:rPr>
          <w:rFonts w:eastAsia="Times New Roman"/>
        </w:rPr>
        <w:t xml:space="preserve"> (1st edition.). Dordrecht: Springer, 2010. </w:t>
      </w:r>
    </w:p>
    <w:p w14:paraId="436E72DA" w14:textId="77777777" w:rsidR="0033544B" w:rsidRPr="00976408" w:rsidRDefault="0033544B" w:rsidP="00976408">
      <w:pPr>
        <w:pStyle w:val="ListParagraph"/>
        <w:numPr>
          <w:ilvl w:val="0"/>
          <w:numId w:val="14"/>
        </w:numPr>
        <w:rPr>
          <w:rFonts w:eastAsia="Times New Roman"/>
        </w:rPr>
      </w:pPr>
      <w:r w:rsidRPr="00976408">
        <w:rPr>
          <w:rFonts w:eastAsia="Times New Roman"/>
        </w:rPr>
        <w:t xml:space="preserve">Nix WA, </w:t>
      </w:r>
      <w:proofErr w:type="spellStart"/>
      <w:r w:rsidRPr="00976408">
        <w:rPr>
          <w:rFonts w:eastAsia="Times New Roman"/>
        </w:rPr>
        <w:t>Oberste</w:t>
      </w:r>
      <w:proofErr w:type="spellEnd"/>
      <w:r w:rsidRPr="00976408">
        <w:rPr>
          <w:rFonts w:eastAsia="Times New Roman"/>
        </w:rPr>
        <w:t xml:space="preserve"> MS, </w:t>
      </w:r>
      <w:proofErr w:type="spellStart"/>
      <w:r w:rsidRPr="00976408">
        <w:rPr>
          <w:rFonts w:eastAsia="Times New Roman"/>
        </w:rPr>
        <w:t>Pallansch</w:t>
      </w:r>
      <w:proofErr w:type="spellEnd"/>
      <w:r w:rsidRPr="00976408">
        <w:rPr>
          <w:rFonts w:eastAsia="Times New Roman"/>
        </w:rPr>
        <w:t xml:space="preserve"> MA. Sensitive, </w:t>
      </w:r>
      <w:proofErr w:type="spellStart"/>
      <w:r w:rsidRPr="00976408">
        <w:rPr>
          <w:rFonts w:eastAsia="Times New Roman"/>
        </w:rPr>
        <w:t>seminested</w:t>
      </w:r>
      <w:proofErr w:type="spellEnd"/>
      <w:r w:rsidRPr="00976408">
        <w:rPr>
          <w:rFonts w:eastAsia="Times New Roman"/>
        </w:rPr>
        <w:t xml:space="preserve"> PCR amplification of VP1 sequences for direct identification of all enterovirus serotypes from original clinical specimens. </w:t>
      </w:r>
      <w:r w:rsidRPr="009767EE">
        <w:rPr>
          <w:rStyle w:val="Emphasis"/>
          <w:rFonts w:eastAsia="Times New Roman"/>
          <w:b w:val="0"/>
        </w:rPr>
        <w:t>J Clin Microbiol.</w:t>
      </w:r>
      <w:r w:rsidRPr="00976408">
        <w:rPr>
          <w:rFonts w:eastAsia="Times New Roman"/>
        </w:rPr>
        <w:t xml:space="preserve"> 2006;44(8):2698–704. </w:t>
      </w:r>
    </w:p>
    <w:p w14:paraId="7F38DD93" w14:textId="77777777" w:rsidR="0033544B" w:rsidRPr="00976408" w:rsidRDefault="0033544B" w:rsidP="00976408">
      <w:pPr>
        <w:pStyle w:val="ListParagraph"/>
        <w:numPr>
          <w:ilvl w:val="0"/>
          <w:numId w:val="14"/>
        </w:numPr>
        <w:rPr>
          <w:rFonts w:eastAsia="Times New Roman"/>
        </w:rPr>
      </w:pPr>
      <w:r w:rsidRPr="00976408">
        <w:rPr>
          <w:rFonts w:eastAsia="Times New Roman"/>
        </w:rPr>
        <w:t xml:space="preserve">World Health Organization (WHO). </w:t>
      </w:r>
      <w:r w:rsidRPr="009767EE">
        <w:rPr>
          <w:rStyle w:val="Emphasis"/>
          <w:rFonts w:eastAsia="Times New Roman"/>
          <w:b w:val="0"/>
        </w:rPr>
        <w:t>Guidelines for environmental surveillance of poliovirus circulation</w:t>
      </w:r>
      <w:r w:rsidRPr="00976408">
        <w:rPr>
          <w:rFonts w:eastAsia="Times New Roman"/>
        </w:rPr>
        <w:t xml:space="preserve">. (WHO/V&amp;B/03.03) Geneva: WHO, Department of Vaccines and Biologicals, 2003. </w:t>
      </w:r>
    </w:p>
    <w:p w14:paraId="43993C13" w14:textId="77777777" w:rsidR="0033544B" w:rsidRPr="00976408" w:rsidRDefault="0033544B" w:rsidP="00976408">
      <w:pPr>
        <w:pStyle w:val="ListParagraph"/>
        <w:numPr>
          <w:ilvl w:val="0"/>
          <w:numId w:val="14"/>
        </w:numPr>
        <w:rPr>
          <w:rFonts w:eastAsia="Times New Roman"/>
        </w:rPr>
      </w:pPr>
      <w:r w:rsidRPr="00976408">
        <w:rPr>
          <w:rFonts w:eastAsia="Times New Roman"/>
        </w:rPr>
        <w:t xml:space="preserve">World Health Organization (WHO). </w:t>
      </w:r>
      <w:r w:rsidRPr="009767EE">
        <w:rPr>
          <w:rStyle w:val="Emphasis"/>
          <w:rFonts w:eastAsia="Times New Roman"/>
          <w:b w:val="0"/>
        </w:rPr>
        <w:t>Polio eradication and endgame strategic plan 2013–2018</w:t>
      </w:r>
      <w:r w:rsidRPr="00976408">
        <w:rPr>
          <w:rFonts w:eastAsia="Times New Roman"/>
        </w:rPr>
        <w:t xml:space="preserve">. Geneva: WHO, 2013. </w:t>
      </w:r>
    </w:p>
    <w:p w14:paraId="68A27F7D" w14:textId="77777777" w:rsidR="0033544B" w:rsidRPr="00976408" w:rsidRDefault="0033544B" w:rsidP="00976408">
      <w:pPr>
        <w:pStyle w:val="ListParagraph"/>
        <w:numPr>
          <w:ilvl w:val="0"/>
          <w:numId w:val="14"/>
        </w:numPr>
        <w:rPr>
          <w:rFonts w:eastAsia="Times New Roman"/>
        </w:rPr>
      </w:pPr>
      <w:r w:rsidRPr="00976408">
        <w:rPr>
          <w:rFonts w:eastAsia="Times New Roman"/>
        </w:rPr>
        <w:t xml:space="preserve">World Health Organization (WHO). </w:t>
      </w:r>
      <w:r w:rsidRPr="009767EE">
        <w:rPr>
          <w:rStyle w:val="Emphasis"/>
          <w:rFonts w:eastAsia="Times New Roman"/>
          <w:b w:val="0"/>
        </w:rPr>
        <w:t>WHO Global Action Plan to minimize poliovirus facility-associated risk after type-specific eradication of wild polioviruses and sequential cessation of OPV use (GAPIII)</w:t>
      </w:r>
      <w:r w:rsidRPr="00976408">
        <w:rPr>
          <w:rFonts w:eastAsia="Times New Roman"/>
        </w:rPr>
        <w:t xml:space="preserve">. Geneva: WHO, 2015. </w:t>
      </w:r>
    </w:p>
    <w:p w14:paraId="3D01CF67" w14:textId="77777777" w:rsidR="008B5348" w:rsidRPr="005552C2" w:rsidRDefault="0033544B" w:rsidP="005552C2">
      <w:pPr>
        <w:pStyle w:val="ListParagraph"/>
        <w:numPr>
          <w:ilvl w:val="0"/>
          <w:numId w:val="14"/>
        </w:numPr>
        <w:rPr>
          <w:rStyle w:val="A10"/>
          <w:rFonts w:eastAsia="Times New Roman" w:cstheme="minorBidi"/>
          <w:color w:val="auto"/>
        </w:rPr>
        <w:sectPr w:rsidR="008B5348" w:rsidRPr="005552C2" w:rsidSect="00A30C37">
          <w:pgSz w:w="11906" w:h="16838"/>
          <w:pgMar w:top="720" w:right="720" w:bottom="1134" w:left="720" w:header="709" w:footer="284" w:gutter="0"/>
          <w:cols w:space="708"/>
          <w:titlePg/>
          <w:docGrid w:linePitch="360"/>
        </w:sectPr>
      </w:pPr>
      <w:r w:rsidRPr="00976408">
        <w:rPr>
          <w:rFonts w:eastAsia="Times New Roman"/>
        </w:rPr>
        <w:t xml:space="preserve">Paterson BJ, Durrheim DN. Review of Australia’s polio surveillance. </w:t>
      </w:r>
      <w:r w:rsidRPr="009767EE">
        <w:rPr>
          <w:rStyle w:val="Emphasis"/>
          <w:rFonts w:eastAsia="Times New Roman"/>
          <w:b w:val="0"/>
        </w:rPr>
        <w:t>Commun Dis Intell Q Rep.</w:t>
      </w:r>
      <w:r w:rsidRPr="00976408">
        <w:rPr>
          <w:rFonts w:eastAsia="Times New Roman"/>
        </w:rPr>
        <w:t xml:space="preserve"> 2013;37(2):E149–55.</w:t>
      </w:r>
    </w:p>
    <w:p w14:paraId="097E78F7"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3F34756"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704A381" w14:textId="77777777" w:rsidR="000A5F42" w:rsidRPr="000606CC" w:rsidRDefault="000A5F42" w:rsidP="000A5F42">
      <w:pPr>
        <w:pStyle w:val="NoSpacing"/>
        <w:rPr>
          <w:rStyle w:val="URI"/>
          <w:rFonts w:cstheme="minorHAnsi"/>
          <w:sz w:val="20"/>
          <w:szCs w:val="18"/>
        </w:rPr>
      </w:pPr>
    </w:p>
    <w:p w14:paraId="48016FF8"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7A314A57" w14:textId="77777777" w:rsidR="000A5F42" w:rsidRPr="000606CC" w:rsidRDefault="000A5F42" w:rsidP="000A5F42">
      <w:pPr>
        <w:pStyle w:val="NoSpacing"/>
        <w:rPr>
          <w:rStyle w:val="Strong"/>
          <w:rFonts w:cstheme="minorHAnsi"/>
          <w:sz w:val="20"/>
          <w:szCs w:val="18"/>
        </w:rPr>
      </w:pPr>
    </w:p>
    <w:p w14:paraId="4FFDF63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904AAF" w:rsidRPr="00904AAF">
        <w:rPr>
          <w:rFonts w:cstheme="minorHAnsi"/>
          <w:sz w:val="20"/>
          <w:szCs w:val="18"/>
        </w:rPr>
        <w:t>Tanja Farmer</w:t>
      </w:r>
    </w:p>
    <w:p w14:paraId="5CDBC40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5FCC3F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CF5EE9B"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01CFAC78" w14:textId="77777777" w:rsidR="000A5F42" w:rsidRPr="000606CC" w:rsidRDefault="000A5F42" w:rsidP="000A5F42">
      <w:pPr>
        <w:pStyle w:val="NoSpacing"/>
        <w:rPr>
          <w:rStyle w:val="Strong"/>
          <w:rFonts w:cstheme="minorHAnsi"/>
          <w:sz w:val="20"/>
          <w:szCs w:val="18"/>
        </w:rPr>
      </w:pPr>
    </w:p>
    <w:p w14:paraId="17182A53" w14:textId="6BB8C6E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51C6482" w14:textId="77777777" w:rsidR="000A5F42" w:rsidRPr="000606CC" w:rsidRDefault="000A5F42" w:rsidP="000A5F42">
      <w:pPr>
        <w:pStyle w:val="NoSpacing"/>
        <w:rPr>
          <w:rStyle w:val="Strong"/>
          <w:rFonts w:cstheme="minorHAnsi"/>
          <w:sz w:val="20"/>
          <w:szCs w:val="18"/>
        </w:rPr>
      </w:pPr>
    </w:p>
    <w:p w14:paraId="7D489C1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65997938" w14:textId="77777777" w:rsidR="000A5F42" w:rsidRPr="000606CC" w:rsidRDefault="000A5F42" w:rsidP="000A5F42">
      <w:pPr>
        <w:pStyle w:val="NoSpacing"/>
        <w:rPr>
          <w:rStyle w:val="Strong"/>
          <w:rFonts w:cstheme="minorHAnsi"/>
          <w:sz w:val="20"/>
          <w:szCs w:val="18"/>
        </w:rPr>
      </w:pPr>
    </w:p>
    <w:p w14:paraId="4BCC4936" w14:textId="122AAED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7217DB9" w14:textId="77777777" w:rsidR="000A5F42" w:rsidRPr="000606CC" w:rsidRDefault="000A5F42" w:rsidP="000A5F42">
      <w:pPr>
        <w:pStyle w:val="NoSpacing"/>
        <w:rPr>
          <w:rStyle w:val="Strong"/>
          <w:rFonts w:cstheme="minorHAnsi"/>
          <w:sz w:val="20"/>
          <w:szCs w:val="18"/>
        </w:rPr>
      </w:pPr>
    </w:p>
    <w:p w14:paraId="5AE10BA1" w14:textId="326108A0"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6880F36" w14:textId="5FBBFF1E"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2CBC376D" w14:textId="77777777" w:rsidR="000A5F42" w:rsidRPr="000606CC" w:rsidRDefault="000A5F42" w:rsidP="000A5F42">
      <w:pPr>
        <w:pStyle w:val="NoSpacing"/>
        <w:pBdr>
          <w:bottom w:val="single" w:sz="6" w:space="1" w:color="auto"/>
        </w:pBdr>
        <w:rPr>
          <w:rStyle w:val="Strong"/>
          <w:rFonts w:cstheme="minorHAnsi"/>
          <w:sz w:val="12"/>
          <w:szCs w:val="18"/>
        </w:rPr>
      </w:pPr>
    </w:p>
    <w:p w14:paraId="4BA71BE6" w14:textId="77777777" w:rsidR="000A5F42" w:rsidRPr="000606CC" w:rsidRDefault="000A5F42" w:rsidP="000A5F42">
      <w:pPr>
        <w:pStyle w:val="NoSpacing"/>
        <w:rPr>
          <w:rFonts w:cstheme="minorHAnsi"/>
          <w:sz w:val="20"/>
          <w:szCs w:val="18"/>
        </w:rPr>
      </w:pPr>
    </w:p>
    <w:p w14:paraId="64E63572"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E9D5005" w14:textId="77777777" w:rsidR="000A5F42" w:rsidRPr="000606CC" w:rsidRDefault="000A5F42" w:rsidP="000A5F42">
      <w:pPr>
        <w:pStyle w:val="NoSpacing"/>
        <w:rPr>
          <w:rFonts w:cstheme="minorHAnsi"/>
          <w:sz w:val="20"/>
          <w:szCs w:val="18"/>
        </w:rPr>
      </w:pPr>
    </w:p>
    <w:p w14:paraId="2413C874"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5FDCEB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4C604B">
        <w:rPr>
          <w:rFonts w:cstheme="minorHAnsi"/>
          <w:sz w:val="20"/>
          <w:szCs w:val="18"/>
        </w:rPr>
        <w:t>2020</w:t>
      </w:r>
      <w:r w:rsidRPr="000606CC">
        <w:rPr>
          <w:rFonts w:cstheme="minorHAnsi"/>
          <w:sz w:val="20"/>
          <w:szCs w:val="18"/>
        </w:rPr>
        <w:t xml:space="preserve"> Commonwealth of Australia as represented by the Department of Health</w:t>
      </w:r>
    </w:p>
    <w:p w14:paraId="14EF8A96" w14:textId="2A487411"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4A46300" w14:textId="77777777" w:rsidR="000A5F42" w:rsidRPr="000606CC" w:rsidRDefault="000A5F42" w:rsidP="000A5F42">
      <w:pPr>
        <w:pStyle w:val="NoSpacing"/>
        <w:rPr>
          <w:rFonts w:cstheme="minorHAnsi"/>
          <w:sz w:val="20"/>
          <w:szCs w:val="18"/>
        </w:rPr>
      </w:pPr>
    </w:p>
    <w:p w14:paraId="7176CDE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5C67ED1" w14:textId="089CAA7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AFC1F0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153EEFD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2A83C99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CD9B8C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792FECA" w14:textId="77777777" w:rsidR="000A5F42" w:rsidRPr="000606CC" w:rsidRDefault="000A5F42" w:rsidP="000A5F42">
      <w:pPr>
        <w:pStyle w:val="NoSpacing"/>
        <w:rPr>
          <w:rStyle w:val="Strong"/>
          <w:rFonts w:cstheme="minorHAnsi"/>
          <w:sz w:val="20"/>
          <w:szCs w:val="18"/>
        </w:rPr>
      </w:pPr>
    </w:p>
    <w:p w14:paraId="0D456A52"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B0C8496" w14:textId="77777777" w:rsidR="000A5F42" w:rsidRPr="000606CC" w:rsidRDefault="000A5F42" w:rsidP="000A5F42">
      <w:pPr>
        <w:pStyle w:val="NoSpacing"/>
        <w:rPr>
          <w:rStyle w:val="Strong"/>
          <w:rFonts w:cstheme="minorHAnsi"/>
          <w:sz w:val="20"/>
          <w:szCs w:val="18"/>
        </w:rPr>
      </w:pPr>
    </w:p>
    <w:p w14:paraId="6A473C31" w14:textId="4732192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9DD0B80" w14:textId="77777777" w:rsidR="000A5F42" w:rsidRPr="000606CC" w:rsidRDefault="000A5F42" w:rsidP="000A5F42">
      <w:pPr>
        <w:pStyle w:val="NoSpacing"/>
        <w:rPr>
          <w:rStyle w:val="URI"/>
          <w:rFonts w:cstheme="minorHAnsi"/>
          <w:sz w:val="20"/>
          <w:szCs w:val="18"/>
        </w:rPr>
      </w:pPr>
    </w:p>
    <w:p w14:paraId="400F1653" w14:textId="68047C04"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1DD84C6A" w14:textId="77777777" w:rsidR="001B37B8" w:rsidRPr="00E92237" w:rsidRDefault="001B37B8" w:rsidP="001B37B8">
      <w:pPr>
        <w:rPr>
          <w:rFonts w:cs="Myriad Pro"/>
          <w:color w:val="211D1E"/>
          <w:sz w:val="20"/>
          <w:szCs w:val="20"/>
        </w:rPr>
      </w:pPr>
    </w:p>
    <w:sectPr w:rsidR="001B37B8" w:rsidRPr="00E92237"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D4B9F" w14:textId="77777777" w:rsidR="00C558D7" w:rsidRDefault="00C558D7" w:rsidP="00E54DBA">
      <w:r>
        <w:separator/>
      </w:r>
    </w:p>
    <w:p w14:paraId="2E9AD945" w14:textId="77777777" w:rsidR="00C558D7" w:rsidRDefault="00C558D7"/>
    <w:p w14:paraId="058E02FD" w14:textId="77777777" w:rsidR="00C558D7" w:rsidRDefault="00C558D7" w:rsidP="008714B0"/>
  </w:endnote>
  <w:endnote w:type="continuationSeparator" w:id="0">
    <w:p w14:paraId="3011564C" w14:textId="77777777" w:rsidR="00C558D7" w:rsidRDefault="00C558D7" w:rsidP="00E54DBA">
      <w:r>
        <w:continuationSeparator/>
      </w:r>
    </w:p>
    <w:p w14:paraId="2428613A" w14:textId="77777777" w:rsidR="00C558D7" w:rsidRDefault="00C558D7"/>
    <w:p w14:paraId="3C26A9B7" w14:textId="77777777" w:rsidR="00C558D7" w:rsidRDefault="00C558D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3937" w14:textId="77777777" w:rsidR="003D7DC3" w:rsidRPr="0042435E" w:rsidRDefault="003D7DC3"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C604B">
      <w:rPr>
        <w:noProof/>
        <w:sz w:val="18"/>
      </w:rPr>
      <w:t>14</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4C604B">
      <w:rPr>
        <w:noProof/>
        <w:sz w:val="18"/>
      </w:rPr>
      <w:t>14</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9767EE">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F06FEA">
      <w:rPr>
        <w:sz w:val="18"/>
      </w:rPr>
      <w:t>https://doi.org/10.33321/cdi.2020.44.24</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F06FEA">
      <w:rPr>
        <w:sz w:val="18"/>
      </w:rPr>
      <w:t>15/04/2020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5FC1" w14:textId="77777777" w:rsidR="003D7DC3" w:rsidRPr="00BB5378" w:rsidRDefault="003D7DC3"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558D7">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C558D7">
      <w:rPr>
        <w:noProof/>
        <w:sz w:val="18"/>
      </w:rPr>
      <w:t>1</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9767EE">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F06FEA">
      <w:rPr>
        <w:sz w:val="18"/>
      </w:rPr>
      <w:t>https://doi.org/10.33321/cdi.2020.44.24</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F06FEA">
      <w:rPr>
        <w:sz w:val="18"/>
      </w:rPr>
      <w:t>15/04/2020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58F86" w14:textId="77777777" w:rsidR="00C558D7" w:rsidRDefault="00C558D7" w:rsidP="00E54DBA">
      <w:r>
        <w:separator/>
      </w:r>
    </w:p>
  </w:footnote>
  <w:footnote w:type="continuationSeparator" w:id="0">
    <w:p w14:paraId="6FAA8EA1" w14:textId="77777777" w:rsidR="00C558D7" w:rsidRDefault="00C558D7" w:rsidP="00E54DBA">
      <w:r>
        <w:continuationSeparator/>
      </w:r>
    </w:p>
  </w:footnote>
  <w:footnote w:type="continuationNotice" w:id="1">
    <w:p w14:paraId="048251B5" w14:textId="77777777" w:rsidR="00C558D7" w:rsidRPr="00224EFF" w:rsidRDefault="00C558D7" w:rsidP="00224EFF">
      <w:pPr>
        <w:pStyle w:val="Footer"/>
      </w:pPr>
    </w:p>
  </w:footnote>
  <w:footnote w:id="2">
    <w:p w14:paraId="04AA34F2" w14:textId="39248F13" w:rsidR="003D7DC3" w:rsidRDefault="003D7DC3" w:rsidP="002922AD">
      <w:pPr>
        <w:pStyle w:val="CDIfootnotes"/>
      </w:pPr>
      <w:r>
        <w:rPr>
          <w:rStyle w:val="FootnoteReference"/>
        </w:rPr>
        <w:footnoteRef/>
      </w:r>
      <w:r>
        <w:t xml:space="preserve"> </w:t>
      </w:r>
      <w:r>
        <w:tab/>
      </w:r>
      <w:r w:rsidRPr="003E5AD1">
        <w:t xml:space="preserve">telephone 03-9342 9607, email </w:t>
      </w:r>
      <w:hyperlink r:id="rId1" w:history="1">
        <w:r w:rsidRPr="00546918">
          <w:rPr>
            <w:rStyle w:val="Hyperlink"/>
          </w:rPr>
          <w:t>enterovirus@mh.org.au</w:t>
        </w:r>
      </w:hyperlink>
      <w:r>
        <w:t xml:space="preserve"> </w:t>
      </w:r>
    </w:p>
  </w:footnote>
  <w:footnote w:id="3">
    <w:p w14:paraId="10BDDACB" w14:textId="4AEF8251" w:rsidR="003D7DC3" w:rsidRDefault="003D7DC3" w:rsidP="002922AD">
      <w:pPr>
        <w:pStyle w:val="CDIfootnotes"/>
      </w:pPr>
      <w:r>
        <w:rPr>
          <w:rStyle w:val="FootnoteReference"/>
        </w:rPr>
        <w:footnoteRef/>
      </w:r>
      <w:r>
        <w:tab/>
      </w:r>
      <w:hyperlink r:id="rId2" w:tooltip="The Australian Paediatric Surveillance Unit (APSU)" w:history="1">
        <w:r w:rsidRPr="00546918">
          <w:rPr>
            <w:rStyle w:val="Hyperlink"/>
          </w:rPr>
          <w:t>http://www.apsu.org.au/</w:t>
        </w:r>
      </w:hyperlink>
      <w:r>
        <w:t xml:space="preserve"> </w:t>
      </w:r>
    </w:p>
  </w:footnote>
  <w:footnote w:id="4">
    <w:p w14:paraId="5E7F5E08" w14:textId="52A1F9AD" w:rsidR="003D7DC3" w:rsidRDefault="003D7DC3">
      <w:pPr>
        <w:pStyle w:val="FootnoteText"/>
      </w:pPr>
      <w:r>
        <w:rPr>
          <w:rStyle w:val="FootnoteReference"/>
        </w:rPr>
        <w:footnoteRef/>
      </w:r>
      <w:r>
        <w:tab/>
      </w:r>
      <w:r w:rsidRPr="00221CEB">
        <w:t xml:space="preserve">available at </w:t>
      </w:r>
      <w:hyperlink r:id="rId3" w:tooltip="World Health Organization - The Weekly Epidemiological Record (WER)" w:history="1">
        <w:r w:rsidRPr="00965141">
          <w:rPr>
            <w:rStyle w:val="Hyperlink"/>
          </w:rPr>
          <w:t>http://www.who.int/wer/en/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D5E1" w14:textId="77777777" w:rsidR="003D7DC3" w:rsidRPr="00A153B6" w:rsidRDefault="000362E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D7DC3">
          <w:t>Annual report</w:t>
        </w:r>
      </w:sdtContent>
    </w:sdt>
    <w:r w:rsidR="003D7DC3">
      <w:ptab w:relativeTo="margin" w:alignment="right" w:leader="none"/>
    </w:r>
    <w:r w:rsidR="003D7DC3"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556F" w14:textId="77777777" w:rsidR="003D7DC3" w:rsidRPr="000A5F42" w:rsidRDefault="003D7DC3" w:rsidP="000A5F42">
    <w:pPr>
      <w:pStyle w:val="Header"/>
      <w:jc w:val="center"/>
      <w:rPr>
        <w:b/>
      </w:rPr>
    </w:pPr>
    <w:r w:rsidRPr="00E810C5">
      <w:rPr>
        <w:rFonts w:cs="Myriad Pro"/>
        <w:noProof/>
        <w:color w:val="211D1E"/>
        <w:sz w:val="16"/>
      </w:rPr>
      <w:drawing>
        <wp:inline distT="0" distB="0" distL="0" distR="0" wp14:anchorId="4AA3B02B"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465F"/>
    <w:multiLevelType w:val="multilevel"/>
    <w:tmpl w:val="C818E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A977FA"/>
    <w:multiLevelType w:val="hybridMultilevel"/>
    <w:tmpl w:val="B816B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19B2504"/>
    <w:multiLevelType w:val="hybridMultilevel"/>
    <w:tmpl w:val="804C76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2B97E96"/>
    <w:multiLevelType w:val="multilevel"/>
    <w:tmpl w:val="451A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1E1D0C"/>
    <w:multiLevelType w:val="hybridMultilevel"/>
    <w:tmpl w:val="31BEB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E72C75"/>
    <w:multiLevelType w:val="hybridMultilevel"/>
    <w:tmpl w:val="B816B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F81C85"/>
    <w:multiLevelType w:val="multilevel"/>
    <w:tmpl w:val="AF7A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B4682A"/>
    <w:multiLevelType w:val="multilevel"/>
    <w:tmpl w:val="B378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429001">
    <w:abstractNumId w:val="2"/>
  </w:num>
  <w:num w:numId="2" w16cid:durableId="1495948567">
    <w:abstractNumId w:val="6"/>
  </w:num>
  <w:num w:numId="3" w16cid:durableId="1968388200">
    <w:abstractNumId w:val="7"/>
  </w:num>
  <w:num w:numId="4" w16cid:durableId="1688097368">
    <w:abstractNumId w:val="1"/>
  </w:num>
  <w:num w:numId="5" w16cid:durableId="1382635082">
    <w:abstractNumId w:val="9"/>
  </w:num>
  <w:num w:numId="6" w16cid:durableId="17780988">
    <w:abstractNumId w:val="11"/>
  </w:num>
  <w:num w:numId="7" w16cid:durableId="1317027609">
    <w:abstractNumId w:val="12"/>
  </w:num>
  <w:num w:numId="8" w16cid:durableId="223682775">
    <w:abstractNumId w:val="0"/>
  </w:num>
  <w:num w:numId="9" w16cid:durableId="1451975397">
    <w:abstractNumId w:val="13"/>
  </w:num>
  <w:num w:numId="10" w16cid:durableId="697656646">
    <w:abstractNumId w:val="5"/>
  </w:num>
  <w:num w:numId="11" w16cid:durableId="1662737030">
    <w:abstractNumId w:val="8"/>
  </w:num>
  <w:num w:numId="12" w16cid:durableId="1788963074">
    <w:abstractNumId w:val="4"/>
  </w:num>
  <w:num w:numId="13" w16cid:durableId="944771347">
    <w:abstractNumId w:val="10"/>
  </w:num>
  <w:num w:numId="14" w16cid:durableId="829054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hideSpellingErrors/>
  <w:hideGrammaticalErrors/>
  <w:proofState w:spelling="clean" w:grammar="clean"/>
  <w:defaultTabStop w:val="720"/>
  <w:noPunctuationKerning/>
  <w:characterSpacingControl w:val="doNotCompress"/>
  <w:hdrShapeDefaults>
    <o:shapedefaults v:ext="edit" spidmax="4097"/>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EF"/>
    <w:rsid w:val="00000B5B"/>
    <w:rsid w:val="00001611"/>
    <w:rsid w:val="000104A8"/>
    <w:rsid w:val="0001246E"/>
    <w:rsid w:val="000124B1"/>
    <w:rsid w:val="00016FE6"/>
    <w:rsid w:val="00031064"/>
    <w:rsid w:val="00031692"/>
    <w:rsid w:val="00032531"/>
    <w:rsid w:val="000362EB"/>
    <w:rsid w:val="000471BF"/>
    <w:rsid w:val="00047B68"/>
    <w:rsid w:val="00052600"/>
    <w:rsid w:val="0005643C"/>
    <w:rsid w:val="0006264A"/>
    <w:rsid w:val="00064607"/>
    <w:rsid w:val="00073D77"/>
    <w:rsid w:val="00081655"/>
    <w:rsid w:val="000864E0"/>
    <w:rsid w:val="000969B3"/>
    <w:rsid w:val="000A5F42"/>
    <w:rsid w:val="000D4B4D"/>
    <w:rsid w:val="00103E76"/>
    <w:rsid w:val="00113D58"/>
    <w:rsid w:val="001361BC"/>
    <w:rsid w:val="001378A3"/>
    <w:rsid w:val="0015064F"/>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C7D4A"/>
    <w:rsid w:val="001D37C7"/>
    <w:rsid w:val="001D6888"/>
    <w:rsid w:val="002179B8"/>
    <w:rsid w:val="00221CEB"/>
    <w:rsid w:val="00224EFF"/>
    <w:rsid w:val="002276DC"/>
    <w:rsid w:val="00227E00"/>
    <w:rsid w:val="002307CB"/>
    <w:rsid w:val="00231046"/>
    <w:rsid w:val="0023388F"/>
    <w:rsid w:val="00234F21"/>
    <w:rsid w:val="00242659"/>
    <w:rsid w:val="002428F7"/>
    <w:rsid w:val="0024315F"/>
    <w:rsid w:val="00252C9A"/>
    <w:rsid w:val="0025307D"/>
    <w:rsid w:val="00256309"/>
    <w:rsid w:val="00257484"/>
    <w:rsid w:val="00260636"/>
    <w:rsid w:val="002608B2"/>
    <w:rsid w:val="002735F8"/>
    <w:rsid w:val="00275C78"/>
    <w:rsid w:val="00280594"/>
    <w:rsid w:val="00281140"/>
    <w:rsid w:val="00281EE3"/>
    <w:rsid w:val="00284E4A"/>
    <w:rsid w:val="002922AD"/>
    <w:rsid w:val="002A3799"/>
    <w:rsid w:val="002A3BCC"/>
    <w:rsid w:val="002A4516"/>
    <w:rsid w:val="002A51F8"/>
    <w:rsid w:val="002A569F"/>
    <w:rsid w:val="002A7066"/>
    <w:rsid w:val="002B001E"/>
    <w:rsid w:val="002B09B7"/>
    <w:rsid w:val="002B441F"/>
    <w:rsid w:val="002B75A9"/>
    <w:rsid w:val="002C21B0"/>
    <w:rsid w:val="002E2FB3"/>
    <w:rsid w:val="002F327B"/>
    <w:rsid w:val="00301626"/>
    <w:rsid w:val="00303D18"/>
    <w:rsid w:val="003059EC"/>
    <w:rsid w:val="00316CCD"/>
    <w:rsid w:val="00317DEF"/>
    <w:rsid w:val="00322999"/>
    <w:rsid w:val="00324F7E"/>
    <w:rsid w:val="003323BC"/>
    <w:rsid w:val="0033544B"/>
    <w:rsid w:val="00346760"/>
    <w:rsid w:val="00346D42"/>
    <w:rsid w:val="00346E11"/>
    <w:rsid w:val="00353F50"/>
    <w:rsid w:val="003601C0"/>
    <w:rsid w:val="003628D3"/>
    <w:rsid w:val="003635F5"/>
    <w:rsid w:val="00372A88"/>
    <w:rsid w:val="00381A0F"/>
    <w:rsid w:val="00395250"/>
    <w:rsid w:val="00396A03"/>
    <w:rsid w:val="003A1B3A"/>
    <w:rsid w:val="003A40F5"/>
    <w:rsid w:val="003A698F"/>
    <w:rsid w:val="003B5B8C"/>
    <w:rsid w:val="003D37AB"/>
    <w:rsid w:val="003D79B1"/>
    <w:rsid w:val="003D7DC3"/>
    <w:rsid w:val="003E0EA9"/>
    <w:rsid w:val="003E5AD1"/>
    <w:rsid w:val="003E74EE"/>
    <w:rsid w:val="003E77E6"/>
    <w:rsid w:val="003F0552"/>
    <w:rsid w:val="003F2F89"/>
    <w:rsid w:val="003F3BC2"/>
    <w:rsid w:val="00401ED1"/>
    <w:rsid w:val="0040224C"/>
    <w:rsid w:val="00413EE1"/>
    <w:rsid w:val="004164BB"/>
    <w:rsid w:val="00421ECE"/>
    <w:rsid w:val="00422FEB"/>
    <w:rsid w:val="00423C28"/>
    <w:rsid w:val="0042435E"/>
    <w:rsid w:val="004315F5"/>
    <w:rsid w:val="00433456"/>
    <w:rsid w:val="00433DFA"/>
    <w:rsid w:val="00435D67"/>
    <w:rsid w:val="00464A58"/>
    <w:rsid w:val="00473D2D"/>
    <w:rsid w:val="004A2125"/>
    <w:rsid w:val="004A38F6"/>
    <w:rsid w:val="004A4CDE"/>
    <w:rsid w:val="004A7FE0"/>
    <w:rsid w:val="004B4EB6"/>
    <w:rsid w:val="004C083C"/>
    <w:rsid w:val="004C604B"/>
    <w:rsid w:val="004C67C6"/>
    <w:rsid w:val="004C775B"/>
    <w:rsid w:val="004D29DE"/>
    <w:rsid w:val="00510EAC"/>
    <w:rsid w:val="005133B7"/>
    <w:rsid w:val="00530012"/>
    <w:rsid w:val="00542A57"/>
    <w:rsid w:val="005552C2"/>
    <w:rsid w:val="00565974"/>
    <w:rsid w:val="00566BE5"/>
    <w:rsid w:val="005732C0"/>
    <w:rsid w:val="0057336D"/>
    <w:rsid w:val="005735F6"/>
    <w:rsid w:val="0057489A"/>
    <w:rsid w:val="005749EF"/>
    <w:rsid w:val="00574ACF"/>
    <w:rsid w:val="0058059A"/>
    <w:rsid w:val="00581588"/>
    <w:rsid w:val="0058540B"/>
    <w:rsid w:val="00587C87"/>
    <w:rsid w:val="00590B80"/>
    <w:rsid w:val="005B3134"/>
    <w:rsid w:val="005B397C"/>
    <w:rsid w:val="005B4E61"/>
    <w:rsid w:val="005B595A"/>
    <w:rsid w:val="005B66C2"/>
    <w:rsid w:val="005C64A4"/>
    <w:rsid w:val="005D2465"/>
    <w:rsid w:val="005D3B97"/>
    <w:rsid w:val="005E33DD"/>
    <w:rsid w:val="005E4229"/>
    <w:rsid w:val="005E5332"/>
    <w:rsid w:val="005E540E"/>
    <w:rsid w:val="005E55FB"/>
    <w:rsid w:val="005F16BB"/>
    <w:rsid w:val="006008CE"/>
    <w:rsid w:val="00607115"/>
    <w:rsid w:val="00620768"/>
    <w:rsid w:val="0062594B"/>
    <w:rsid w:val="00631406"/>
    <w:rsid w:val="006324FF"/>
    <w:rsid w:val="006351D6"/>
    <w:rsid w:val="00636E0D"/>
    <w:rsid w:val="0064142F"/>
    <w:rsid w:val="00641A0E"/>
    <w:rsid w:val="00643CB4"/>
    <w:rsid w:val="00656427"/>
    <w:rsid w:val="00657A3B"/>
    <w:rsid w:val="00660255"/>
    <w:rsid w:val="006971F3"/>
    <w:rsid w:val="006C5685"/>
    <w:rsid w:val="006C74A3"/>
    <w:rsid w:val="006C7958"/>
    <w:rsid w:val="006D1381"/>
    <w:rsid w:val="006D31BC"/>
    <w:rsid w:val="006E7943"/>
    <w:rsid w:val="006F24EA"/>
    <w:rsid w:val="00704CA9"/>
    <w:rsid w:val="0071048D"/>
    <w:rsid w:val="00710F86"/>
    <w:rsid w:val="007111A8"/>
    <w:rsid w:val="00731BC3"/>
    <w:rsid w:val="00741192"/>
    <w:rsid w:val="00743A33"/>
    <w:rsid w:val="00746080"/>
    <w:rsid w:val="0075144A"/>
    <w:rsid w:val="0077081E"/>
    <w:rsid w:val="00786329"/>
    <w:rsid w:val="00792C7D"/>
    <w:rsid w:val="00794A4D"/>
    <w:rsid w:val="007A5234"/>
    <w:rsid w:val="007B4D9C"/>
    <w:rsid w:val="007B7854"/>
    <w:rsid w:val="007C56A1"/>
    <w:rsid w:val="007C6454"/>
    <w:rsid w:val="007E01E0"/>
    <w:rsid w:val="007F0B93"/>
    <w:rsid w:val="007F2ECA"/>
    <w:rsid w:val="007F4AFF"/>
    <w:rsid w:val="00811708"/>
    <w:rsid w:val="00816B90"/>
    <w:rsid w:val="00817799"/>
    <w:rsid w:val="00822F5F"/>
    <w:rsid w:val="00824FD3"/>
    <w:rsid w:val="00826589"/>
    <w:rsid w:val="00834BCC"/>
    <w:rsid w:val="00844481"/>
    <w:rsid w:val="00850D54"/>
    <w:rsid w:val="008714B0"/>
    <w:rsid w:val="00872178"/>
    <w:rsid w:val="00876331"/>
    <w:rsid w:val="00880726"/>
    <w:rsid w:val="008A0F20"/>
    <w:rsid w:val="008A3544"/>
    <w:rsid w:val="008B48B8"/>
    <w:rsid w:val="008B5348"/>
    <w:rsid w:val="008B58F8"/>
    <w:rsid w:val="008C0712"/>
    <w:rsid w:val="008C2790"/>
    <w:rsid w:val="008C4520"/>
    <w:rsid w:val="008C5F09"/>
    <w:rsid w:val="008D470F"/>
    <w:rsid w:val="008E1F8F"/>
    <w:rsid w:val="008E4768"/>
    <w:rsid w:val="008E73C2"/>
    <w:rsid w:val="008E761E"/>
    <w:rsid w:val="008F77B3"/>
    <w:rsid w:val="009008F5"/>
    <w:rsid w:val="00904AAF"/>
    <w:rsid w:val="00904CC1"/>
    <w:rsid w:val="009066AF"/>
    <w:rsid w:val="00912050"/>
    <w:rsid w:val="00912E48"/>
    <w:rsid w:val="0092746F"/>
    <w:rsid w:val="00930CCD"/>
    <w:rsid w:val="00935DC9"/>
    <w:rsid w:val="009446C0"/>
    <w:rsid w:val="0096082E"/>
    <w:rsid w:val="00961347"/>
    <w:rsid w:val="00967410"/>
    <w:rsid w:val="00967D73"/>
    <w:rsid w:val="00973A96"/>
    <w:rsid w:val="00976408"/>
    <w:rsid w:val="009767EE"/>
    <w:rsid w:val="0098119A"/>
    <w:rsid w:val="00984AAF"/>
    <w:rsid w:val="00991B09"/>
    <w:rsid w:val="00993CB2"/>
    <w:rsid w:val="009A5166"/>
    <w:rsid w:val="009A76F8"/>
    <w:rsid w:val="009B2B83"/>
    <w:rsid w:val="009C0CA4"/>
    <w:rsid w:val="009C2531"/>
    <w:rsid w:val="009C49F8"/>
    <w:rsid w:val="009D77CC"/>
    <w:rsid w:val="009E1077"/>
    <w:rsid w:val="009E2423"/>
    <w:rsid w:val="009E55D7"/>
    <w:rsid w:val="009F4150"/>
    <w:rsid w:val="009F5665"/>
    <w:rsid w:val="009F5DAD"/>
    <w:rsid w:val="00A01BCA"/>
    <w:rsid w:val="00A10458"/>
    <w:rsid w:val="00A10EBC"/>
    <w:rsid w:val="00A153B6"/>
    <w:rsid w:val="00A164D5"/>
    <w:rsid w:val="00A273C3"/>
    <w:rsid w:val="00A30C37"/>
    <w:rsid w:val="00A36C65"/>
    <w:rsid w:val="00A41BBE"/>
    <w:rsid w:val="00A45BDD"/>
    <w:rsid w:val="00A46A0A"/>
    <w:rsid w:val="00A553F8"/>
    <w:rsid w:val="00A6708F"/>
    <w:rsid w:val="00A704FE"/>
    <w:rsid w:val="00A71BF6"/>
    <w:rsid w:val="00A86F9A"/>
    <w:rsid w:val="00AA35E6"/>
    <w:rsid w:val="00AA50B6"/>
    <w:rsid w:val="00AB3472"/>
    <w:rsid w:val="00AD0762"/>
    <w:rsid w:val="00AD4FB1"/>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4CAB"/>
    <w:rsid w:val="00BA120A"/>
    <w:rsid w:val="00BA4697"/>
    <w:rsid w:val="00BB3156"/>
    <w:rsid w:val="00BB5378"/>
    <w:rsid w:val="00BC0BD3"/>
    <w:rsid w:val="00BD0107"/>
    <w:rsid w:val="00BD38BE"/>
    <w:rsid w:val="00BE0C33"/>
    <w:rsid w:val="00BE1DA0"/>
    <w:rsid w:val="00BE262C"/>
    <w:rsid w:val="00BE68BD"/>
    <w:rsid w:val="00BE6C3D"/>
    <w:rsid w:val="00BF7278"/>
    <w:rsid w:val="00C07606"/>
    <w:rsid w:val="00C07697"/>
    <w:rsid w:val="00C10BD4"/>
    <w:rsid w:val="00C12542"/>
    <w:rsid w:val="00C24725"/>
    <w:rsid w:val="00C276C3"/>
    <w:rsid w:val="00C30BA9"/>
    <w:rsid w:val="00C3541E"/>
    <w:rsid w:val="00C36A8F"/>
    <w:rsid w:val="00C42785"/>
    <w:rsid w:val="00C42FFA"/>
    <w:rsid w:val="00C507D8"/>
    <w:rsid w:val="00C558D7"/>
    <w:rsid w:val="00C62EAC"/>
    <w:rsid w:val="00C63F9F"/>
    <w:rsid w:val="00C7723C"/>
    <w:rsid w:val="00C838F5"/>
    <w:rsid w:val="00C86FE2"/>
    <w:rsid w:val="00CA1AF4"/>
    <w:rsid w:val="00CA6068"/>
    <w:rsid w:val="00CB15E1"/>
    <w:rsid w:val="00CB3D46"/>
    <w:rsid w:val="00CC1804"/>
    <w:rsid w:val="00CC249C"/>
    <w:rsid w:val="00CC4440"/>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65257"/>
    <w:rsid w:val="00D74140"/>
    <w:rsid w:val="00DA25F1"/>
    <w:rsid w:val="00DA6E56"/>
    <w:rsid w:val="00DC6705"/>
    <w:rsid w:val="00DD2DE8"/>
    <w:rsid w:val="00DE38B4"/>
    <w:rsid w:val="00DE5D02"/>
    <w:rsid w:val="00DF1175"/>
    <w:rsid w:val="00DF3A76"/>
    <w:rsid w:val="00E005A9"/>
    <w:rsid w:val="00E1166E"/>
    <w:rsid w:val="00E23347"/>
    <w:rsid w:val="00E24DC0"/>
    <w:rsid w:val="00E2519C"/>
    <w:rsid w:val="00E25F2A"/>
    <w:rsid w:val="00E41455"/>
    <w:rsid w:val="00E415EA"/>
    <w:rsid w:val="00E42AD2"/>
    <w:rsid w:val="00E50856"/>
    <w:rsid w:val="00E538CC"/>
    <w:rsid w:val="00E54DBA"/>
    <w:rsid w:val="00E63D7C"/>
    <w:rsid w:val="00E640D5"/>
    <w:rsid w:val="00E66E2E"/>
    <w:rsid w:val="00E67691"/>
    <w:rsid w:val="00E76E0B"/>
    <w:rsid w:val="00E8091B"/>
    <w:rsid w:val="00E92237"/>
    <w:rsid w:val="00E951EF"/>
    <w:rsid w:val="00EA3D54"/>
    <w:rsid w:val="00EA56D9"/>
    <w:rsid w:val="00EA5CE3"/>
    <w:rsid w:val="00EA7D00"/>
    <w:rsid w:val="00EB51C1"/>
    <w:rsid w:val="00EB5AE1"/>
    <w:rsid w:val="00EB5E0B"/>
    <w:rsid w:val="00EC2171"/>
    <w:rsid w:val="00ED18BE"/>
    <w:rsid w:val="00ED442D"/>
    <w:rsid w:val="00ED70C2"/>
    <w:rsid w:val="00EE18FF"/>
    <w:rsid w:val="00EE489F"/>
    <w:rsid w:val="00F0647F"/>
    <w:rsid w:val="00F06FEA"/>
    <w:rsid w:val="00F10CE3"/>
    <w:rsid w:val="00F14F3B"/>
    <w:rsid w:val="00F16362"/>
    <w:rsid w:val="00F168D0"/>
    <w:rsid w:val="00F207C7"/>
    <w:rsid w:val="00F36B6D"/>
    <w:rsid w:val="00F41F9F"/>
    <w:rsid w:val="00F43FA3"/>
    <w:rsid w:val="00F4482D"/>
    <w:rsid w:val="00F55648"/>
    <w:rsid w:val="00F70046"/>
    <w:rsid w:val="00F748C2"/>
    <w:rsid w:val="00F76C5C"/>
    <w:rsid w:val="00F77272"/>
    <w:rsid w:val="00F81EF3"/>
    <w:rsid w:val="00F84496"/>
    <w:rsid w:val="00F85DCB"/>
    <w:rsid w:val="00F86F9C"/>
    <w:rsid w:val="00F90D76"/>
    <w:rsid w:val="00F973ED"/>
    <w:rsid w:val="00FB4B71"/>
    <w:rsid w:val="00FC002E"/>
    <w:rsid w:val="00FC0504"/>
    <w:rsid w:val="00FC0D76"/>
    <w:rsid w:val="00FC4C23"/>
    <w:rsid w:val="00FC56F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12EC62"/>
  <w15:docId w15:val="{844C95EA-BC76-49CD-AA0F-6C2E71CD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FollowedHyperlink">
    <w:name w:val="FollowedHyperlink"/>
    <w:basedOn w:val="DefaultParagraphFont"/>
    <w:uiPriority w:val="99"/>
    <w:semiHidden/>
    <w:unhideWhenUsed/>
    <w:rsid w:val="00F77272"/>
    <w:rPr>
      <w:color w:val="800080" w:themeColor="followedHyperlink"/>
      <w:u w:val="single"/>
    </w:rPr>
  </w:style>
  <w:style w:type="character" w:styleId="CommentReference">
    <w:name w:val="annotation reference"/>
    <w:basedOn w:val="DefaultParagraphFont"/>
    <w:uiPriority w:val="99"/>
    <w:semiHidden/>
    <w:unhideWhenUsed/>
    <w:rsid w:val="00DF1175"/>
    <w:rPr>
      <w:sz w:val="16"/>
      <w:szCs w:val="16"/>
    </w:rPr>
  </w:style>
  <w:style w:type="paragraph" w:styleId="CommentText">
    <w:name w:val="annotation text"/>
    <w:basedOn w:val="Normal"/>
    <w:link w:val="CommentTextChar"/>
    <w:uiPriority w:val="99"/>
    <w:semiHidden/>
    <w:unhideWhenUsed/>
    <w:rsid w:val="00DF1175"/>
    <w:pPr>
      <w:spacing w:line="240" w:lineRule="auto"/>
    </w:pPr>
    <w:rPr>
      <w:sz w:val="20"/>
      <w:szCs w:val="20"/>
    </w:rPr>
  </w:style>
  <w:style w:type="character" w:customStyle="1" w:styleId="CommentTextChar">
    <w:name w:val="Comment Text Char"/>
    <w:basedOn w:val="DefaultParagraphFont"/>
    <w:link w:val="CommentText"/>
    <w:uiPriority w:val="99"/>
    <w:semiHidden/>
    <w:rsid w:val="00DF1175"/>
    <w:rPr>
      <w:sz w:val="20"/>
      <w:szCs w:val="20"/>
    </w:rPr>
  </w:style>
  <w:style w:type="paragraph" w:styleId="CommentSubject">
    <w:name w:val="annotation subject"/>
    <w:basedOn w:val="CommentText"/>
    <w:next w:val="CommentText"/>
    <w:link w:val="CommentSubjectChar"/>
    <w:uiPriority w:val="99"/>
    <w:semiHidden/>
    <w:unhideWhenUsed/>
    <w:rsid w:val="00DF1175"/>
    <w:rPr>
      <w:b/>
      <w:bCs/>
    </w:rPr>
  </w:style>
  <w:style w:type="character" w:customStyle="1" w:styleId="CommentSubjectChar">
    <w:name w:val="Comment Subject Char"/>
    <w:basedOn w:val="CommentTextChar"/>
    <w:link w:val="CommentSubject"/>
    <w:uiPriority w:val="99"/>
    <w:semiHidden/>
    <w:rsid w:val="00DF11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hyperlink" Target="http://www.abs.gov.au/" TargetMode="External"/><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bruce.thorley@mh.org.au" TargetMode="External"/><Relationship Id="rId23" Type="http://schemas.openxmlformats.org/officeDocument/2006/relationships/hyperlink" Target="http://www.health.gov.au/cdna" TargetMode="External"/><Relationship Id="rId10" Type="http://schemas.openxmlformats.org/officeDocument/2006/relationships/footer" Target="foot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mailto:copyright@health.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ho.int/wer/en/" TargetMode="External"/><Relationship Id="rId2" Type="http://schemas.openxmlformats.org/officeDocument/2006/relationships/hyperlink" Target="http://www.apsu.org.au/" TargetMode="External"/><Relationship Id="rId1" Type="http://schemas.openxmlformats.org/officeDocument/2006/relationships/hyperlink" Target="mailto:enterovirus@mh.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509A0B-7C20-417E-9292-F5D0C282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5267</Words>
  <Characters>31241</Characters>
  <Application>Microsoft Office Word</Application>
  <DocSecurity>0</DocSecurity>
  <Lines>260</Lines>
  <Paragraphs>72</Paragraphs>
  <ScaleCrop>false</ScaleCrop>
  <HeadingPairs>
    <vt:vector size="2" baseType="variant">
      <vt:variant>
        <vt:lpstr>Title</vt:lpstr>
      </vt:variant>
      <vt:variant>
        <vt:i4>1</vt:i4>
      </vt:variant>
    </vt:vector>
  </HeadingPairs>
  <TitlesOfParts>
    <vt:vector size="1" baseType="lpstr">
      <vt:lpstr>Communicable Diseases Intelligence 2020 - Australian National Enterovirus Reference Laboratory annual report, 2015</vt:lpstr>
    </vt:vector>
  </TitlesOfParts>
  <Company>Australian Government, Department of Health</Company>
  <LinksUpToDate>false</LinksUpToDate>
  <CharactersWithSpaces>36436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Australian National Enterovirus Reference Laboratory annual report, 2015</dc:title>
  <dc:subject>Clinical surveillance for cases of acute flaccid paralysis, a polio-like illness, is conducted by the National Enterovirus Reference Laboratory, the Australian Paediatric Surveillance Unit and the Paediatric Active Enhanced Disease Surveillance system. In 2015, no cases of polio were reported and Australia met the World Health Organization’s surveillance target of classifying at least one non-polio acute flaccid paralysis case per 100,000 children less than 15 years of age with a rate of 1.2 per 100,000 children.</dc:subject>
  <dc:creator>Jason A Roberts;Linda K Hobday;Aishah Ibrahim;Thomas Aitken;Bruce R Thorley</dc:creator>
  <dc:description>© Commonwealth of Australia CC BY-NC-ND ISSN: 2209-6051 (Online)</dc:description>
  <cp:lastPrinted>2018-05-10T02:19:00Z</cp:lastPrinted>
  <dcterms:created xsi:type="dcterms:W3CDTF">2024-08-28T23:24:00Z</dcterms:created>
  <dcterms:modified xsi:type="dcterms:W3CDTF">2024-08-28T23:24:00Z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15/04/2020</vt:lpwstr>
  </property>
  <property fmtid="{D5CDD505-2E9C-101B-9397-08002B2CF9AE}" pid="5" name="DOI">
    <vt:lpwstr>https://doi.org/10.33321/cdi.2020.44.24</vt:lpwstr>
  </property>
</Properties>
</file>