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4A9A0" w14:textId="77777777" w:rsidR="00CE14CC" w:rsidRDefault="00CE14CC" w:rsidP="00CE14CC">
      <w:pPr>
        <w:pStyle w:val="Title"/>
        <w:rPr>
          <w:rFonts w:eastAsia="Times New Roman"/>
          <w:sz w:val="48"/>
          <w:szCs w:val="48"/>
        </w:rPr>
      </w:pPr>
      <w:r>
        <w:rPr>
          <w:rFonts w:eastAsia="Times New Roman"/>
        </w:rPr>
        <w:t xml:space="preserve">SAEFVIC: Surveillance of adverse events following immunisation (AEFI) in Victoria, Australia, 2018 </w:t>
      </w:r>
    </w:p>
    <w:p w14:paraId="67EC415B" w14:textId="77777777" w:rsidR="00CE14CC" w:rsidRDefault="00CE14CC" w:rsidP="005434B5">
      <w:r>
        <w:t xml:space="preserve">Hazel J Clothier, Jock Lawrie, Georgina Lewis, Melissa Russell, Nigel W Crawford and Jim P Buttery </w:t>
      </w:r>
    </w:p>
    <w:p w14:paraId="6D941EEA" w14:textId="77777777" w:rsidR="00CE14CC" w:rsidRPr="00CE14CC" w:rsidRDefault="00CE14CC" w:rsidP="00CE14CC">
      <w:pPr>
        <w:pStyle w:val="Heading1"/>
      </w:pPr>
      <w:r w:rsidRPr="00CE14CC">
        <w:t xml:space="preserve">Abstract </w:t>
      </w:r>
    </w:p>
    <w:p w14:paraId="6672F58F" w14:textId="77777777" w:rsidR="00CE14CC" w:rsidRPr="00CE14CC" w:rsidRDefault="00CE14CC" w:rsidP="00CE14CC">
      <w:pPr>
        <w:pStyle w:val="Heading2"/>
      </w:pPr>
      <w:r w:rsidRPr="00CE14CC">
        <w:t xml:space="preserve">Background </w:t>
      </w:r>
    </w:p>
    <w:p w14:paraId="63436735" w14:textId="77777777" w:rsidR="00CE14CC" w:rsidRDefault="00CE14CC" w:rsidP="00CE14CC">
      <w:r>
        <w:t xml:space="preserve">SAEFVIC is the Victorian surveillance system for adverse events following immunisation (AEFI). It enhances passive surveillance by also providing clinical support and education to vaccinees and immunisation providers. </w:t>
      </w:r>
    </w:p>
    <w:p w14:paraId="2BDB4A8D" w14:textId="77777777" w:rsidR="00CE14CC" w:rsidRDefault="00CE14CC" w:rsidP="00CE14CC">
      <w:r>
        <w:t xml:space="preserve">This report summarises surveillance, clinical and vaccine pharmacovigilance activities of SAEFVIC in 2018. </w:t>
      </w:r>
    </w:p>
    <w:p w14:paraId="16C7C516" w14:textId="77777777" w:rsidR="00CE14CC" w:rsidRPr="00CE14CC" w:rsidRDefault="00CE14CC" w:rsidP="00CE14CC">
      <w:pPr>
        <w:pStyle w:val="Heading2"/>
      </w:pPr>
      <w:r w:rsidRPr="00CE14CC">
        <w:t xml:space="preserve">Methods </w:t>
      </w:r>
    </w:p>
    <w:p w14:paraId="08E0A9DF" w14:textId="77777777" w:rsidR="00CE14CC" w:rsidRDefault="00CE14CC" w:rsidP="00CE14CC">
      <w:r>
        <w:t xml:space="preserve">A retrospective observational cohort study of AEFI reports received by SAEFVIC in 2018, compared with previous years since 2008. Data were categorised by vaccinee demographics of age, sex, pregnancy and Indigenous status, vaccines administered and AEFI reactions reported. Age cohorts were defined as infant (0–12 months); young child (1–4 years); school-aged (5–17 years); adult (18–64 years); and older person (65+ years). Proportional reporting ratios were calculated for signal investigation of serious adverse neurological events with all vaccines and with influenza vaccines. Clinical support services and educational activities are described. </w:t>
      </w:r>
    </w:p>
    <w:p w14:paraId="2DE1916D" w14:textId="77777777" w:rsidR="00CE14CC" w:rsidRPr="00CE14CC" w:rsidRDefault="00CE14CC" w:rsidP="00CE14CC">
      <w:pPr>
        <w:pStyle w:val="Heading2"/>
      </w:pPr>
      <w:r w:rsidRPr="00CE14CC">
        <w:t xml:space="preserve">Results </w:t>
      </w:r>
    </w:p>
    <w:p w14:paraId="4194CC07" w14:textId="77777777" w:rsidR="00CE14CC" w:rsidRDefault="00CE14CC" w:rsidP="00CE14CC">
      <w:r>
        <w:t xml:space="preserve">SAEFVIC received 1730 AEFI reports (26.8 per 100,000 population), with 9.3% considered serious. Nineteen percent (n = 329) attended clinical review. Annual AEFI reporting trends increased for infants, children and older persons, but were stable for school-aged and adult cohorts. Females comprised 55% of all reports and over 80% of reports among adults. There were 17 reports of AEFI in pregnant women and 12 (0.7%) in persons identifying as Indigenous Australians. A possible signal regarding serious adverse neurological events (SANE) was </w:t>
      </w:r>
      <w:proofErr w:type="gramStart"/>
      <w:r>
        <w:t>detected, but</w:t>
      </w:r>
      <w:proofErr w:type="gramEnd"/>
      <w:r>
        <w:t xml:space="preserve"> was not supported by signal validation testing. A clinical investigation is ongoing. Two deaths were reported coincident to immunisation with no evidence of causal association. </w:t>
      </w:r>
    </w:p>
    <w:p w14:paraId="046402B0" w14:textId="77777777" w:rsidR="00CE14CC" w:rsidRPr="00CE14CC" w:rsidRDefault="00CE14CC" w:rsidP="00CE14CC">
      <w:pPr>
        <w:pStyle w:val="Heading2"/>
      </w:pPr>
      <w:r w:rsidRPr="00CE14CC">
        <w:t xml:space="preserve">Conclusion </w:t>
      </w:r>
    </w:p>
    <w:p w14:paraId="0BC7BAC2" w14:textId="77777777" w:rsidR="00CE14CC" w:rsidRDefault="00CE14CC" w:rsidP="00CE14CC">
      <w:r>
        <w:t xml:space="preserve">SAEFVIC continues to provide robust AEFI surveillance supporting vaccine safety monitoring in Victoria and Australia, with new signal detection and validation methodologies strengthening capabilities. </w:t>
      </w:r>
    </w:p>
    <w:p w14:paraId="08546D63" w14:textId="77777777" w:rsidR="00CE14CC" w:rsidRDefault="00CE14CC" w:rsidP="00CE14CC">
      <w:r>
        <w:t xml:space="preserve">Keywords: Vaccine safety, adverse events, immunisation, surveillance, pharmacovigilance </w:t>
      </w:r>
    </w:p>
    <w:p w14:paraId="29F51854" w14:textId="77777777" w:rsidR="00CE14CC" w:rsidRPr="00CE14CC" w:rsidRDefault="00CE14CC" w:rsidP="00CE14CC">
      <w:pPr>
        <w:pStyle w:val="Heading1"/>
      </w:pPr>
      <w:r w:rsidRPr="00CE14CC">
        <w:t xml:space="preserve">Introduction </w:t>
      </w:r>
    </w:p>
    <w:p w14:paraId="3AB30C2F" w14:textId="77777777" w:rsidR="00CE14CC" w:rsidRDefault="00CE14CC" w:rsidP="00CE14CC">
      <w:r>
        <w:t xml:space="preserve">Surveillance of Adverse Events Following Vaccination </w:t>
      </w:r>
      <w:proofErr w:type="gramStart"/>
      <w:r>
        <w:t>In</w:t>
      </w:r>
      <w:proofErr w:type="gramEnd"/>
      <w:r>
        <w:t xml:space="preserve"> the Community (SAEFVIC) is a public health partnership initiative of the Victorian Immunisation Program funded by the Victorian Government Department of Health and Human Services. AEFI surveillance is an essential component of post-licensure vaccine safety monitoring and aims to detect rare, late onset or unexpected safety signal events. SAFEVIC has been in operation since May 2007. It comprises a central reporting enhanced passive surveillance system integrated with clinical services and is focused on adverse events following immunisation (AEFI) identification for the state of Victoria.</w:t>
      </w:r>
      <w:r>
        <w:rPr>
          <w:vertAlign w:val="superscript"/>
        </w:rPr>
        <w:t>1</w:t>
      </w:r>
      <w:r>
        <w:t xml:space="preserve"> </w:t>
      </w:r>
    </w:p>
    <w:p w14:paraId="01E72D5C" w14:textId="77777777" w:rsidR="00CE14CC" w:rsidRDefault="00CE14CC" w:rsidP="00CE14CC">
      <w:r>
        <w:t xml:space="preserve">Innovative aspects of SAEFVIC include integration of surveillance with jurisdictional clinical services, enabling timely comprehensive follow-up of individual cases including enriching case information with subsequent clinical reviews. </w:t>
      </w:r>
      <w:r>
        <w:lastRenderedPageBreak/>
        <w:t>This model has also been associated with an increase in reporting rates.</w:t>
      </w:r>
      <w:r>
        <w:rPr>
          <w:vertAlign w:val="superscript"/>
        </w:rPr>
        <w:t>2</w:t>
      </w:r>
      <w:r>
        <w:t xml:space="preserve"> Responsive education on immunisation for healthcare professionals, parents and the public is provided through the Melbourne Vaccine Education Centre (MVEC) online initiative.</w:t>
      </w:r>
      <w:r>
        <w:rPr>
          <w:vertAlign w:val="superscript"/>
        </w:rPr>
        <w:t xml:space="preserve">3 </w:t>
      </w:r>
    </w:p>
    <w:p w14:paraId="1CC3E470" w14:textId="77777777" w:rsidR="00CE14CC" w:rsidRDefault="00CE14CC" w:rsidP="00CE14CC">
      <w:r>
        <w:t>This is the first report describing SAEFVIC data and service delivery since 2012, and the first report following the system evaluation conducted in 2015.</w:t>
      </w:r>
      <w:r>
        <w:rPr>
          <w:vertAlign w:val="superscript"/>
        </w:rPr>
        <w:t>2,4</w:t>
      </w:r>
      <w:r>
        <w:t xml:space="preserve"> It provides important baseline background as the SAEFVIC model expands through uptake by other jurisdictions and leading towards a harmonised national AEFI surveillance platform across Australia. The AEFI data received by SAEFVIC are reported to the Therapeutic Goods Administration (TGA) and entered into their searchable database of adverse event notifications (DAEN). National reports of AEFI using these collated data are prepared by the National Centre for Immunisation Research and Surveillance (NCIRS) and published</w:t>
      </w:r>
      <w:r w:rsidR="006C196D">
        <w:t> </w:t>
      </w:r>
      <w:r>
        <w:t>annually.</w:t>
      </w:r>
      <w:r>
        <w:rPr>
          <w:vertAlign w:val="superscript"/>
        </w:rPr>
        <w:t>5</w:t>
      </w:r>
      <w:r>
        <w:t xml:space="preserve"> </w:t>
      </w:r>
    </w:p>
    <w:p w14:paraId="221F5124" w14:textId="77777777" w:rsidR="00CE14CC" w:rsidRDefault="00CE14CC" w:rsidP="00CE14CC">
      <w:r>
        <w:t>SAEFVIC undertakes quarterly reporting to the Immunisation Advisory Committee of the Victorian Government Department of Health and Human Services and is the home of the Australian Adverse Events Following Immunisation Clinical Assessment Network, AEFI-CAN. This report collates and summarises SAEFVIC surveillance activity from 1</w:t>
      </w:r>
      <w:r>
        <w:rPr>
          <w:vertAlign w:val="superscript"/>
        </w:rPr>
        <w:t xml:space="preserve"> </w:t>
      </w:r>
      <w:r>
        <w:t>January to 31</w:t>
      </w:r>
      <w:r>
        <w:rPr>
          <w:vertAlign w:val="superscript"/>
        </w:rPr>
        <w:t xml:space="preserve"> </w:t>
      </w:r>
      <w:r>
        <w:t xml:space="preserve">December 2018 and provides, with comparisons to previous years where relevant: 1) descriptive analyses of AEFI reports for vaccines administered in Victoria; 2) an analysis of serious AEFI; 3) a summary of signal detection and investigation activities; and 4) an outline of the continuing development of educational and clinical services provided by SAEFVIC. </w:t>
      </w:r>
    </w:p>
    <w:p w14:paraId="2678A241" w14:textId="77777777" w:rsidR="00CE14CC" w:rsidRPr="00CE14CC" w:rsidRDefault="00CE14CC" w:rsidP="00CE14CC">
      <w:pPr>
        <w:pStyle w:val="Heading1"/>
      </w:pPr>
      <w:r w:rsidRPr="00CE14CC">
        <w:t xml:space="preserve">Methods </w:t>
      </w:r>
    </w:p>
    <w:p w14:paraId="7CF558B9" w14:textId="77777777" w:rsidR="00CE14CC" w:rsidRDefault="00CE14CC" w:rsidP="00CE14CC">
      <w:r>
        <w:t xml:space="preserve">This retrospective observational cohort study describes AEFI reported to SAEFVIC, Victoria, Australia from 1 January to 31 December 2018 and provides comparisons to AEFI reported in the preceding decade, 2008–2017. Data presented in this report may differ from other reports for the same period as records are continually updated and may be re-categorised following clinical review or for specific analyses. </w:t>
      </w:r>
    </w:p>
    <w:p w14:paraId="6B59AB7D" w14:textId="77777777" w:rsidR="00CE14CC" w:rsidRPr="00CE14CC" w:rsidRDefault="00CE14CC" w:rsidP="00CE14CC">
      <w:pPr>
        <w:pStyle w:val="Heading2"/>
      </w:pPr>
      <w:r w:rsidRPr="00CE14CC">
        <w:t xml:space="preserve">AEFI data source </w:t>
      </w:r>
    </w:p>
    <w:p w14:paraId="6A14C508" w14:textId="77777777" w:rsidR="00CE14CC" w:rsidRDefault="00CE14CC" w:rsidP="00CE14CC">
      <w:r>
        <w:t xml:space="preserve">Reports are entered into SAEFVIC for any AEFI reported in Victoria (reporter with Victoria postcode) for vaccine administered anywhere (including overseas) regardless of causality assessment, providing the AEFI occurred after vaccination. Reports may include immunisation errors that do not result in a reaction or historical events reported for investigation due to concern for future vaccinations. </w:t>
      </w:r>
    </w:p>
    <w:p w14:paraId="39D7B007" w14:textId="77777777" w:rsidR="00182A93" w:rsidRDefault="00CE14CC">
      <w:r>
        <w:t>SAEFVIC is an integrated AEFI reporting system, including passive reports voluntarily received from immunisation providers (medical practitioners, nurses and pharmacists) and from consumers (vaccinees or their guardians). Since 2016, SAEFVIC has additionally recorded and integrated reports submitted from active surveillance where the event has resulted in a medical attendance. Active surveillance means reports have been solicited through either a search of records or a prompted response, and in Victoria are obtained through two systems: 1) the Paediatric Active Enhanced Disease Surveillance (PAEDS) hospital sentinel system,</w:t>
      </w:r>
      <w:r>
        <w:rPr>
          <w:vertAlign w:val="superscript"/>
        </w:rPr>
        <w:t xml:space="preserve">6 </w:t>
      </w:r>
      <w:r>
        <w:t xml:space="preserve">which seeks admission information for selected serious childhood conditions, particularly vaccine preventable diseases and potential AEFI; and 2) the </w:t>
      </w:r>
      <w:proofErr w:type="spellStart"/>
      <w:r>
        <w:t>AusVaxSafety</w:t>
      </w:r>
      <w:proofErr w:type="spellEnd"/>
      <w:r>
        <w:t xml:space="preserve"> network, which uses SMS prompts to elicit information on AEFI from vaccinees within 7 days of immunisation.</w:t>
      </w:r>
      <w:r>
        <w:rPr>
          <w:vertAlign w:val="superscript"/>
        </w:rPr>
        <w:t>7</w:t>
      </w:r>
      <w:r>
        <w:t xml:space="preserve"> All reports encountered through PAEDS with a relevant vaccination history are entered into the SAEFVIC database. However, of those reports encountered through </w:t>
      </w:r>
      <w:proofErr w:type="spellStart"/>
      <w:r>
        <w:t>AusVaxSafety</w:t>
      </w:r>
      <w:proofErr w:type="spellEnd"/>
      <w:r>
        <w:t xml:space="preserve">, only those that are identified as being AEFIs temporally associated with vaccines, resulting in a medical attendance, are entered and it requires the general practitioner (GP) or practice to consent to forwarding the events to the Victorian vaccine safety team at SAEFVIC. </w:t>
      </w:r>
    </w:p>
    <w:p w14:paraId="2288DA81" w14:textId="77777777" w:rsidR="00CE14CC" w:rsidRPr="00CE14CC" w:rsidRDefault="00CE14CC" w:rsidP="00CE14CC">
      <w:pPr>
        <w:pStyle w:val="Heading2"/>
      </w:pPr>
      <w:r w:rsidRPr="00CE14CC">
        <w:t xml:space="preserve">Definitions </w:t>
      </w:r>
    </w:p>
    <w:p w14:paraId="77335828" w14:textId="77777777" w:rsidR="00CE14CC" w:rsidRDefault="00CE14CC" w:rsidP="00CE14CC">
      <w:r>
        <w:lastRenderedPageBreak/>
        <w:t xml:space="preserve">An Adverse Event Following Immunisation (AEFI) is defined as any untoward medical occurrence that follows immunisation but does not necessarily have a causal relationship with the administration of the vaccine. The adverse event may be a sign, symptom or defined illness. This represents a temporal association and does not necessarily have a causal relationship with the vaccine. </w:t>
      </w:r>
    </w:p>
    <w:p w14:paraId="07C9F9CF" w14:textId="77777777" w:rsidR="00CE14CC" w:rsidRDefault="00CE14CC" w:rsidP="00CE14CC">
      <w:r>
        <w:t>AEFI reactions are recorded as signs and symptoms described by the reporter using general medical terminology. Reactions may be further categorised according to standard case definitions, where available and as determined by the Brighton Collaboration, Australian Immunisation handbook or SAEFVIC in hierarchical order as previously described.</w:t>
      </w:r>
      <w:r>
        <w:rPr>
          <w:vertAlign w:val="superscript"/>
        </w:rPr>
        <w:t>1</w:t>
      </w:r>
      <w:r>
        <w:t xml:space="preserve"> A case may report more than one AEFI reaction. </w:t>
      </w:r>
    </w:p>
    <w:p w14:paraId="6A8136AA" w14:textId="77777777" w:rsidR="00CE14CC" w:rsidRDefault="00CE14CC" w:rsidP="00CE14CC">
      <w:r>
        <w:t>An AEFI is determined as serious (SAEFI) if the report indicates a reaction that: resulted in death; was life threatening; required in-patient hospitalization or prolongation of an existing hospitalization; resulted in persistent or significant disability/incapacity; caused a congenital anomaly/birth defect; or was deemed medically important by SAEFVIC clinicians.</w:t>
      </w:r>
      <w:r>
        <w:rPr>
          <w:vertAlign w:val="superscript"/>
        </w:rPr>
        <w:t>5</w:t>
      </w:r>
      <w:r>
        <w:t xml:space="preserve"> A life-threatening event is an event or reaction in which the vaccinee was at risk of death at the time of the event/reaction; it does not refer to an event/reaction that hypothetically might have caused death if it were more severe (e.g. anaphylaxis). </w:t>
      </w:r>
    </w:p>
    <w:p w14:paraId="7A1B07FF" w14:textId="77777777" w:rsidR="00CE14CC" w:rsidRDefault="00CE14CC" w:rsidP="00CE14CC">
      <w:r>
        <w:t>Shoulder injury related to vaccine administration (SIRVA) is a term used to describe a syndrome of pain, inflammation and restricted movement that can arise when the position of the needle is too high causing injury.</w:t>
      </w:r>
      <w:r>
        <w:rPr>
          <w:vertAlign w:val="superscript"/>
        </w:rPr>
        <w:t xml:space="preserve">6 </w:t>
      </w:r>
    </w:p>
    <w:p w14:paraId="7A0EC595" w14:textId="77777777" w:rsidR="00CE14CC" w:rsidRDefault="00CE14CC" w:rsidP="00CE14CC">
      <w:r>
        <w:t xml:space="preserve">Serious adverse neurological events (SANE) include transverse myelitis, optic neuritis, multiple sclerosis and Guillain-Barré syndrome (GBS). </w:t>
      </w:r>
    </w:p>
    <w:p w14:paraId="23BEE063" w14:textId="77777777" w:rsidR="00CE14CC" w:rsidRDefault="00CE14CC" w:rsidP="00CE14CC">
      <w:r>
        <w:t xml:space="preserve">A signal is defined as an increase in AEFI reporting above that which is expected and may be an </w:t>
      </w:r>
      <w:proofErr w:type="spellStart"/>
      <w:r>
        <w:t>abitrary</w:t>
      </w:r>
      <w:proofErr w:type="spellEnd"/>
      <w:r w:rsidR="00DE4895">
        <w:t> </w:t>
      </w:r>
      <w:r>
        <w:t xml:space="preserve">determination through clinical perception or breaching a statistical calculation threshold (see below for proportional reporting ratio calculation and thresholds). </w:t>
      </w:r>
    </w:p>
    <w:p w14:paraId="6CB30829" w14:textId="77777777" w:rsidR="00CE14CC" w:rsidRPr="00CE14CC" w:rsidRDefault="00CE14CC" w:rsidP="00CE14CC">
      <w:pPr>
        <w:pStyle w:val="Heading2"/>
      </w:pPr>
      <w:r w:rsidRPr="00CE14CC">
        <w:t xml:space="preserve">Data categories </w:t>
      </w:r>
    </w:p>
    <w:p w14:paraId="2B4CF0B3" w14:textId="77777777" w:rsidR="00CE14CC" w:rsidRDefault="00CE14CC" w:rsidP="00CE14CC">
      <w:r>
        <w:t xml:space="preserve">Reporter type is recorded by the vaccine administering profession or consumer: the category of consumer includes reports submitted by the vaccinee or their parent or guardian. </w:t>
      </w:r>
    </w:p>
    <w:p w14:paraId="41BADAC5" w14:textId="77777777" w:rsidR="00CE14CC" w:rsidRDefault="00CE14CC" w:rsidP="00CE14CC">
      <w:r>
        <w:t xml:space="preserve">Vaccines administered are recorded by brand name but were grouped by antigen for the purpose of analysis. A case may receive multiple vaccines in one encounter, therefore any AEFI reaction described is recorded in association with each vaccine administered at that encounter. </w:t>
      </w:r>
    </w:p>
    <w:p w14:paraId="386785F1" w14:textId="77777777" w:rsidR="00CE14CC" w:rsidRDefault="00CE14CC" w:rsidP="00CE14CC">
      <w:r>
        <w:t>Age groups were determined as best fit to the National Immunisation Program (NIP) age groups of infant 0–12 months, young child 1–4 years, school-aged 5–17 years, adult 18–64 years and older person 65+ years.</w:t>
      </w:r>
      <w:r>
        <w:rPr>
          <w:vertAlign w:val="superscript"/>
        </w:rPr>
        <w:t xml:space="preserve">8 </w:t>
      </w:r>
    </w:p>
    <w:p w14:paraId="768A483D" w14:textId="77777777" w:rsidR="00CE14CC" w:rsidRPr="00CE14CC" w:rsidRDefault="00CE14CC" w:rsidP="00CE14CC">
      <w:pPr>
        <w:pStyle w:val="Heading2"/>
      </w:pPr>
      <w:r w:rsidRPr="00CE14CC">
        <w:t xml:space="preserve">Analyses </w:t>
      </w:r>
    </w:p>
    <w:p w14:paraId="32023643" w14:textId="77777777" w:rsidR="00CE14CC" w:rsidRDefault="00CE14CC" w:rsidP="00CE14CC">
      <w:r>
        <w:t>Data were extracted and analysed using Microsoft Power BI (version 2.71.55523.941, July 2019).</w:t>
      </w:r>
      <w:r>
        <w:rPr>
          <w:vertAlign w:val="superscript"/>
        </w:rPr>
        <w:t>9</w:t>
      </w:r>
      <w:r>
        <w:t xml:space="preserve"> Reports were analysed as counts, proportions of reports received and proportions by age-group and vaccinee demographics. </w:t>
      </w:r>
    </w:p>
    <w:p w14:paraId="19E8639C" w14:textId="77777777" w:rsidR="00CE14CC" w:rsidRDefault="00CE14CC" w:rsidP="00CE14CC">
      <w:r>
        <w:t xml:space="preserve">Reports per 100,000 population were calculated using Victorian mid-year population estimates obtained from the Australian Bureau of Statistics (ABS); specifically the 2018 mid-year estimates </w:t>
      </w:r>
      <w:r w:rsidRPr="00D37946">
        <w:rPr>
          <w:rStyle w:val="Emphasis"/>
          <w:b w:val="0"/>
        </w:rPr>
        <w:t>Regional Population Growth</w:t>
      </w:r>
      <w:r w:rsidR="00182A93">
        <w:rPr>
          <w:rStyle w:val="FootnoteReference"/>
          <w:bCs/>
          <w:i/>
          <w:iCs/>
          <w:spacing w:val="10"/>
        </w:rPr>
        <w:footnoteReference w:id="2"/>
      </w:r>
      <w:r>
        <w:t xml:space="preserve"> and mid-year projections for 2018</w:t>
      </w:r>
      <w:r w:rsidRPr="00D37946">
        <w:rPr>
          <w:rStyle w:val="Emphasis"/>
          <w:b w:val="0"/>
        </w:rPr>
        <w:t xml:space="preserve"> </w:t>
      </w:r>
      <w:r>
        <w:t>by age and sex, Victoria.</w:t>
      </w:r>
      <w:r>
        <w:rPr>
          <w:vertAlign w:val="superscript"/>
        </w:rPr>
        <w:t xml:space="preserve">10 </w:t>
      </w:r>
    </w:p>
    <w:p w14:paraId="03422527" w14:textId="77777777" w:rsidR="00CE14CC" w:rsidRDefault="00CE14CC" w:rsidP="00CE14CC">
      <w:r>
        <w:lastRenderedPageBreak/>
        <w:t xml:space="preserve">The long-term average for serious AEFI reporting was calculated as the proportion of serious AEFI reported using the sum data from the preceding decade (2008–2017). </w:t>
      </w:r>
    </w:p>
    <w:p w14:paraId="1B97F59A" w14:textId="77777777" w:rsidR="00CE14CC" w:rsidRDefault="00CE14CC" w:rsidP="00CE14CC">
      <w:r>
        <w:t xml:space="preserve">Reporting rates per 100,000 doses administered were calculated using Australian Immunisation Register (AIR) recorded administered doses for each age group in 2018, collated by vaccine brand as at the date of extraction (24 July 2019). </w:t>
      </w:r>
    </w:p>
    <w:p w14:paraId="2FB5E3C6" w14:textId="77777777" w:rsidR="00CE14CC" w:rsidRDefault="00CE14CC" w:rsidP="00CE14CC">
      <w:r>
        <w:t xml:space="preserve">Signal investigation methods included comparison of reporting frequency trends and calculation of proportional reporting ratio (PRR). PRR is calculated for vaccine-reaction pairs using a 2 × 2 table convention where PRR = Thresholds were defined as PRR ≥ 2 and chi-squared (χ2) ≥ 4. </w:t>
      </w:r>
    </w:p>
    <w:p w14:paraId="6FEFF0B4" w14:textId="77777777" w:rsidR="00CE14CC" w:rsidRDefault="00CE14CC">
      <w:pPr>
        <w:pStyle w:val="Heading2"/>
        <w:rPr>
          <w:rFonts w:eastAsia="Times New Roman"/>
        </w:rPr>
      </w:pPr>
      <w:r>
        <w:rPr>
          <w:rFonts w:eastAsia="Times New Roman"/>
        </w:rPr>
        <w:t xml:space="preserve">Ethical approval </w:t>
      </w:r>
    </w:p>
    <w:p w14:paraId="62F2180F" w14:textId="77777777" w:rsidR="00CE14CC" w:rsidRDefault="00CE14CC" w:rsidP="00CE14CC">
      <w:r>
        <w:t xml:space="preserve">Approval was granted by the Royal Children’s Hospital Human Research Ethics Committee for this registered database (Number 37194). </w:t>
      </w:r>
    </w:p>
    <w:p w14:paraId="7C91DC39" w14:textId="77777777" w:rsidR="00CE14CC" w:rsidRPr="00CE14CC" w:rsidRDefault="00CE14CC" w:rsidP="00CE14CC">
      <w:pPr>
        <w:pStyle w:val="Heading1"/>
      </w:pPr>
      <w:r w:rsidRPr="00CE14CC">
        <w:t xml:space="preserve">Results </w:t>
      </w:r>
    </w:p>
    <w:p w14:paraId="02BA82AD" w14:textId="77777777" w:rsidR="00CE14CC" w:rsidRPr="00CE14CC" w:rsidRDefault="00CE14CC" w:rsidP="00CE14CC">
      <w:pPr>
        <w:pStyle w:val="Heading2"/>
      </w:pPr>
      <w:r w:rsidRPr="00CE14CC">
        <w:t xml:space="preserve">Reports received </w:t>
      </w:r>
    </w:p>
    <w:p w14:paraId="4833E603" w14:textId="77777777" w:rsidR="00CE14CC" w:rsidRDefault="00CE14CC" w:rsidP="00CE14CC">
      <w:r>
        <w:t xml:space="preserve">SAEFVIC received a total of 1730 AEFI reports during 2018 (Box 1). </w:t>
      </w:r>
    </w:p>
    <w:p w14:paraId="0A0BDFA8" w14:textId="77777777" w:rsidR="00E345EF" w:rsidRDefault="00E345EF">
      <w:pPr>
        <w:rPr>
          <w:b/>
        </w:rPr>
      </w:pPr>
      <w:r>
        <w:br w:type="page"/>
      </w:r>
    </w:p>
    <w:p w14:paraId="048FDCFE" w14:textId="77777777" w:rsidR="00CE14CC" w:rsidRPr="002E18FB" w:rsidRDefault="00CE14CC" w:rsidP="002E18FB">
      <w:pPr>
        <w:pStyle w:val="CDIFigures"/>
      </w:pPr>
      <w:r w:rsidRPr="002E18FB">
        <w:lastRenderedPageBreak/>
        <w:t>Box 1: Flow diagram of reports available for analysis, SAEFVIC 2018</w:t>
      </w:r>
    </w:p>
    <w:p w14:paraId="1E1DAF27" w14:textId="77777777" w:rsidR="00CE14CC" w:rsidRDefault="00CE14CC" w:rsidP="00EF275B">
      <w:pPr>
        <w:jc w:val="center"/>
        <w:rPr>
          <w:rFonts w:eastAsia="Times New Roman"/>
        </w:rPr>
      </w:pPr>
      <w:r>
        <w:rPr>
          <w:rFonts w:eastAsia="Times New Roman"/>
          <w:noProof/>
        </w:rPr>
        <w:drawing>
          <wp:inline distT="0" distB="0" distL="0" distR="0" wp14:anchorId="221DE32C" wp14:editId="63B5DE47">
            <wp:extent cx="5704840" cy="5023811"/>
            <wp:effectExtent l="0" t="0" r="0" b="5715"/>
            <wp:docPr id="9" name="Picture 9" descr="Box 1 is a flow diagram detailing the number of reports available for analysis by each variable. Of the total 1730 reports received, 1695 were via passive reporting mechanisms.  There were 2434 AEFI reactions described. Clinic services were attended by 329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x 1 is a flow diagram detailing the number of reports available for analysis by each variable. Of the total 1730 reports received, 1695 were via passive reporting mechanisms.  There were 2434 AEFI reactions described. Clinic services were attended by 329 persons."/>
                    <pic:cNvPicPr>
                      <a:picLocks noChangeAspect="1" noChangeArrowheads="1"/>
                    </pic:cNvPicPr>
                  </pic:nvPicPr>
                  <pic:blipFill rotWithShape="1">
                    <a:blip r:embed="rId9">
                      <a:extLst>
                        <a:ext uri="{28A0092B-C50C-407E-A947-70E740481C1C}">
                          <a14:useLocalDpi xmlns:a14="http://schemas.microsoft.com/office/drawing/2010/main" val="0"/>
                        </a:ext>
                      </a:extLst>
                    </a:blip>
                    <a:srcRect l="1243" t="1982" r="2121" b="3034"/>
                    <a:stretch>
                      <a:fillRect/>
                    </a:stretch>
                  </pic:blipFill>
                  <pic:spPr bwMode="auto">
                    <a:xfrm>
                      <a:off x="0" y="0"/>
                      <a:ext cx="5781477" cy="5091299"/>
                    </a:xfrm>
                    <a:prstGeom prst="rect">
                      <a:avLst/>
                    </a:prstGeom>
                    <a:ln>
                      <a:noFill/>
                    </a:ln>
                    <a:extLst>
                      <a:ext uri="{53640926-AAD7-44D8-BBD7-CCE9431645EC}">
                        <a14:shadowObscured xmlns:a14="http://schemas.microsoft.com/office/drawing/2010/main"/>
                      </a:ext>
                    </a:extLst>
                  </pic:spPr>
                </pic:pic>
              </a:graphicData>
            </a:graphic>
          </wp:inline>
        </w:drawing>
      </w:r>
    </w:p>
    <w:p w14:paraId="73D52B74" w14:textId="77777777" w:rsidR="00CE14CC" w:rsidRDefault="00CE14CC" w:rsidP="00CE14CC">
      <w:pPr>
        <w:pStyle w:val="CDIfootnotes"/>
      </w:pPr>
      <w:r>
        <w:t>a</w:t>
      </w:r>
      <w:r>
        <w:tab/>
        <w:t>Pregnancy is positively reported for adult females (i.e. +</w:t>
      </w:r>
      <w:proofErr w:type="spellStart"/>
      <w:r>
        <w:t>ve</w:t>
      </w:r>
      <w:proofErr w:type="spellEnd"/>
      <w:r>
        <w:t xml:space="preserve"> or blank)</w:t>
      </w:r>
    </w:p>
    <w:p w14:paraId="53F0FB7F" w14:textId="77777777" w:rsidR="0075633A" w:rsidRDefault="00CE14CC" w:rsidP="00CE14CC">
      <w:r>
        <w:t>The 1,730 AEFI reports to SAEFVIC submitted during 2018 was a slight decrease on the 1,802 received in 2017 but was still higher than any other previous year (Figure 1). This equates to a reporting rate of 26.8 per 100,000 population per annum. The proportion of reports meeting the definition of serious AEFI was 9.3%, which was less than the long-term average, across the preceding decade, of 12.4% (</w:t>
      </w:r>
      <w:r w:rsidRPr="00D37946">
        <w:rPr>
          <w:rStyle w:val="Emphasis"/>
          <w:b w:val="0"/>
        </w:rPr>
        <w:t>p</w:t>
      </w:r>
      <w:r>
        <w:t xml:space="preserve"> = 0.008). Despite fluctuating overall reporting, the annual proportion of serious AEFI has decreased across the last three years, from a peak of 13.6% in 2015.</w:t>
      </w:r>
    </w:p>
    <w:p w14:paraId="5EED28CD" w14:textId="77777777" w:rsidR="0075633A" w:rsidRPr="00CE14CC" w:rsidRDefault="0075633A" w:rsidP="0075633A">
      <w:pPr>
        <w:pStyle w:val="Heading2"/>
      </w:pPr>
      <w:r w:rsidRPr="00CE14CC">
        <w:t xml:space="preserve">Serious AEFI </w:t>
      </w:r>
    </w:p>
    <w:p w14:paraId="4B432F5E" w14:textId="77777777" w:rsidR="0075633A" w:rsidRDefault="0075633A" w:rsidP="0075633A">
      <w:r>
        <w:t>Of the 1730 reports, 9.3% (n = 161) met the definition of serious, of which 48 (29.8%) had been admitted to hospital and a further 100 (62.1%) attended an emergency department without admission. The majority of serious AEFI were reported in infants (31.7%; 51/161) and children (34.6%; 55/161). As a proportion of the AEFI within each age group, infants had the highest frequency of a serious AEFI being reported (14.8%; 51/344) (Table 1).</w:t>
      </w:r>
    </w:p>
    <w:p w14:paraId="6B7CFC64" w14:textId="77777777" w:rsidR="0075633A" w:rsidRDefault="0075633A" w:rsidP="00CE14CC">
      <w:pPr>
        <w:sectPr w:rsidR="0075633A"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34EB80F7" w14:textId="77777777" w:rsidR="00CE14CC" w:rsidRDefault="00CE14CC" w:rsidP="00EF275B">
      <w:pPr>
        <w:pStyle w:val="CDIFigures"/>
      </w:pPr>
      <w:r>
        <w:lastRenderedPageBreak/>
        <w:t>Figure 1: AEFI reports and reports per 100,000 population, by year, SAEFVIC, Victoria, 2008–2018</w:t>
      </w:r>
    </w:p>
    <w:p w14:paraId="49BF484A" w14:textId="77777777" w:rsidR="00CE14CC" w:rsidRDefault="00CE14CC">
      <w:pPr>
        <w:rPr>
          <w:rFonts w:eastAsia="Times New Roman"/>
        </w:rPr>
      </w:pPr>
      <w:r>
        <w:rPr>
          <w:rFonts w:eastAsia="Times New Roman"/>
          <w:noProof/>
        </w:rPr>
        <w:drawing>
          <wp:inline distT="0" distB="0" distL="0" distR="0" wp14:anchorId="061191E1" wp14:editId="0F16D57E">
            <wp:extent cx="9478542" cy="5972175"/>
            <wp:effectExtent l="0" t="0" r="8890" b="0"/>
            <wp:docPr id="2" name="Picture 2" descr="A line graph of the frequency of AEFI reporting by calendar year from 2008 to 2018. The 1730 AEFI reports to SAEFVIC submitted during 2018 was a slight decrease on the 1802 received in 2017 but still higher than any other previous year. This equates to a reporting rate of 26.8 per 100,000 population per annum. The proportion of reports meeting the definition of serious AEFI was 9.3%, which was less than the long-term average across the preceding dec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of the frequency of AEFI reporting by calendar year from 2008 to 2018. The 1730 AEFI reports to SAEFVIC submitted during 2018 was a slight decrease on the 1802 received in 2017 but still higher than any other previous year. This equates to a reporting rate of 26.8 per 100,000 population per annum. The proportion of reports meeting the definition of serious AEFI was 9.3%, which was less than the long-term average across the preceding decad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484197" cy="5975738"/>
                    </a:xfrm>
                    <a:prstGeom prst="rect">
                      <a:avLst/>
                    </a:prstGeom>
                  </pic:spPr>
                </pic:pic>
              </a:graphicData>
            </a:graphic>
          </wp:inline>
        </w:drawing>
      </w:r>
    </w:p>
    <w:p w14:paraId="4A452070" w14:textId="77777777" w:rsidR="00EF275B" w:rsidRDefault="00EF275B" w:rsidP="00CE14CC">
      <w:pPr>
        <w:pStyle w:val="Heading2"/>
        <w:sectPr w:rsidR="00EF275B" w:rsidSect="00EF275B">
          <w:footnotePr>
            <w:numFmt w:val="lowerRoman"/>
          </w:footnotePr>
          <w:pgSz w:w="16838" w:h="11906" w:orient="landscape"/>
          <w:pgMar w:top="720" w:right="720" w:bottom="720" w:left="1134" w:header="709" w:footer="284" w:gutter="0"/>
          <w:cols w:space="708"/>
          <w:titlePg/>
          <w:docGrid w:linePitch="360"/>
        </w:sectPr>
      </w:pPr>
    </w:p>
    <w:p w14:paraId="58FA558F" w14:textId="77777777" w:rsidR="00CE14CC" w:rsidRDefault="00CE14CC" w:rsidP="00B27F5E">
      <w:pPr>
        <w:pStyle w:val="CDIFigures"/>
      </w:pPr>
      <w:r>
        <w:lastRenderedPageBreak/>
        <w:t xml:space="preserve">Table 1: AEFI reports by ‘serious’ category, age group, and </w:t>
      </w:r>
      <w:proofErr w:type="spellStart"/>
      <w:r>
        <w:t>sex,</w:t>
      </w:r>
      <w:r w:rsidRPr="00EF4536">
        <w:rPr>
          <w:vertAlign w:val="superscript"/>
        </w:rPr>
        <w:t>a</w:t>
      </w:r>
      <w:proofErr w:type="spellEnd"/>
      <w:r>
        <w:t xml:space="preserve"> SAEFVIC, Victoria, 2018</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ulation of the number of AEFI reports received, categorised by vaccinee age group. Reports are detailed as number, proportion and per 100,000 population for serious reports and by gender. The highest number of reports were received for young children. The majority of serious AEFI were reported in infants and children, however as a proportion within each age group infants had the highest frequency of a serious AEFI being reported.&#10;"/>
      </w:tblPr>
      <w:tblGrid>
        <w:gridCol w:w="1602"/>
        <w:gridCol w:w="729"/>
        <w:gridCol w:w="2087"/>
        <w:gridCol w:w="898"/>
        <w:gridCol w:w="898"/>
        <w:gridCol w:w="1413"/>
        <w:gridCol w:w="1413"/>
        <w:gridCol w:w="1412"/>
        <w:gridCol w:w="1413"/>
        <w:gridCol w:w="3119"/>
      </w:tblGrid>
      <w:tr w:rsidR="00A33DC8" w:rsidRPr="00A33DC8" w14:paraId="060693BE" w14:textId="77777777" w:rsidTr="003C2B4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16B125DE" w14:textId="77777777" w:rsidR="00CE14CC" w:rsidRPr="00A33DC8" w:rsidRDefault="00CE14CC">
            <w:pPr>
              <w:rPr>
                <w:color w:val="FFFFFF" w:themeColor="background1"/>
              </w:rPr>
            </w:pPr>
          </w:p>
        </w:tc>
        <w:tc>
          <w:tcPr>
            <w:tcW w:w="13383" w:type="dxa"/>
            <w:gridSpan w:val="9"/>
            <w:tcBorders>
              <w:left w:val="single" w:sz="2" w:space="0" w:color="FFFFFF" w:themeColor="background1"/>
              <w:bottom w:val="single" w:sz="2" w:space="0" w:color="FFFFFF" w:themeColor="background1"/>
            </w:tcBorders>
            <w:hideMark/>
          </w:tcPr>
          <w:p w14:paraId="2506841A" w14:textId="77777777" w:rsidR="00CE14CC" w:rsidRPr="00A33DC8" w:rsidRDefault="00CE14CC" w:rsidP="008F4EE2">
            <w:pPr>
              <w:pStyle w:val="NormalWeb"/>
              <w:jc w:val="center"/>
              <w:rPr>
                <w:color w:val="FFFFFF" w:themeColor="background1"/>
                <w:sz w:val="24"/>
                <w:szCs w:val="24"/>
              </w:rPr>
            </w:pPr>
            <w:r w:rsidRPr="00A33DC8">
              <w:rPr>
                <w:color w:val="FFFFFF" w:themeColor="background1"/>
              </w:rPr>
              <w:t>AEFI reports</w:t>
            </w:r>
          </w:p>
        </w:tc>
      </w:tr>
      <w:tr w:rsidR="006A2115" w:rsidRPr="00A33DC8" w14:paraId="1A84A1EA" w14:textId="77777777" w:rsidTr="00D5459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2" w:space="0" w:color="FFFFFF" w:themeColor="background1"/>
              <w:bottom w:val="single" w:sz="2" w:space="0" w:color="FFFFFF" w:themeColor="background1"/>
              <w:right w:val="single" w:sz="2" w:space="0" w:color="FFFFFF" w:themeColor="background1"/>
            </w:tcBorders>
            <w:vAlign w:val="center"/>
            <w:hideMark/>
          </w:tcPr>
          <w:p w14:paraId="455E9FA3" w14:textId="77777777" w:rsidR="00CE14CC" w:rsidRPr="00A33DC8" w:rsidRDefault="00CE14CC" w:rsidP="00D54598">
            <w:pPr>
              <w:pStyle w:val="NormalWeb"/>
              <w:rPr>
                <w:color w:val="FFFFFF" w:themeColor="background1"/>
              </w:rPr>
            </w:pPr>
            <w:r w:rsidRPr="00A33DC8">
              <w:rPr>
                <w:color w:val="FFFFFF" w:themeColor="background1"/>
              </w:rPr>
              <w:t>Age group (years)</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A1F1238" w14:textId="77777777" w:rsidR="00CE14CC" w:rsidRPr="00A33DC8" w:rsidRDefault="00CE14CC" w:rsidP="00D54598">
            <w:pPr>
              <w:pStyle w:val="NormalWeb"/>
              <w:jc w:val="center"/>
              <w:rPr>
                <w:color w:val="FFFFFF" w:themeColor="background1"/>
              </w:rPr>
            </w:pPr>
            <w:r w:rsidRPr="00A33DC8">
              <w:rPr>
                <w:color w:val="FFFFFF" w:themeColor="background1"/>
              </w:rPr>
              <w:t>Total</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50ADEA9" w14:textId="77777777" w:rsidR="00CE14CC" w:rsidRPr="00A33DC8" w:rsidRDefault="00CE14CC" w:rsidP="00D54598">
            <w:pPr>
              <w:jc w:val="center"/>
              <w:rPr>
                <w:color w:val="FFFFFF" w:themeColor="background1"/>
              </w:rPr>
            </w:pP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D0CDDF3" w14:textId="77777777" w:rsidR="00CE14CC" w:rsidRPr="00A33DC8" w:rsidRDefault="00CE14CC" w:rsidP="00D54598">
            <w:pPr>
              <w:jc w:val="center"/>
              <w:rPr>
                <w:rFonts w:eastAsia="Times New Roman"/>
                <w:color w:val="FFFFFF" w:themeColor="background1"/>
                <w:sz w:val="20"/>
                <w:szCs w:val="20"/>
              </w:rPr>
            </w:pPr>
          </w:p>
        </w:tc>
        <w:tc>
          <w:tcPr>
            <w:tcW w:w="0" w:type="auto"/>
            <w:tcBorders>
              <w:top w:val="single" w:sz="2" w:space="0" w:color="FFFFFF" w:themeColor="background1"/>
              <w:left w:val="single" w:sz="2" w:space="0" w:color="FFFFFF" w:themeColor="background1"/>
              <w:bottom w:val="single" w:sz="2" w:space="0" w:color="FFFFFF" w:themeColor="background1"/>
              <w:right w:val="single" w:sz="18" w:space="0" w:color="FFC000"/>
            </w:tcBorders>
            <w:vAlign w:val="center"/>
            <w:hideMark/>
          </w:tcPr>
          <w:p w14:paraId="31AB8420" w14:textId="77777777" w:rsidR="00CE14CC" w:rsidRPr="00A33DC8" w:rsidRDefault="00CE14CC" w:rsidP="00D54598">
            <w:pPr>
              <w:jc w:val="center"/>
              <w:rPr>
                <w:rFonts w:eastAsia="Times New Roman"/>
                <w:color w:val="FFFFFF" w:themeColor="background1"/>
                <w:sz w:val="20"/>
                <w:szCs w:val="20"/>
              </w:rPr>
            </w:pPr>
          </w:p>
        </w:tc>
        <w:tc>
          <w:tcPr>
            <w:tcW w:w="0" w:type="auto"/>
            <w:gridSpan w:val="2"/>
            <w:tcBorders>
              <w:top w:val="single" w:sz="18" w:space="0" w:color="FFC000"/>
              <w:left w:val="single" w:sz="18" w:space="0" w:color="FFC000"/>
              <w:bottom w:val="single" w:sz="2" w:space="0" w:color="FFFFFF" w:themeColor="background1"/>
              <w:right w:val="single" w:sz="2" w:space="0" w:color="FFFFFF" w:themeColor="background1"/>
            </w:tcBorders>
            <w:vAlign w:val="center"/>
            <w:hideMark/>
          </w:tcPr>
          <w:p w14:paraId="1BF89918" w14:textId="77777777" w:rsidR="00CE14CC" w:rsidRPr="00A33DC8" w:rsidRDefault="00CE14CC" w:rsidP="00D54598">
            <w:pPr>
              <w:pStyle w:val="NormalWeb"/>
              <w:jc w:val="center"/>
              <w:rPr>
                <w:color w:val="FFFFFF" w:themeColor="background1"/>
                <w:sz w:val="24"/>
                <w:szCs w:val="24"/>
              </w:rPr>
            </w:pPr>
            <w:r w:rsidRPr="00A33DC8">
              <w:rPr>
                <w:color w:val="FFFFFF" w:themeColor="background1"/>
              </w:rPr>
              <w:t>Male</w:t>
            </w:r>
          </w:p>
        </w:tc>
        <w:tc>
          <w:tcPr>
            <w:tcW w:w="0" w:type="auto"/>
            <w:gridSpan w:val="2"/>
            <w:tcBorders>
              <w:top w:val="single" w:sz="18" w:space="0" w:color="FFC000"/>
              <w:left w:val="single" w:sz="2" w:space="0" w:color="FFFFFF" w:themeColor="background1"/>
              <w:bottom w:val="single" w:sz="2" w:space="0" w:color="FFFFFF" w:themeColor="background1"/>
              <w:right w:val="single" w:sz="2" w:space="0" w:color="FFFFFF" w:themeColor="background1"/>
            </w:tcBorders>
            <w:vAlign w:val="center"/>
            <w:hideMark/>
          </w:tcPr>
          <w:p w14:paraId="2B15DC8D" w14:textId="77777777" w:rsidR="00CE14CC" w:rsidRPr="00A33DC8" w:rsidRDefault="00CE14CC" w:rsidP="00D54598">
            <w:pPr>
              <w:pStyle w:val="NormalWeb"/>
              <w:jc w:val="center"/>
              <w:rPr>
                <w:color w:val="FFFFFF" w:themeColor="background1"/>
              </w:rPr>
            </w:pPr>
            <w:r w:rsidRPr="00A33DC8">
              <w:rPr>
                <w:color w:val="FFFFFF" w:themeColor="background1"/>
              </w:rPr>
              <w:t>Female</w:t>
            </w:r>
          </w:p>
        </w:tc>
        <w:tc>
          <w:tcPr>
            <w:tcW w:w="3119" w:type="dxa"/>
            <w:vMerge w:val="restart"/>
            <w:tcBorders>
              <w:top w:val="single" w:sz="18" w:space="0" w:color="FFC000"/>
              <w:left w:val="single" w:sz="2" w:space="0" w:color="FFFFFF" w:themeColor="background1"/>
              <w:right w:val="single" w:sz="18" w:space="0" w:color="FFC000"/>
            </w:tcBorders>
            <w:vAlign w:val="center"/>
            <w:hideMark/>
          </w:tcPr>
          <w:p w14:paraId="00BAD4DC" w14:textId="77777777" w:rsidR="00CE14CC" w:rsidRPr="00A33DC8" w:rsidRDefault="00CE14CC" w:rsidP="00D54598">
            <w:pPr>
              <w:pStyle w:val="NormalWeb"/>
              <w:jc w:val="center"/>
              <w:rPr>
                <w:color w:val="FFFFFF" w:themeColor="background1"/>
              </w:rPr>
            </w:pPr>
            <w:proofErr w:type="spellStart"/>
            <w:r w:rsidRPr="00A33DC8">
              <w:rPr>
                <w:color w:val="FFFFFF" w:themeColor="background1"/>
              </w:rPr>
              <w:t>Male:female</w:t>
            </w:r>
            <w:proofErr w:type="spellEnd"/>
            <w:r w:rsidR="006A2115">
              <w:rPr>
                <w:color w:val="FFFFFF" w:themeColor="background1"/>
              </w:rPr>
              <w:br/>
            </w:r>
            <w:r w:rsidRPr="00A33DC8">
              <w:rPr>
                <w:color w:val="FFFFFF" w:themeColor="background1"/>
              </w:rPr>
              <w:t>population reporting ratio</w:t>
            </w:r>
          </w:p>
        </w:tc>
      </w:tr>
      <w:tr w:rsidR="00614426" w:rsidRPr="00A33DC8" w14:paraId="665F40F3" w14:textId="77777777" w:rsidTr="00D5459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6D444501" w14:textId="77777777" w:rsidR="00CE14CC" w:rsidRPr="00A33DC8" w:rsidRDefault="00CE14CC" w:rsidP="00D54598">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6F182924" w14:textId="77777777" w:rsidR="00CE14CC" w:rsidRPr="00A33DC8" w:rsidRDefault="00CE14CC" w:rsidP="00D54598">
            <w:pPr>
              <w:jc w:val="cente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0CEF305C" w14:textId="77777777" w:rsidR="00CE14CC" w:rsidRPr="00A33DC8" w:rsidRDefault="00CE14CC" w:rsidP="00D54598">
            <w:pPr>
              <w:pStyle w:val="NormalWeb"/>
              <w:jc w:val="center"/>
              <w:rPr>
                <w:color w:val="FFFFFF" w:themeColor="background1"/>
              </w:rPr>
            </w:pPr>
            <w:r w:rsidRPr="00A33DC8">
              <w:rPr>
                <w:color w:val="FFFFFF" w:themeColor="background1"/>
              </w:rPr>
              <w:t>Per 100,000 population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F1EEAA6" w14:textId="77777777" w:rsidR="00CE14CC" w:rsidRPr="00A33DC8" w:rsidRDefault="00CE14CC" w:rsidP="00D54598">
            <w:pPr>
              <w:pStyle w:val="NormalWeb"/>
              <w:jc w:val="center"/>
              <w:rPr>
                <w:color w:val="FFFFFF" w:themeColor="background1"/>
              </w:rPr>
            </w:pPr>
            <w:r w:rsidRPr="00A33DC8">
              <w:rPr>
                <w:color w:val="FFFFFF" w:themeColor="background1"/>
              </w:rPr>
              <w:t>Serious</w:t>
            </w:r>
            <w:r w:rsidR="006A2115">
              <w:rPr>
                <w:color w:val="FFFFFF" w:themeColor="background1"/>
              </w:rPr>
              <w:br/>
            </w:r>
            <w:r w:rsidRPr="00A33DC8">
              <w:rPr>
                <w:color w:val="FFFFFF" w:themeColor="background1"/>
              </w:rPr>
              <w:t>AEFI</w:t>
            </w:r>
            <w:r w:rsidR="006A2115">
              <w:rPr>
                <w:color w:val="FFFFFF" w:themeColor="background1"/>
              </w:rPr>
              <w:br/>
            </w:r>
            <w:r w:rsidRPr="00A33DC8">
              <w:rPr>
                <w:color w:val="FFFFFF" w:themeColor="background1"/>
              </w:rPr>
              <w:t>n</w:t>
            </w:r>
          </w:p>
        </w:tc>
        <w:tc>
          <w:tcPr>
            <w:tcW w:w="0" w:type="auto"/>
            <w:tcBorders>
              <w:top w:val="single" w:sz="2" w:space="0" w:color="FFFFFF" w:themeColor="background1"/>
              <w:left w:val="single" w:sz="2" w:space="0" w:color="FFFFFF" w:themeColor="background1"/>
              <w:right w:val="single" w:sz="18" w:space="0" w:color="FFC000"/>
            </w:tcBorders>
            <w:vAlign w:val="center"/>
            <w:hideMark/>
          </w:tcPr>
          <w:p w14:paraId="701CC91B" w14:textId="77777777" w:rsidR="00CE14CC" w:rsidRPr="00A33DC8" w:rsidRDefault="00CE14CC" w:rsidP="00D54598">
            <w:pPr>
              <w:pStyle w:val="NormalWeb"/>
              <w:jc w:val="center"/>
              <w:rPr>
                <w:color w:val="FFFFFF" w:themeColor="background1"/>
              </w:rPr>
            </w:pPr>
            <w:r w:rsidRPr="00A33DC8">
              <w:rPr>
                <w:color w:val="FFFFFF" w:themeColor="background1"/>
              </w:rPr>
              <w:t>Serious</w:t>
            </w:r>
            <w:r w:rsidR="006A2115">
              <w:rPr>
                <w:color w:val="FFFFFF" w:themeColor="background1"/>
              </w:rPr>
              <w:br/>
            </w:r>
            <w:r w:rsidRPr="00A33DC8">
              <w:rPr>
                <w:color w:val="FFFFFF" w:themeColor="background1"/>
              </w:rPr>
              <w:t>AEFI</w:t>
            </w:r>
            <w:r w:rsidR="006A2115">
              <w:rPr>
                <w:color w:val="FFFFFF" w:themeColor="background1"/>
              </w:rPr>
              <w:br/>
            </w:r>
            <w:r w:rsidRPr="00A33DC8">
              <w:rPr>
                <w:color w:val="FFFFFF" w:themeColor="background1"/>
              </w:rPr>
              <w:t>%</w:t>
            </w:r>
          </w:p>
        </w:tc>
        <w:tc>
          <w:tcPr>
            <w:tcW w:w="1413" w:type="dxa"/>
            <w:tcBorders>
              <w:top w:val="single" w:sz="2" w:space="0" w:color="FFFFFF" w:themeColor="background1"/>
              <w:left w:val="single" w:sz="18" w:space="0" w:color="FFC000"/>
              <w:bottom w:val="single" w:sz="2" w:space="0" w:color="FFFFFF" w:themeColor="background1"/>
              <w:right w:val="single" w:sz="2" w:space="0" w:color="FFFFFF" w:themeColor="background1"/>
            </w:tcBorders>
            <w:vAlign w:val="center"/>
            <w:hideMark/>
          </w:tcPr>
          <w:p w14:paraId="1B5BF2BE" w14:textId="77777777" w:rsidR="00CE14CC" w:rsidRPr="00A33DC8" w:rsidRDefault="00CE14CC" w:rsidP="00D54598">
            <w:pPr>
              <w:pStyle w:val="NormalWeb"/>
              <w:jc w:val="center"/>
              <w:rPr>
                <w:color w:val="FFFFFF" w:themeColor="background1"/>
              </w:rPr>
            </w:pPr>
            <w:r w:rsidRPr="00A33DC8">
              <w:rPr>
                <w:color w:val="FFFFFF" w:themeColor="background1"/>
              </w:rPr>
              <w:t>Cases</w:t>
            </w:r>
          </w:p>
        </w:tc>
        <w:tc>
          <w:tcPr>
            <w:tcW w:w="141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17C2616" w14:textId="77777777" w:rsidR="00CE14CC" w:rsidRPr="00A33DC8" w:rsidRDefault="00CE14CC" w:rsidP="00D54598">
            <w:pPr>
              <w:pStyle w:val="NormalWeb"/>
              <w:jc w:val="center"/>
              <w:rPr>
                <w:color w:val="FFFFFF" w:themeColor="background1"/>
              </w:rPr>
            </w:pPr>
            <w:r w:rsidRPr="00A33DC8">
              <w:rPr>
                <w:color w:val="FFFFFF" w:themeColor="background1"/>
              </w:rPr>
              <w:t>Per 100,000 population</w:t>
            </w:r>
          </w:p>
        </w:tc>
        <w:tc>
          <w:tcPr>
            <w:tcW w:w="141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2CDE347" w14:textId="77777777" w:rsidR="00CE14CC" w:rsidRPr="00A33DC8" w:rsidRDefault="00CE14CC" w:rsidP="00D54598">
            <w:pPr>
              <w:pStyle w:val="NormalWeb"/>
              <w:jc w:val="center"/>
              <w:rPr>
                <w:color w:val="FFFFFF" w:themeColor="background1"/>
              </w:rPr>
            </w:pPr>
            <w:r w:rsidRPr="00A33DC8">
              <w:rPr>
                <w:color w:val="FFFFFF" w:themeColor="background1"/>
              </w:rPr>
              <w:t>Cases</w:t>
            </w:r>
          </w:p>
        </w:tc>
        <w:tc>
          <w:tcPr>
            <w:tcW w:w="141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F94C0A2" w14:textId="77777777" w:rsidR="00CE14CC" w:rsidRPr="00A33DC8" w:rsidRDefault="00CE14CC" w:rsidP="00D54598">
            <w:pPr>
              <w:pStyle w:val="NormalWeb"/>
              <w:jc w:val="center"/>
              <w:rPr>
                <w:color w:val="FFFFFF" w:themeColor="background1"/>
              </w:rPr>
            </w:pPr>
            <w:r w:rsidRPr="00A33DC8">
              <w:rPr>
                <w:color w:val="FFFFFF" w:themeColor="background1"/>
              </w:rPr>
              <w:t>Per 100,000 population</w:t>
            </w:r>
          </w:p>
        </w:tc>
        <w:tc>
          <w:tcPr>
            <w:tcW w:w="3119" w:type="dxa"/>
            <w:vMerge/>
            <w:tcBorders>
              <w:left w:val="single" w:sz="2" w:space="0" w:color="FFFFFF" w:themeColor="background1"/>
              <w:right w:val="single" w:sz="18" w:space="0" w:color="FFC000"/>
            </w:tcBorders>
            <w:vAlign w:val="center"/>
            <w:hideMark/>
          </w:tcPr>
          <w:p w14:paraId="78AED646" w14:textId="77777777" w:rsidR="00CE14CC" w:rsidRPr="00A33DC8" w:rsidRDefault="00CE14CC" w:rsidP="00D54598">
            <w:pPr>
              <w:jc w:val="center"/>
              <w:rPr>
                <w:color w:val="FFFFFF" w:themeColor="background1"/>
                <w:sz w:val="24"/>
                <w:szCs w:val="24"/>
              </w:rPr>
            </w:pPr>
          </w:p>
        </w:tc>
      </w:tr>
      <w:tr w:rsidR="00101C8D" w14:paraId="2C2C02C5" w14:textId="77777777" w:rsidTr="009E0818">
        <w:tc>
          <w:tcPr>
            <w:tcW w:w="0" w:type="auto"/>
            <w:hideMark/>
          </w:tcPr>
          <w:p w14:paraId="6F4B9E7D" w14:textId="77777777" w:rsidR="00CE14CC" w:rsidRDefault="00CE14CC">
            <w:pPr>
              <w:pStyle w:val="NormalWeb"/>
            </w:pPr>
            <w:r>
              <w:t>&lt;1</w:t>
            </w:r>
          </w:p>
        </w:tc>
        <w:tc>
          <w:tcPr>
            <w:tcW w:w="0" w:type="auto"/>
            <w:hideMark/>
          </w:tcPr>
          <w:p w14:paraId="430C170C" w14:textId="77777777" w:rsidR="00CE14CC" w:rsidRDefault="00CE14CC" w:rsidP="008F4EE2">
            <w:pPr>
              <w:pStyle w:val="NormalWeb"/>
              <w:jc w:val="center"/>
            </w:pPr>
            <w:r>
              <w:t>344</w:t>
            </w:r>
          </w:p>
        </w:tc>
        <w:tc>
          <w:tcPr>
            <w:tcW w:w="0" w:type="auto"/>
            <w:hideMark/>
          </w:tcPr>
          <w:p w14:paraId="41DD0818" w14:textId="77777777" w:rsidR="00CE14CC" w:rsidRDefault="00CE14CC" w:rsidP="008F4EE2">
            <w:pPr>
              <w:pStyle w:val="NormalWeb"/>
              <w:jc w:val="center"/>
            </w:pPr>
            <w:r>
              <w:t>408.8</w:t>
            </w:r>
          </w:p>
        </w:tc>
        <w:tc>
          <w:tcPr>
            <w:tcW w:w="0" w:type="auto"/>
            <w:hideMark/>
          </w:tcPr>
          <w:p w14:paraId="578C474D" w14:textId="77777777" w:rsidR="00CE14CC" w:rsidRDefault="00CE14CC" w:rsidP="008F4EE2">
            <w:pPr>
              <w:pStyle w:val="NormalWeb"/>
              <w:jc w:val="center"/>
            </w:pPr>
            <w:r>
              <w:t>51</w:t>
            </w:r>
          </w:p>
        </w:tc>
        <w:tc>
          <w:tcPr>
            <w:tcW w:w="0" w:type="auto"/>
            <w:tcBorders>
              <w:right w:val="single" w:sz="18" w:space="0" w:color="FFC000"/>
            </w:tcBorders>
            <w:hideMark/>
          </w:tcPr>
          <w:p w14:paraId="3B9832DC" w14:textId="77777777" w:rsidR="00CE14CC" w:rsidRDefault="00CE14CC" w:rsidP="008F4EE2">
            <w:pPr>
              <w:pStyle w:val="NormalWeb"/>
              <w:jc w:val="center"/>
            </w:pPr>
            <w:r>
              <w:t>14.8%</w:t>
            </w:r>
          </w:p>
        </w:tc>
        <w:tc>
          <w:tcPr>
            <w:tcW w:w="1413" w:type="dxa"/>
            <w:tcBorders>
              <w:top w:val="single" w:sz="2" w:space="0" w:color="FFFFFF" w:themeColor="background1"/>
              <w:left w:val="single" w:sz="18" w:space="0" w:color="FFC000"/>
            </w:tcBorders>
            <w:hideMark/>
          </w:tcPr>
          <w:p w14:paraId="58E3EC40" w14:textId="77777777" w:rsidR="00CE14CC" w:rsidRDefault="00CE14CC" w:rsidP="008F4EE2">
            <w:pPr>
              <w:pStyle w:val="NormalWeb"/>
              <w:jc w:val="center"/>
            </w:pPr>
            <w:r>
              <w:t>173</w:t>
            </w:r>
          </w:p>
        </w:tc>
        <w:tc>
          <w:tcPr>
            <w:tcW w:w="1413" w:type="dxa"/>
            <w:tcBorders>
              <w:top w:val="single" w:sz="2" w:space="0" w:color="FFFFFF" w:themeColor="background1"/>
            </w:tcBorders>
            <w:hideMark/>
          </w:tcPr>
          <w:p w14:paraId="3AEB3448" w14:textId="77777777" w:rsidR="00CE14CC" w:rsidRDefault="00CE14CC" w:rsidP="008F4EE2">
            <w:pPr>
              <w:pStyle w:val="NormalWeb"/>
              <w:jc w:val="center"/>
            </w:pPr>
            <w:r>
              <w:t>400.4</w:t>
            </w:r>
          </w:p>
        </w:tc>
        <w:tc>
          <w:tcPr>
            <w:tcW w:w="1412" w:type="dxa"/>
            <w:tcBorders>
              <w:top w:val="single" w:sz="2" w:space="0" w:color="FFFFFF" w:themeColor="background1"/>
            </w:tcBorders>
            <w:hideMark/>
          </w:tcPr>
          <w:p w14:paraId="6C41909C" w14:textId="77777777" w:rsidR="00CE14CC" w:rsidRDefault="00CE14CC" w:rsidP="008F4EE2">
            <w:pPr>
              <w:pStyle w:val="NormalWeb"/>
              <w:jc w:val="center"/>
            </w:pPr>
            <w:r>
              <w:t>169</w:t>
            </w:r>
          </w:p>
        </w:tc>
        <w:tc>
          <w:tcPr>
            <w:tcW w:w="1413" w:type="dxa"/>
            <w:tcBorders>
              <w:top w:val="single" w:sz="2" w:space="0" w:color="FFFFFF" w:themeColor="background1"/>
            </w:tcBorders>
            <w:hideMark/>
          </w:tcPr>
          <w:p w14:paraId="2A55A470" w14:textId="77777777" w:rsidR="00CE14CC" w:rsidRDefault="00CE14CC" w:rsidP="008F4EE2">
            <w:pPr>
              <w:pStyle w:val="NormalWeb"/>
              <w:jc w:val="center"/>
            </w:pPr>
            <w:r>
              <w:t>412.8</w:t>
            </w:r>
          </w:p>
        </w:tc>
        <w:tc>
          <w:tcPr>
            <w:tcW w:w="3119" w:type="dxa"/>
            <w:tcBorders>
              <w:right w:val="single" w:sz="18" w:space="0" w:color="FFC000"/>
            </w:tcBorders>
            <w:hideMark/>
          </w:tcPr>
          <w:p w14:paraId="32922897" w14:textId="77777777" w:rsidR="00CE14CC" w:rsidRDefault="00CE14CC" w:rsidP="008F4EE2">
            <w:pPr>
              <w:pStyle w:val="NormalWeb"/>
              <w:jc w:val="center"/>
            </w:pPr>
            <w:r>
              <w:t>0.97</w:t>
            </w:r>
          </w:p>
        </w:tc>
      </w:tr>
      <w:tr w:rsidR="00A33DC8" w14:paraId="59908B51" w14:textId="77777777" w:rsidTr="003C2B4A">
        <w:trPr>
          <w:cnfStyle w:val="000000010000" w:firstRow="0" w:lastRow="0" w:firstColumn="0" w:lastColumn="0" w:oddVBand="0" w:evenVBand="0" w:oddHBand="0" w:evenHBand="1" w:firstRowFirstColumn="0" w:firstRowLastColumn="0" w:lastRowFirstColumn="0" w:lastRowLastColumn="0"/>
        </w:trPr>
        <w:tc>
          <w:tcPr>
            <w:tcW w:w="0" w:type="auto"/>
            <w:hideMark/>
          </w:tcPr>
          <w:p w14:paraId="2F731835" w14:textId="77777777" w:rsidR="00CE14CC" w:rsidRDefault="00CE14CC">
            <w:pPr>
              <w:pStyle w:val="NormalWeb"/>
            </w:pPr>
            <w:r>
              <w:t>1–4</w:t>
            </w:r>
          </w:p>
        </w:tc>
        <w:tc>
          <w:tcPr>
            <w:tcW w:w="0" w:type="auto"/>
            <w:hideMark/>
          </w:tcPr>
          <w:p w14:paraId="6D747E85" w14:textId="77777777" w:rsidR="00CE14CC" w:rsidRDefault="00CE14CC" w:rsidP="008F4EE2">
            <w:pPr>
              <w:pStyle w:val="NormalWeb"/>
              <w:jc w:val="center"/>
            </w:pPr>
            <w:r>
              <w:t>669</w:t>
            </w:r>
          </w:p>
        </w:tc>
        <w:tc>
          <w:tcPr>
            <w:tcW w:w="0" w:type="auto"/>
            <w:hideMark/>
          </w:tcPr>
          <w:p w14:paraId="2926A948" w14:textId="77777777" w:rsidR="00CE14CC" w:rsidRDefault="00CE14CC" w:rsidP="008F4EE2">
            <w:pPr>
              <w:pStyle w:val="NormalWeb"/>
              <w:jc w:val="center"/>
            </w:pPr>
            <w:r>
              <w:t>203.5</w:t>
            </w:r>
          </w:p>
        </w:tc>
        <w:tc>
          <w:tcPr>
            <w:tcW w:w="0" w:type="auto"/>
            <w:hideMark/>
          </w:tcPr>
          <w:p w14:paraId="4B38F776" w14:textId="77777777" w:rsidR="00CE14CC" w:rsidRDefault="00CE14CC" w:rsidP="008F4EE2">
            <w:pPr>
              <w:pStyle w:val="NormalWeb"/>
              <w:jc w:val="center"/>
            </w:pPr>
            <w:r>
              <w:t>55</w:t>
            </w:r>
          </w:p>
        </w:tc>
        <w:tc>
          <w:tcPr>
            <w:tcW w:w="0" w:type="auto"/>
            <w:tcBorders>
              <w:right w:val="single" w:sz="18" w:space="0" w:color="FFC000"/>
            </w:tcBorders>
            <w:hideMark/>
          </w:tcPr>
          <w:p w14:paraId="637A4E92" w14:textId="77777777" w:rsidR="00CE14CC" w:rsidRDefault="00CE14CC" w:rsidP="008F4EE2">
            <w:pPr>
              <w:pStyle w:val="NormalWeb"/>
              <w:jc w:val="center"/>
            </w:pPr>
            <w:r>
              <w:t>8.2%</w:t>
            </w:r>
          </w:p>
        </w:tc>
        <w:tc>
          <w:tcPr>
            <w:tcW w:w="1413" w:type="dxa"/>
            <w:tcBorders>
              <w:left w:val="single" w:sz="18" w:space="0" w:color="FFC000"/>
            </w:tcBorders>
            <w:hideMark/>
          </w:tcPr>
          <w:p w14:paraId="662515AC" w14:textId="77777777" w:rsidR="00CE14CC" w:rsidRDefault="00CE14CC" w:rsidP="008F4EE2">
            <w:pPr>
              <w:pStyle w:val="NormalWeb"/>
              <w:jc w:val="center"/>
            </w:pPr>
            <w:r>
              <w:t>360</w:t>
            </w:r>
          </w:p>
        </w:tc>
        <w:tc>
          <w:tcPr>
            <w:tcW w:w="1413" w:type="dxa"/>
            <w:hideMark/>
          </w:tcPr>
          <w:p w14:paraId="37BD5122" w14:textId="77777777" w:rsidR="00CE14CC" w:rsidRDefault="00CE14CC" w:rsidP="008F4EE2">
            <w:pPr>
              <w:pStyle w:val="NormalWeb"/>
              <w:jc w:val="center"/>
            </w:pPr>
            <w:r>
              <w:t>213.0</w:t>
            </w:r>
          </w:p>
        </w:tc>
        <w:tc>
          <w:tcPr>
            <w:tcW w:w="1412" w:type="dxa"/>
            <w:hideMark/>
          </w:tcPr>
          <w:p w14:paraId="74DE6389" w14:textId="77777777" w:rsidR="00CE14CC" w:rsidRDefault="00CE14CC" w:rsidP="008F4EE2">
            <w:pPr>
              <w:pStyle w:val="NormalWeb"/>
              <w:jc w:val="center"/>
            </w:pPr>
            <w:r>
              <w:t>308</w:t>
            </w:r>
          </w:p>
        </w:tc>
        <w:tc>
          <w:tcPr>
            <w:tcW w:w="1413" w:type="dxa"/>
            <w:hideMark/>
          </w:tcPr>
          <w:p w14:paraId="129D64FA" w14:textId="77777777" w:rsidR="00CE14CC" w:rsidRDefault="00CE14CC" w:rsidP="008F4EE2">
            <w:pPr>
              <w:pStyle w:val="NormalWeb"/>
              <w:jc w:val="center"/>
            </w:pPr>
            <w:r>
              <w:t>192.9</w:t>
            </w:r>
          </w:p>
        </w:tc>
        <w:tc>
          <w:tcPr>
            <w:tcW w:w="3119" w:type="dxa"/>
            <w:tcBorders>
              <w:right w:val="single" w:sz="18" w:space="0" w:color="FFC000"/>
            </w:tcBorders>
            <w:hideMark/>
          </w:tcPr>
          <w:p w14:paraId="3B377501" w14:textId="77777777" w:rsidR="00CE14CC" w:rsidRDefault="00CE14CC" w:rsidP="008F4EE2">
            <w:pPr>
              <w:pStyle w:val="NormalWeb"/>
              <w:jc w:val="center"/>
            </w:pPr>
            <w:r>
              <w:t>1.10</w:t>
            </w:r>
          </w:p>
        </w:tc>
      </w:tr>
      <w:tr w:rsidR="00101C8D" w14:paraId="1CC303FB" w14:textId="77777777" w:rsidTr="003C2B4A">
        <w:tc>
          <w:tcPr>
            <w:tcW w:w="0" w:type="auto"/>
            <w:hideMark/>
          </w:tcPr>
          <w:p w14:paraId="193D881B" w14:textId="77777777" w:rsidR="00CE14CC" w:rsidRDefault="00CE14CC">
            <w:pPr>
              <w:pStyle w:val="NormalWeb"/>
            </w:pPr>
            <w:r>
              <w:t>5–17</w:t>
            </w:r>
          </w:p>
        </w:tc>
        <w:tc>
          <w:tcPr>
            <w:tcW w:w="0" w:type="auto"/>
            <w:hideMark/>
          </w:tcPr>
          <w:p w14:paraId="689B39F0" w14:textId="77777777" w:rsidR="00CE14CC" w:rsidRDefault="00CE14CC" w:rsidP="008F4EE2">
            <w:pPr>
              <w:pStyle w:val="NormalWeb"/>
              <w:jc w:val="center"/>
            </w:pPr>
            <w:r>
              <w:t>284</w:t>
            </w:r>
          </w:p>
        </w:tc>
        <w:tc>
          <w:tcPr>
            <w:tcW w:w="0" w:type="auto"/>
            <w:hideMark/>
          </w:tcPr>
          <w:p w14:paraId="260AACFE" w14:textId="77777777" w:rsidR="00CE14CC" w:rsidRDefault="00CE14CC" w:rsidP="008F4EE2">
            <w:pPr>
              <w:pStyle w:val="NormalWeb"/>
              <w:jc w:val="center"/>
            </w:pPr>
            <w:r>
              <w:t>28.4</w:t>
            </w:r>
          </w:p>
        </w:tc>
        <w:tc>
          <w:tcPr>
            <w:tcW w:w="0" w:type="auto"/>
            <w:hideMark/>
          </w:tcPr>
          <w:p w14:paraId="029B48F8" w14:textId="77777777" w:rsidR="00CE14CC" w:rsidRDefault="00CE14CC" w:rsidP="008F4EE2">
            <w:pPr>
              <w:pStyle w:val="NormalWeb"/>
              <w:jc w:val="center"/>
            </w:pPr>
            <w:r>
              <w:t>19</w:t>
            </w:r>
          </w:p>
        </w:tc>
        <w:tc>
          <w:tcPr>
            <w:tcW w:w="0" w:type="auto"/>
            <w:tcBorders>
              <w:right w:val="single" w:sz="18" w:space="0" w:color="FFC000"/>
            </w:tcBorders>
            <w:hideMark/>
          </w:tcPr>
          <w:p w14:paraId="1A4B0A84" w14:textId="77777777" w:rsidR="00CE14CC" w:rsidRDefault="00CE14CC" w:rsidP="008F4EE2">
            <w:pPr>
              <w:pStyle w:val="NormalWeb"/>
              <w:jc w:val="center"/>
            </w:pPr>
            <w:r>
              <w:t>6.7%</w:t>
            </w:r>
          </w:p>
        </w:tc>
        <w:tc>
          <w:tcPr>
            <w:tcW w:w="1413" w:type="dxa"/>
            <w:tcBorders>
              <w:left w:val="single" w:sz="18" w:space="0" w:color="FFC000"/>
            </w:tcBorders>
            <w:hideMark/>
          </w:tcPr>
          <w:p w14:paraId="4BDF3B2D" w14:textId="77777777" w:rsidR="00CE14CC" w:rsidRDefault="00CE14CC" w:rsidP="008F4EE2">
            <w:pPr>
              <w:pStyle w:val="NormalWeb"/>
              <w:jc w:val="center"/>
            </w:pPr>
            <w:r>
              <w:t>136</w:t>
            </w:r>
          </w:p>
        </w:tc>
        <w:tc>
          <w:tcPr>
            <w:tcW w:w="1413" w:type="dxa"/>
            <w:hideMark/>
          </w:tcPr>
          <w:p w14:paraId="4DEE1A4B" w14:textId="77777777" w:rsidR="00CE14CC" w:rsidRDefault="00CE14CC" w:rsidP="008F4EE2">
            <w:pPr>
              <w:pStyle w:val="NormalWeb"/>
              <w:jc w:val="center"/>
            </w:pPr>
            <w:r>
              <w:t>26.5</w:t>
            </w:r>
          </w:p>
        </w:tc>
        <w:tc>
          <w:tcPr>
            <w:tcW w:w="1412" w:type="dxa"/>
            <w:hideMark/>
          </w:tcPr>
          <w:p w14:paraId="42738D22" w14:textId="77777777" w:rsidR="00CE14CC" w:rsidRDefault="00CE14CC" w:rsidP="008F4EE2">
            <w:pPr>
              <w:pStyle w:val="NormalWeb"/>
              <w:jc w:val="center"/>
            </w:pPr>
            <w:r>
              <w:t>146</w:t>
            </w:r>
          </w:p>
        </w:tc>
        <w:tc>
          <w:tcPr>
            <w:tcW w:w="1413" w:type="dxa"/>
            <w:hideMark/>
          </w:tcPr>
          <w:p w14:paraId="65FA1BAE" w14:textId="77777777" w:rsidR="00CE14CC" w:rsidRDefault="00CE14CC" w:rsidP="008F4EE2">
            <w:pPr>
              <w:pStyle w:val="NormalWeb"/>
              <w:jc w:val="center"/>
            </w:pPr>
            <w:r>
              <w:t>30.1</w:t>
            </w:r>
          </w:p>
        </w:tc>
        <w:tc>
          <w:tcPr>
            <w:tcW w:w="3119" w:type="dxa"/>
            <w:tcBorders>
              <w:right w:val="single" w:sz="18" w:space="0" w:color="FFC000"/>
            </w:tcBorders>
            <w:hideMark/>
          </w:tcPr>
          <w:p w14:paraId="4704C33E" w14:textId="77777777" w:rsidR="00CE14CC" w:rsidRDefault="00CE14CC" w:rsidP="008F4EE2">
            <w:pPr>
              <w:pStyle w:val="NormalWeb"/>
              <w:jc w:val="center"/>
            </w:pPr>
            <w:r>
              <w:t>0.88</w:t>
            </w:r>
          </w:p>
        </w:tc>
      </w:tr>
      <w:tr w:rsidR="00A33DC8" w14:paraId="592BDF83" w14:textId="77777777" w:rsidTr="003C2B4A">
        <w:trPr>
          <w:cnfStyle w:val="000000010000" w:firstRow="0" w:lastRow="0" w:firstColumn="0" w:lastColumn="0" w:oddVBand="0" w:evenVBand="0" w:oddHBand="0" w:evenHBand="1" w:firstRowFirstColumn="0" w:firstRowLastColumn="0" w:lastRowFirstColumn="0" w:lastRowLastColumn="0"/>
        </w:trPr>
        <w:tc>
          <w:tcPr>
            <w:tcW w:w="0" w:type="auto"/>
            <w:hideMark/>
          </w:tcPr>
          <w:p w14:paraId="007C8197" w14:textId="77777777" w:rsidR="00CE14CC" w:rsidRDefault="00CE14CC">
            <w:pPr>
              <w:pStyle w:val="NormalWeb"/>
            </w:pPr>
            <w:r>
              <w:t>18–64</w:t>
            </w:r>
          </w:p>
        </w:tc>
        <w:tc>
          <w:tcPr>
            <w:tcW w:w="0" w:type="auto"/>
            <w:hideMark/>
          </w:tcPr>
          <w:p w14:paraId="43842352" w14:textId="77777777" w:rsidR="00CE14CC" w:rsidRDefault="00CE14CC" w:rsidP="008F4EE2">
            <w:pPr>
              <w:pStyle w:val="NormalWeb"/>
              <w:jc w:val="center"/>
            </w:pPr>
            <w:r>
              <w:t>259</w:t>
            </w:r>
          </w:p>
        </w:tc>
        <w:tc>
          <w:tcPr>
            <w:tcW w:w="0" w:type="auto"/>
            <w:hideMark/>
          </w:tcPr>
          <w:p w14:paraId="3F4BD3BC" w14:textId="77777777" w:rsidR="00CE14CC" w:rsidRDefault="00CE14CC" w:rsidP="008F4EE2">
            <w:pPr>
              <w:pStyle w:val="NormalWeb"/>
              <w:jc w:val="center"/>
            </w:pPr>
            <w:r>
              <w:t>6.4</w:t>
            </w:r>
          </w:p>
        </w:tc>
        <w:tc>
          <w:tcPr>
            <w:tcW w:w="0" w:type="auto"/>
            <w:hideMark/>
          </w:tcPr>
          <w:p w14:paraId="5B06BB85" w14:textId="77777777" w:rsidR="00CE14CC" w:rsidRDefault="00CE14CC" w:rsidP="008F4EE2">
            <w:pPr>
              <w:pStyle w:val="NormalWeb"/>
              <w:jc w:val="center"/>
            </w:pPr>
            <w:r>
              <w:t>21</w:t>
            </w:r>
          </w:p>
        </w:tc>
        <w:tc>
          <w:tcPr>
            <w:tcW w:w="0" w:type="auto"/>
            <w:tcBorders>
              <w:right w:val="single" w:sz="18" w:space="0" w:color="FFC000"/>
            </w:tcBorders>
            <w:hideMark/>
          </w:tcPr>
          <w:p w14:paraId="2C54D08F" w14:textId="77777777" w:rsidR="00CE14CC" w:rsidRDefault="00CE14CC" w:rsidP="008F4EE2">
            <w:pPr>
              <w:pStyle w:val="NormalWeb"/>
              <w:jc w:val="center"/>
            </w:pPr>
            <w:r>
              <w:t>8.1%</w:t>
            </w:r>
          </w:p>
        </w:tc>
        <w:tc>
          <w:tcPr>
            <w:tcW w:w="1413" w:type="dxa"/>
            <w:tcBorders>
              <w:left w:val="single" w:sz="18" w:space="0" w:color="FFC000"/>
            </w:tcBorders>
            <w:hideMark/>
          </w:tcPr>
          <w:p w14:paraId="4CD1BF5C" w14:textId="77777777" w:rsidR="00CE14CC" w:rsidRDefault="00CE14CC" w:rsidP="008F4EE2">
            <w:pPr>
              <w:pStyle w:val="NormalWeb"/>
              <w:jc w:val="center"/>
            </w:pPr>
            <w:r>
              <w:t>49</w:t>
            </w:r>
          </w:p>
        </w:tc>
        <w:tc>
          <w:tcPr>
            <w:tcW w:w="1413" w:type="dxa"/>
            <w:hideMark/>
          </w:tcPr>
          <w:p w14:paraId="25A71C38" w14:textId="77777777" w:rsidR="00CE14CC" w:rsidRDefault="00CE14CC" w:rsidP="008F4EE2">
            <w:pPr>
              <w:pStyle w:val="NormalWeb"/>
              <w:jc w:val="center"/>
            </w:pPr>
            <w:r>
              <w:t>2.4</w:t>
            </w:r>
          </w:p>
        </w:tc>
        <w:tc>
          <w:tcPr>
            <w:tcW w:w="1412" w:type="dxa"/>
            <w:hideMark/>
          </w:tcPr>
          <w:p w14:paraId="16F2441F" w14:textId="77777777" w:rsidR="00CE14CC" w:rsidRDefault="00CE14CC" w:rsidP="008F4EE2">
            <w:pPr>
              <w:pStyle w:val="NormalWeb"/>
              <w:jc w:val="center"/>
            </w:pPr>
            <w:r>
              <w:t>209</w:t>
            </w:r>
          </w:p>
        </w:tc>
        <w:tc>
          <w:tcPr>
            <w:tcW w:w="1413" w:type="dxa"/>
            <w:hideMark/>
          </w:tcPr>
          <w:p w14:paraId="672C2071" w14:textId="77777777" w:rsidR="00CE14CC" w:rsidRDefault="00CE14CC" w:rsidP="008F4EE2">
            <w:pPr>
              <w:pStyle w:val="NormalWeb"/>
              <w:jc w:val="center"/>
            </w:pPr>
            <w:r>
              <w:t>10.2</w:t>
            </w:r>
          </w:p>
        </w:tc>
        <w:tc>
          <w:tcPr>
            <w:tcW w:w="3119" w:type="dxa"/>
            <w:tcBorders>
              <w:right w:val="single" w:sz="18" w:space="0" w:color="FFC000"/>
            </w:tcBorders>
            <w:hideMark/>
          </w:tcPr>
          <w:p w14:paraId="22E57E52" w14:textId="77777777" w:rsidR="00CE14CC" w:rsidRDefault="00CE14CC" w:rsidP="008F4EE2">
            <w:pPr>
              <w:pStyle w:val="NormalWeb"/>
              <w:jc w:val="center"/>
            </w:pPr>
            <w:r>
              <w:t>0.24</w:t>
            </w:r>
          </w:p>
        </w:tc>
      </w:tr>
      <w:tr w:rsidR="00101C8D" w14:paraId="0977382F" w14:textId="77777777" w:rsidTr="003C2B4A">
        <w:tc>
          <w:tcPr>
            <w:tcW w:w="0" w:type="auto"/>
            <w:hideMark/>
          </w:tcPr>
          <w:p w14:paraId="032A88A0" w14:textId="77777777" w:rsidR="00CE14CC" w:rsidRDefault="00CE14CC">
            <w:pPr>
              <w:pStyle w:val="NormalWeb"/>
            </w:pPr>
            <w:r>
              <w:t>65+</w:t>
            </w:r>
          </w:p>
        </w:tc>
        <w:tc>
          <w:tcPr>
            <w:tcW w:w="0" w:type="auto"/>
            <w:hideMark/>
          </w:tcPr>
          <w:p w14:paraId="11C8020C" w14:textId="77777777" w:rsidR="00CE14CC" w:rsidRDefault="00CE14CC" w:rsidP="008F4EE2">
            <w:pPr>
              <w:pStyle w:val="NormalWeb"/>
              <w:jc w:val="center"/>
            </w:pPr>
            <w:r>
              <w:t>174</w:t>
            </w:r>
          </w:p>
        </w:tc>
        <w:tc>
          <w:tcPr>
            <w:tcW w:w="0" w:type="auto"/>
            <w:hideMark/>
          </w:tcPr>
          <w:p w14:paraId="41034860" w14:textId="77777777" w:rsidR="00CE14CC" w:rsidRDefault="00CE14CC" w:rsidP="008F4EE2">
            <w:pPr>
              <w:pStyle w:val="NormalWeb"/>
              <w:jc w:val="center"/>
            </w:pPr>
            <w:r>
              <w:t>17.6</w:t>
            </w:r>
          </w:p>
        </w:tc>
        <w:tc>
          <w:tcPr>
            <w:tcW w:w="0" w:type="auto"/>
            <w:hideMark/>
          </w:tcPr>
          <w:p w14:paraId="35FC5654" w14:textId="77777777" w:rsidR="00CE14CC" w:rsidRDefault="00CE14CC" w:rsidP="008F4EE2">
            <w:pPr>
              <w:pStyle w:val="NormalWeb"/>
              <w:jc w:val="center"/>
            </w:pPr>
            <w:r>
              <w:t>13</w:t>
            </w:r>
          </w:p>
        </w:tc>
        <w:tc>
          <w:tcPr>
            <w:tcW w:w="0" w:type="auto"/>
            <w:tcBorders>
              <w:right w:val="single" w:sz="18" w:space="0" w:color="FFC000"/>
            </w:tcBorders>
            <w:hideMark/>
          </w:tcPr>
          <w:p w14:paraId="2C88AAFC" w14:textId="77777777" w:rsidR="00CE14CC" w:rsidRDefault="00CE14CC" w:rsidP="008F4EE2">
            <w:pPr>
              <w:pStyle w:val="NormalWeb"/>
              <w:jc w:val="center"/>
            </w:pPr>
            <w:r>
              <w:t>7.5%</w:t>
            </w:r>
          </w:p>
        </w:tc>
        <w:tc>
          <w:tcPr>
            <w:tcW w:w="1413" w:type="dxa"/>
            <w:tcBorders>
              <w:left w:val="single" w:sz="18" w:space="0" w:color="FFC000"/>
            </w:tcBorders>
            <w:hideMark/>
          </w:tcPr>
          <w:p w14:paraId="1214508E" w14:textId="77777777" w:rsidR="00CE14CC" w:rsidRDefault="00CE14CC" w:rsidP="008F4EE2">
            <w:pPr>
              <w:pStyle w:val="NormalWeb"/>
              <w:jc w:val="center"/>
            </w:pPr>
            <w:r>
              <w:t>59</w:t>
            </w:r>
          </w:p>
        </w:tc>
        <w:tc>
          <w:tcPr>
            <w:tcW w:w="1413" w:type="dxa"/>
            <w:hideMark/>
          </w:tcPr>
          <w:p w14:paraId="3063043F" w14:textId="77777777" w:rsidR="00CE14CC" w:rsidRDefault="00CE14CC" w:rsidP="008F4EE2">
            <w:pPr>
              <w:pStyle w:val="NormalWeb"/>
              <w:jc w:val="center"/>
            </w:pPr>
            <w:r>
              <w:t>12.9</w:t>
            </w:r>
          </w:p>
        </w:tc>
        <w:tc>
          <w:tcPr>
            <w:tcW w:w="1412" w:type="dxa"/>
            <w:hideMark/>
          </w:tcPr>
          <w:p w14:paraId="61A6A240" w14:textId="77777777" w:rsidR="00CE14CC" w:rsidRDefault="00CE14CC" w:rsidP="008F4EE2">
            <w:pPr>
              <w:pStyle w:val="NormalWeb"/>
              <w:jc w:val="center"/>
            </w:pPr>
            <w:r>
              <w:t>115</w:t>
            </w:r>
          </w:p>
        </w:tc>
        <w:tc>
          <w:tcPr>
            <w:tcW w:w="1413" w:type="dxa"/>
            <w:hideMark/>
          </w:tcPr>
          <w:p w14:paraId="50AB6863" w14:textId="77777777" w:rsidR="00CE14CC" w:rsidRDefault="00CE14CC" w:rsidP="008F4EE2">
            <w:pPr>
              <w:pStyle w:val="NormalWeb"/>
              <w:jc w:val="center"/>
            </w:pPr>
            <w:r>
              <w:t>21.7</w:t>
            </w:r>
          </w:p>
        </w:tc>
        <w:tc>
          <w:tcPr>
            <w:tcW w:w="3119" w:type="dxa"/>
            <w:tcBorders>
              <w:right w:val="single" w:sz="18" w:space="0" w:color="FFC000"/>
            </w:tcBorders>
            <w:hideMark/>
          </w:tcPr>
          <w:p w14:paraId="5AD07076" w14:textId="77777777" w:rsidR="00CE14CC" w:rsidRDefault="00CE14CC" w:rsidP="008F4EE2">
            <w:pPr>
              <w:pStyle w:val="NormalWeb"/>
              <w:jc w:val="center"/>
            </w:pPr>
            <w:r>
              <w:t>0.59</w:t>
            </w:r>
          </w:p>
        </w:tc>
      </w:tr>
      <w:tr w:rsidR="003C2B4A" w:rsidRPr="006F56E1" w14:paraId="452E0B29" w14:textId="77777777" w:rsidTr="003C2B4A">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3DB32A55" w14:textId="77777777" w:rsidR="00CE14CC" w:rsidRPr="006F56E1" w:rsidRDefault="00CE14CC">
            <w:pPr>
              <w:pStyle w:val="NormalWeb"/>
              <w:rPr>
                <w:b/>
              </w:rPr>
            </w:pPr>
            <w:r w:rsidRPr="006F56E1">
              <w:rPr>
                <w:b/>
              </w:rPr>
              <w:t>Total</w:t>
            </w:r>
          </w:p>
        </w:tc>
        <w:tc>
          <w:tcPr>
            <w:tcW w:w="0" w:type="auto"/>
            <w:shd w:val="clear" w:color="auto" w:fill="FDE9D9" w:themeFill="accent6" w:themeFillTint="33"/>
            <w:hideMark/>
          </w:tcPr>
          <w:p w14:paraId="1D6BCEC1" w14:textId="77777777" w:rsidR="00CE14CC" w:rsidRPr="006F56E1" w:rsidRDefault="00CE14CC" w:rsidP="008F4EE2">
            <w:pPr>
              <w:pStyle w:val="NormalWeb"/>
              <w:jc w:val="center"/>
              <w:rPr>
                <w:b/>
              </w:rPr>
            </w:pPr>
            <w:r w:rsidRPr="006F56E1">
              <w:rPr>
                <w:b/>
              </w:rPr>
              <w:t>1,730</w:t>
            </w:r>
          </w:p>
        </w:tc>
        <w:tc>
          <w:tcPr>
            <w:tcW w:w="0" w:type="auto"/>
            <w:shd w:val="clear" w:color="auto" w:fill="FDE9D9" w:themeFill="accent6" w:themeFillTint="33"/>
            <w:hideMark/>
          </w:tcPr>
          <w:p w14:paraId="4BE78DB7" w14:textId="77777777" w:rsidR="00CE14CC" w:rsidRPr="006F56E1" w:rsidRDefault="00CE14CC" w:rsidP="008F4EE2">
            <w:pPr>
              <w:pStyle w:val="NormalWeb"/>
              <w:jc w:val="center"/>
              <w:rPr>
                <w:b/>
              </w:rPr>
            </w:pPr>
            <w:r w:rsidRPr="006F56E1">
              <w:rPr>
                <w:b/>
              </w:rPr>
              <w:t>26.8</w:t>
            </w:r>
          </w:p>
        </w:tc>
        <w:tc>
          <w:tcPr>
            <w:tcW w:w="0" w:type="auto"/>
            <w:shd w:val="clear" w:color="auto" w:fill="FDE9D9" w:themeFill="accent6" w:themeFillTint="33"/>
            <w:hideMark/>
          </w:tcPr>
          <w:p w14:paraId="0D3489E3" w14:textId="77777777" w:rsidR="00CE14CC" w:rsidRPr="006F56E1" w:rsidRDefault="00CE14CC" w:rsidP="008F4EE2">
            <w:pPr>
              <w:pStyle w:val="NormalWeb"/>
              <w:jc w:val="center"/>
              <w:rPr>
                <w:b/>
              </w:rPr>
            </w:pPr>
            <w:r w:rsidRPr="006F56E1">
              <w:rPr>
                <w:b/>
              </w:rPr>
              <w:t>161</w:t>
            </w:r>
          </w:p>
        </w:tc>
        <w:tc>
          <w:tcPr>
            <w:tcW w:w="0" w:type="auto"/>
            <w:tcBorders>
              <w:right w:val="single" w:sz="18" w:space="0" w:color="FFC000"/>
            </w:tcBorders>
            <w:shd w:val="clear" w:color="auto" w:fill="FDE9D9" w:themeFill="accent6" w:themeFillTint="33"/>
            <w:hideMark/>
          </w:tcPr>
          <w:p w14:paraId="339A8C3A" w14:textId="77777777" w:rsidR="00CE14CC" w:rsidRPr="006F56E1" w:rsidRDefault="00CE14CC" w:rsidP="008F4EE2">
            <w:pPr>
              <w:pStyle w:val="NormalWeb"/>
              <w:jc w:val="center"/>
              <w:rPr>
                <w:b/>
              </w:rPr>
            </w:pPr>
            <w:r w:rsidRPr="006F56E1">
              <w:rPr>
                <w:b/>
              </w:rPr>
              <w:t>9.3%</w:t>
            </w:r>
          </w:p>
        </w:tc>
        <w:tc>
          <w:tcPr>
            <w:tcW w:w="1413" w:type="dxa"/>
            <w:tcBorders>
              <w:left w:val="single" w:sz="18" w:space="0" w:color="FFC000"/>
              <w:bottom w:val="single" w:sz="18" w:space="0" w:color="FFC000"/>
            </w:tcBorders>
            <w:shd w:val="clear" w:color="auto" w:fill="FDE9D9" w:themeFill="accent6" w:themeFillTint="33"/>
            <w:hideMark/>
          </w:tcPr>
          <w:p w14:paraId="4B0260D7" w14:textId="77777777" w:rsidR="00CE14CC" w:rsidRPr="006F56E1" w:rsidRDefault="00CE14CC" w:rsidP="008F4EE2">
            <w:pPr>
              <w:pStyle w:val="NormalWeb"/>
              <w:jc w:val="center"/>
              <w:rPr>
                <w:b/>
              </w:rPr>
            </w:pPr>
            <w:r w:rsidRPr="006F56E1">
              <w:rPr>
                <w:b/>
              </w:rPr>
              <w:t>777</w:t>
            </w:r>
          </w:p>
        </w:tc>
        <w:tc>
          <w:tcPr>
            <w:tcW w:w="1413" w:type="dxa"/>
            <w:tcBorders>
              <w:bottom w:val="single" w:sz="18" w:space="0" w:color="FFC000"/>
            </w:tcBorders>
            <w:shd w:val="clear" w:color="auto" w:fill="FDE9D9" w:themeFill="accent6" w:themeFillTint="33"/>
            <w:hideMark/>
          </w:tcPr>
          <w:p w14:paraId="3549F4CB" w14:textId="77777777" w:rsidR="00CE14CC" w:rsidRPr="006F56E1" w:rsidRDefault="00CE14CC" w:rsidP="008F4EE2">
            <w:pPr>
              <w:pStyle w:val="NormalWeb"/>
              <w:jc w:val="center"/>
              <w:rPr>
                <w:b/>
              </w:rPr>
            </w:pPr>
            <w:r w:rsidRPr="006F56E1">
              <w:rPr>
                <w:b/>
              </w:rPr>
              <w:t>24.3</w:t>
            </w:r>
          </w:p>
        </w:tc>
        <w:tc>
          <w:tcPr>
            <w:tcW w:w="1412" w:type="dxa"/>
            <w:tcBorders>
              <w:bottom w:val="single" w:sz="18" w:space="0" w:color="FFC000"/>
            </w:tcBorders>
            <w:shd w:val="clear" w:color="auto" w:fill="FDE9D9" w:themeFill="accent6" w:themeFillTint="33"/>
            <w:hideMark/>
          </w:tcPr>
          <w:p w14:paraId="7140DDAB" w14:textId="77777777" w:rsidR="00CE14CC" w:rsidRPr="006F56E1" w:rsidRDefault="00CE14CC" w:rsidP="008F4EE2">
            <w:pPr>
              <w:pStyle w:val="NormalWeb"/>
              <w:jc w:val="center"/>
              <w:rPr>
                <w:b/>
              </w:rPr>
            </w:pPr>
            <w:r w:rsidRPr="006F56E1">
              <w:rPr>
                <w:b/>
              </w:rPr>
              <w:t>947</w:t>
            </w:r>
          </w:p>
        </w:tc>
        <w:tc>
          <w:tcPr>
            <w:tcW w:w="1413" w:type="dxa"/>
            <w:tcBorders>
              <w:bottom w:val="single" w:sz="18" w:space="0" w:color="FFC000"/>
            </w:tcBorders>
            <w:shd w:val="clear" w:color="auto" w:fill="FDE9D9" w:themeFill="accent6" w:themeFillTint="33"/>
            <w:hideMark/>
          </w:tcPr>
          <w:p w14:paraId="6084E5BA" w14:textId="77777777" w:rsidR="00CE14CC" w:rsidRPr="006F56E1" w:rsidRDefault="00CE14CC" w:rsidP="008F4EE2">
            <w:pPr>
              <w:pStyle w:val="NormalWeb"/>
              <w:jc w:val="center"/>
              <w:rPr>
                <w:b/>
              </w:rPr>
            </w:pPr>
            <w:r w:rsidRPr="006F56E1">
              <w:rPr>
                <w:b/>
              </w:rPr>
              <w:t>29.0</w:t>
            </w:r>
          </w:p>
        </w:tc>
        <w:tc>
          <w:tcPr>
            <w:tcW w:w="3119" w:type="dxa"/>
            <w:tcBorders>
              <w:bottom w:val="single" w:sz="18" w:space="0" w:color="FFC000"/>
              <w:right w:val="single" w:sz="18" w:space="0" w:color="FFC000"/>
            </w:tcBorders>
            <w:shd w:val="clear" w:color="auto" w:fill="FDE9D9" w:themeFill="accent6" w:themeFillTint="33"/>
            <w:hideMark/>
          </w:tcPr>
          <w:p w14:paraId="656DED1B" w14:textId="77777777" w:rsidR="00CE14CC" w:rsidRPr="006F56E1" w:rsidRDefault="00CE14CC" w:rsidP="008F4EE2">
            <w:pPr>
              <w:pStyle w:val="NormalWeb"/>
              <w:jc w:val="center"/>
              <w:rPr>
                <w:b/>
              </w:rPr>
            </w:pPr>
            <w:r w:rsidRPr="006F56E1">
              <w:rPr>
                <w:b/>
              </w:rPr>
              <w:t>0.84</w:t>
            </w:r>
          </w:p>
        </w:tc>
      </w:tr>
    </w:tbl>
    <w:p w14:paraId="126F0262" w14:textId="77777777" w:rsidR="00CE14CC" w:rsidRPr="00BC745A" w:rsidRDefault="00CE14CC" w:rsidP="00BC745A">
      <w:pPr>
        <w:pStyle w:val="CDIfootnotes"/>
      </w:pPr>
      <w:r w:rsidRPr="00BC745A">
        <w:t>a</w:t>
      </w:r>
      <w:r w:rsidRPr="00BC745A">
        <w:tab/>
        <w:t>Sex was not recorded for 6 cases</w:t>
      </w:r>
    </w:p>
    <w:p w14:paraId="47BB1EF3" w14:textId="77777777" w:rsidR="008018E0" w:rsidRDefault="008018E0" w:rsidP="00CE14CC">
      <w:pPr>
        <w:sectPr w:rsidR="008018E0" w:rsidSect="00B27F5E">
          <w:footnotePr>
            <w:numFmt w:val="lowerRoman"/>
          </w:footnotePr>
          <w:pgSz w:w="16838" w:h="11906" w:orient="landscape"/>
          <w:pgMar w:top="720" w:right="720" w:bottom="720" w:left="1134" w:header="709" w:footer="284" w:gutter="0"/>
          <w:cols w:space="708"/>
          <w:titlePg/>
          <w:docGrid w:linePitch="360"/>
        </w:sectPr>
      </w:pPr>
    </w:p>
    <w:p w14:paraId="709F36B4" w14:textId="77777777" w:rsidR="00CE14CC" w:rsidRDefault="00CE14CC" w:rsidP="00CE14CC">
      <w:r>
        <w:lastRenderedPageBreak/>
        <w:t xml:space="preserve">Two deaths temporally associated with vaccine administration were reported: an older Australian administered influenza vaccine in the general practice setting was reported deceased later the same day with cause of death attributed to a history of cardiac disease; and the death of an infant from neurological sequelae secondary to disseminated infection was noted to have received routine vaccines 2 weeks prior. These deaths showed no evidence of causal association. </w:t>
      </w:r>
    </w:p>
    <w:p w14:paraId="27027CD8" w14:textId="77777777" w:rsidR="00CE14CC" w:rsidRPr="00CE14CC" w:rsidRDefault="00CE14CC" w:rsidP="005875F1">
      <w:pPr>
        <w:pStyle w:val="Heading2"/>
      </w:pPr>
      <w:r w:rsidRPr="00CE14CC">
        <w:t xml:space="preserve">Reporting modality </w:t>
      </w:r>
    </w:p>
    <w:p w14:paraId="257C4236" w14:textId="77777777" w:rsidR="00CE14CC" w:rsidRDefault="00CE14CC" w:rsidP="00CE14CC">
      <w:r>
        <w:t>Online reporting continues to be the favoured modality of report submission, stabilising at just over half of reports received (53.4%), followed by telephone (22.5%) and fax reporting (23.0%) (Figure 2).</w:t>
      </w:r>
    </w:p>
    <w:p w14:paraId="2B04DFFE" w14:textId="77777777" w:rsidR="00CE14CC" w:rsidRPr="00CE14CC" w:rsidRDefault="00CE14CC" w:rsidP="005875F1">
      <w:pPr>
        <w:pStyle w:val="Heading2"/>
      </w:pPr>
      <w:r w:rsidRPr="00CE14CC">
        <w:t xml:space="preserve">Reporter type </w:t>
      </w:r>
    </w:p>
    <w:p w14:paraId="7511ECF6" w14:textId="77777777" w:rsidR="00CE14CC" w:rsidRDefault="00CE14CC" w:rsidP="00CE14CC">
      <w:r>
        <w:t>Reports were submitted predominantly by health/immunisation providers (doctors 23.6%, nurses 49.7%), with consumers (either the vaccinee or the parent or guardian) contributing approximately one-fifth of reports (20.0%). The proportion of consumer reporting has remained consistent across the last three years.</w:t>
      </w:r>
      <w:r>
        <w:rPr>
          <w:vertAlign w:val="superscript"/>
        </w:rPr>
        <w:t>11</w:t>
      </w:r>
      <w:r>
        <w:t xml:space="preserve"> Fifteen reports (0.9%) related to vaccines administered by a pharmacist (which compares with 11 in 2017 and 3 in 2016, the year pharmacist administration commenced) (Figure 3).</w:t>
      </w:r>
    </w:p>
    <w:p w14:paraId="4BBC8377" w14:textId="77777777" w:rsidR="00475B6C" w:rsidRDefault="00475B6C" w:rsidP="00475B6C">
      <w:pPr>
        <w:pStyle w:val="CDIFigures"/>
        <w:sectPr w:rsidR="00475B6C" w:rsidSect="00A30C37">
          <w:footnotePr>
            <w:numFmt w:val="lowerRoman"/>
          </w:footnotePr>
          <w:pgSz w:w="11906" w:h="16838"/>
          <w:pgMar w:top="720" w:right="720" w:bottom="1134" w:left="720" w:header="709" w:footer="284" w:gutter="0"/>
          <w:cols w:space="708"/>
          <w:titlePg/>
          <w:docGrid w:linePitch="360"/>
        </w:sectPr>
      </w:pPr>
    </w:p>
    <w:p w14:paraId="1A0C4DDD" w14:textId="77777777" w:rsidR="001E7405" w:rsidRDefault="001E7405" w:rsidP="00FE3F60">
      <w:pPr>
        <w:pStyle w:val="CDIFigures"/>
        <w:spacing w:line="240" w:lineRule="auto"/>
      </w:pPr>
      <w:r>
        <w:lastRenderedPageBreak/>
        <w:t>Figure 2: Proportion of AEFI reporting modality, by year, SAEFVIC, Victoria 2008–2018</w:t>
      </w:r>
    </w:p>
    <w:p w14:paraId="6513E4C2" w14:textId="77777777" w:rsidR="001E7405" w:rsidRDefault="001E7405" w:rsidP="007B1135">
      <w:pPr>
        <w:jc w:val="center"/>
        <w:rPr>
          <w:rFonts w:eastAsia="Times New Roman"/>
        </w:rPr>
      </w:pPr>
      <w:r>
        <w:rPr>
          <w:rFonts w:eastAsia="Times New Roman"/>
          <w:noProof/>
        </w:rPr>
        <w:drawing>
          <wp:inline distT="0" distB="0" distL="0" distR="0" wp14:anchorId="487B155C" wp14:editId="128EE5E9">
            <wp:extent cx="9229725" cy="6215489"/>
            <wp:effectExtent l="0" t="0" r="0" b="0"/>
            <wp:docPr id="3" name="Picture 3" descr="A proportional histogram of how reports were received in each reporting year. Fax was originally the preferred method but has dropped to just under a quarter of reports. Online reporting started in 2010 and was the reporting modality for over half of all reports received in 2018. The proportion received by telephone has fluctuated but still comprises about 22 percent of reports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roportional histogram of how reports were received in each reporting year. Fax was originally the preferred method but has dropped to just under a quarter of reports. Online reporting started in 2010 and was the reporting modality for over half of all reports received in 2018. The proportion received by telephone has fluctuated but still comprises about 22 per cnt of reports receiv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72" b="1627"/>
                    <a:stretch>
                      <a:fillRect/>
                    </a:stretch>
                  </pic:blipFill>
                  <pic:spPr bwMode="auto">
                    <a:xfrm>
                      <a:off x="0" y="0"/>
                      <a:ext cx="9240448" cy="6222710"/>
                    </a:xfrm>
                    <a:prstGeom prst="rect">
                      <a:avLst/>
                    </a:prstGeom>
                    <a:ln>
                      <a:noFill/>
                    </a:ln>
                    <a:extLst>
                      <a:ext uri="{53640926-AAD7-44D8-BBD7-CCE9431645EC}">
                        <a14:shadowObscured xmlns:a14="http://schemas.microsoft.com/office/drawing/2010/main"/>
                      </a:ext>
                    </a:extLst>
                  </pic:spPr>
                </pic:pic>
              </a:graphicData>
            </a:graphic>
          </wp:inline>
        </w:drawing>
      </w:r>
    </w:p>
    <w:p w14:paraId="473BDFA3" w14:textId="77777777" w:rsidR="007B1135" w:rsidRDefault="007B1135" w:rsidP="00283D6C">
      <w:pPr>
        <w:pStyle w:val="CDIFigures"/>
        <w:spacing w:line="240" w:lineRule="auto"/>
      </w:pPr>
      <w:r>
        <w:lastRenderedPageBreak/>
        <w:t>Figure 3: Proportion of AEFI reports by reporter type, by year, SAEFVIC, Victoria 2008–2018</w:t>
      </w:r>
    </w:p>
    <w:p w14:paraId="5EFF3F0A" w14:textId="77777777" w:rsidR="00475B6C" w:rsidRDefault="007B1135" w:rsidP="007B1135">
      <w:pPr>
        <w:jc w:val="center"/>
        <w:sectPr w:rsidR="00475B6C" w:rsidSect="007B1135">
          <w:footnotePr>
            <w:numFmt w:val="lowerRoman"/>
          </w:footnotePr>
          <w:pgSz w:w="16838" w:h="11906" w:orient="landscape"/>
          <w:pgMar w:top="720" w:right="720" w:bottom="720" w:left="1134" w:header="709" w:footer="284" w:gutter="0"/>
          <w:cols w:space="708"/>
          <w:titlePg/>
          <w:docGrid w:linePitch="360"/>
        </w:sectPr>
      </w:pPr>
      <w:r>
        <w:rPr>
          <w:rFonts w:eastAsia="Times New Roman"/>
          <w:noProof/>
        </w:rPr>
        <w:drawing>
          <wp:inline distT="0" distB="0" distL="0" distR="0" wp14:anchorId="5C42772E" wp14:editId="6799CE5E">
            <wp:extent cx="8552705" cy="5849124"/>
            <wp:effectExtent l="0" t="0" r="1270" b="0"/>
            <wp:docPr id="4" name="Picture 4" descr="A proportional histogram showing the reporter type for reports received in each year. Approximately half are reported by nurses, around 20 per cent by doctors and the remainder by vaccine consumers. Pharmacist reporting has only just started in 2017 and comprises 1 percent of reports received in 2017 and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roportional histogram showing the reporter type for reports received in each year. Approximately half are reported by nurses, around 20 per cent by doctors and the remainder by vaccine consumers. Pharmacist reporting has only just started in 2017 and comprises 1 per cent of reports received in 2017 and 2018."/>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52705" cy="5849124"/>
                    </a:xfrm>
                    <a:prstGeom prst="rect">
                      <a:avLst/>
                    </a:prstGeom>
                  </pic:spPr>
                </pic:pic>
              </a:graphicData>
            </a:graphic>
          </wp:inline>
        </w:drawing>
      </w:r>
    </w:p>
    <w:p w14:paraId="01223FC6" w14:textId="77777777" w:rsidR="00CE14CC" w:rsidRPr="00CE14CC" w:rsidRDefault="00CE14CC" w:rsidP="005875F1">
      <w:pPr>
        <w:pStyle w:val="Heading2"/>
      </w:pPr>
      <w:r w:rsidRPr="00CE14CC">
        <w:lastRenderedPageBreak/>
        <w:t xml:space="preserve">Active surveillance [PAEDS &amp; </w:t>
      </w:r>
      <w:proofErr w:type="spellStart"/>
      <w:r w:rsidRPr="00CE14CC">
        <w:t>AusVaxSafety</w:t>
      </w:r>
      <w:proofErr w:type="spellEnd"/>
      <w:r w:rsidRPr="00CE14CC">
        <w:t xml:space="preserve">] </w:t>
      </w:r>
    </w:p>
    <w:p w14:paraId="19F539F1" w14:textId="77777777" w:rsidR="00CE14CC" w:rsidRDefault="00CE14CC" w:rsidP="00CE14CC">
      <w:r>
        <w:t xml:space="preserve">The proportion of reports from active surveillance remained low at 2.0% (35/1730) and related to a broad range of vaccines administered. Just over half of active surveillance reports (18/35; 51.4%) were for serious AEFI, which is consistent with PAEDS being hospital-based surveillance and the selective entering of only those active surveillance cases requiring follow-up reported through </w:t>
      </w:r>
      <w:proofErr w:type="spellStart"/>
      <w:r>
        <w:t>AusVaxSafety</w:t>
      </w:r>
      <w:proofErr w:type="spellEnd"/>
      <w:r>
        <w:t xml:space="preserve">. </w:t>
      </w:r>
    </w:p>
    <w:p w14:paraId="6FBC9011" w14:textId="77777777" w:rsidR="00CE14CC" w:rsidRPr="00CE14CC" w:rsidRDefault="00CE14CC" w:rsidP="005875F1">
      <w:pPr>
        <w:pStyle w:val="Heading2"/>
      </w:pPr>
      <w:r w:rsidRPr="00CE14CC">
        <w:t xml:space="preserve">Age and sex distribution </w:t>
      </w:r>
    </w:p>
    <w:p w14:paraId="2FEFC663" w14:textId="77777777" w:rsidR="00CE14CC" w:rsidRDefault="00CE14CC" w:rsidP="00CE14CC">
      <w:r>
        <w:t>The young child age group (1–4 years) formed the largest proportion of AEFI reports (Figure 4), consistent with reporting across all previous years (Figure 4). While the trend for increased reporting was observed across all age groups, it was more pronounced in young children and older persons. The increased reporting in older persons aligns with initiation of the Zoster vaccine program commencement in November 2016. Reporting for school-aged children increased in 2013 commensurate with expansion of the HPV program from girls only to both sexes, but has since remained stable across the last three years (Figures 5).</w:t>
      </w:r>
    </w:p>
    <w:p w14:paraId="1C9A9CE8" w14:textId="77777777" w:rsidR="00CE14CC" w:rsidRDefault="00CE14CC" w:rsidP="00CE14CC">
      <w:pPr>
        <w:pStyle w:val="CDIFigures"/>
      </w:pPr>
      <w:r>
        <w:t>Figure 4: Proportion of AEFI reports received, by age group, SAEFVIC, Victoria, 2018</w:t>
      </w:r>
    </w:p>
    <w:p w14:paraId="72823B0F" w14:textId="77777777" w:rsidR="00CE14CC" w:rsidRDefault="00CE14CC" w:rsidP="0095139E">
      <w:pPr>
        <w:pStyle w:val="NormalWeb"/>
        <w:jc w:val="center"/>
      </w:pPr>
      <w:r>
        <w:rPr>
          <w:noProof/>
        </w:rPr>
        <w:drawing>
          <wp:inline distT="0" distB="0" distL="0" distR="0" wp14:anchorId="2CA30FD7" wp14:editId="1E4C13A1">
            <wp:extent cx="4407417" cy="4398273"/>
            <wp:effectExtent l="0" t="0" r="0" b="2540"/>
            <wp:docPr id="5" name="Picture 5" descr="Figure 4 is a pie chart showing that a majority of reports received in 2018 were for young children at 39%, followed by infants at 20%, school aged at 16%, adults 15% and the lowest proportion was for older persons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is a pie chart showing that a majority of reports received in 2018 were for young children at 39%, followed by infants at 20%, school aged at 16%, adults 15% and the lowest proportion was for older persons at 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407417" cy="4398273"/>
                    </a:xfrm>
                    <a:prstGeom prst="rect">
                      <a:avLst/>
                    </a:prstGeom>
                  </pic:spPr>
                </pic:pic>
              </a:graphicData>
            </a:graphic>
          </wp:inline>
        </w:drawing>
      </w:r>
    </w:p>
    <w:p w14:paraId="092092EF" w14:textId="77777777" w:rsidR="0095139E" w:rsidRDefault="0095139E" w:rsidP="0095139E">
      <w:pPr>
        <w:pStyle w:val="CDIFigures"/>
        <w:sectPr w:rsidR="0095139E" w:rsidSect="00A30C37">
          <w:footnotePr>
            <w:numFmt w:val="lowerRoman"/>
          </w:footnotePr>
          <w:pgSz w:w="11906" w:h="16838"/>
          <w:pgMar w:top="720" w:right="720" w:bottom="1134" w:left="720" w:header="709" w:footer="284" w:gutter="0"/>
          <w:cols w:space="708"/>
          <w:titlePg/>
          <w:docGrid w:linePitch="360"/>
        </w:sectPr>
      </w:pPr>
    </w:p>
    <w:p w14:paraId="41B17E44" w14:textId="77777777" w:rsidR="00CE14CC" w:rsidRDefault="00CE14CC" w:rsidP="007713F4">
      <w:pPr>
        <w:pStyle w:val="CDIFigures"/>
        <w:spacing w:line="240" w:lineRule="auto"/>
      </w:pPr>
      <w:r>
        <w:lastRenderedPageBreak/>
        <w:t>Figure 5: AEFI reports received by age group and year reported, SAEFVIC, Victoria 2008–2018</w:t>
      </w:r>
    </w:p>
    <w:p w14:paraId="5145CD52" w14:textId="77777777" w:rsidR="00CE14CC" w:rsidRDefault="00CE14CC" w:rsidP="00A82CEA">
      <w:pPr>
        <w:jc w:val="center"/>
      </w:pPr>
      <w:r>
        <w:rPr>
          <w:rFonts w:eastAsia="Times New Roman"/>
          <w:noProof/>
        </w:rPr>
        <w:drawing>
          <wp:inline distT="0" distB="0" distL="0" distR="0" wp14:anchorId="4A3B8911" wp14:editId="315829E5">
            <wp:extent cx="9496425" cy="5862459"/>
            <wp:effectExtent l="0" t="0" r="0" b="5080"/>
            <wp:docPr id="6" name="Picture 6" descr="This is a line chart for each age group from 2008 to 2018. Reporting for young children has increased steadily from 2008 through to 2018 and comprise almost twice as many reports as any other age group. An increase in reporting for adults is evident from 2015 and for older persons from 2016 on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s a line chart for each age group from 2008 to 2018. Reporting for young children has increased steadily from 2008 through to 2018 and comprise almost twice as many reports as any other age group. An increase in reporting for adults is evident from 2015 and for older persons from 2016 onwards."/>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9496425" cy="5862459"/>
                    </a:xfrm>
                    <a:prstGeom prst="rect">
                      <a:avLst/>
                    </a:prstGeom>
                  </pic:spPr>
                </pic:pic>
              </a:graphicData>
            </a:graphic>
          </wp:inline>
        </w:drawing>
      </w:r>
      <w:r>
        <w:t xml:space="preserve"> </w:t>
      </w:r>
    </w:p>
    <w:p w14:paraId="7DE29BBA" w14:textId="77777777" w:rsidR="0095139E" w:rsidRDefault="0095139E">
      <w:pPr>
        <w:pStyle w:val="NormalWeb"/>
        <w:sectPr w:rsidR="0095139E" w:rsidSect="005C5DD8">
          <w:footnotePr>
            <w:numFmt w:val="lowerRoman"/>
          </w:footnotePr>
          <w:pgSz w:w="16838" w:h="11906" w:orient="landscape"/>
          <w:pgMar w:top="720" w:right="720" w:bottom="720" w:left="1134" w:header="709" w:footer="284" w:gutter="0"/>
          <w:cols w:space="708"/>
          <w:titlePg/>
          <w:docGrid w:linePitch="360"/>
        </w:sectPr>
      </w:pPr>
    </w:p>
    <w:p w14:paraId="797D1FB5" w14:textId="77777777" w:rsidR="00CE14CC" w:rsidRDefault="00CE14CC">
      <w:pPr>
        <w:pStyle w:val="NormalWeb"/>
      </w:pPr>
      <w:r>
        <w:lastRenderedPageBreak/>
        <w:t xml:space="preserve">Overall just over half of all reports were for females (55.0%), however this varied by age group. In the infant and young child age groups, reporting was mostly even between the sexes (Table 1). However, females accounted for 81.0% of AEFI reports in adults (18–64 years) and for 66.1% of reports for older persons (65+ years). </w:t>
      </w:r>
    </w:p>
    <w:p w14:paraId="50366DBF" w14:textId="77777777" w:rsidR="00CE14CC" w:rsidRDefault="00CE14CC" w:rsidP="005875F1">
      <w:pPr>
        <w:pStyle w:val="Heading2"/>
        <w:rPr>
          <w:rFonts w:eastAsia="Times New Roman"/>
        </w:rPr>
      </w:pPr>
      <w:r>
        <w:rPr>
          <w:rFonts w:eastAsia="Times New Roman"/>
        </w:rPr>
        <w:t xml:space="preserve">At-risk populations </w:t>
      </w:r>
    </w:p>
    <w:p w14:paraId="531D1020" w14:textId="77777777" w:rsidR="00CE14CC" w:rsidRDefault="00CE14CC">
      <w:pPr>
        <w:pStyle w:val="NormalWeb"/>
      </w:pPr>
      <w:r>
        <w:t xml:space="preserve">Routine capture of subgroup demographics </w:t>
      </w:r>
      <w:proofErr w:type="spellStart"/>
      <w:r>
        <w:t>e.g</w:t>
      </w:r>
      <w:proofErr w:type="spellEnd"/>
      <w:r>
        <w:t xml:space="preserve"> pregnancy and Aboriginal and/or Torres Strait Islander (Indigenous Australians) status commenced in 2016. In 2018, Indigenous status was reported for 75% of reports, with 0.7% being from persons identifying as Indigenous Australians. This proportion is similar to the Victorian Aboriginal and/or Torres Strait Islander population estimate of 0.8% (2016 census data).</w:t>
      </w:r>
      <w:r>
        <w:rPr>
          <w:vertAlign w:val="superscript"/>
        </w:rPr>
        <w:t xml:space="preserve">10 </w:t>
      </w:r>
    </w:p>
    <w:p w14:paraId="1D00905E" w14:textId="77777777" w:rsidR="00CE14CC" w:rsidRDefault="00CE14CC">
      <w:pPr>
        <w:pStyle w:val="NormalWeb"/>
      </w:pPr>
      <w:r>
        <w:t xml:space="preserve">Seventeen reports were for AEFI during pregnancy, which was 8.1% (17/209) of reports received for adult females (aged 18–64). </w:t>
      </w:r>
    </w:p>
    <w:p w14:paraId="39AF197A" w14:textId="77777777" w:rsidR="00CE14CC" w:rsidRPr="005875F1" w:rsidRDefault="00CE14CC" w:rsidP="005875F1">
      <w:pPr>
        <w:pStyle w:val="Heading2"/>
      </w:pPr>
      <w:r w:rsidRPr="005875F1">
        <w:t xml:space="preserve">Vaccines </w:t>
      </w:r>
    </w:p>
    <w:p w14:paraId="0D71210F" w14:textId="77777777" w:rsidR="00CE14CC" w:rsidRDefault="00CE14CC">
      <w:pPr>
        <w:pStyle w:val="NormalWeb"/>
      </w:pPr>
      <w:r>
        <w:t>A total of 2,836 vaccines were administered to the 1,730 persons reporting an AEFI, a median of two per vaccination encounter. The young child vaccines, DTP and MMR/MMRV, were the most frequently reported (Figure 6, Table 2).</w:t>
      </w:r>
    </w:p>
    <w:p w14:paraId="480DF7B8" w14:textId="77777777" w:rsidR="004F110B" w:rsidRDefault="004F110B" w:rsidP="004F110B">
      <w:pPr>
        <w:pStyle w:val="CDIFigures"/>
        <w:sectPr w:rsidR="004F110B" w:rsidSect="00A30C37">
          <w:footnotePr>
            <w:numFmt w:val="lowerRoman"/>
          </w:footnotePr>
          <w:pgSz w:w="11906" w:h="16838"/>
          <w:pgMar w:top="720" w:right="720" w:bottom="1134" w:left="720" w:header="709" w:footer="284" w:gutter="0"/>
          <w:cols w:space="708"/>
          <w:titlePg/>
          <w:docGrid w:linePitch="360"/>
        </w:sectPr>
      </w:pPr>
    </w:p>
    <w:p w14:paraId="5AE51B51" w14:textId="77777777" w:rsidR="00CE14CC" w:rsidRPr="005A44B9" w:rsidRDefault="00CE14CC" w:rsidP="005A44B9">
      <w:pPr>
        <w:pStyle w:val="CDIFigures"/>
        <w:spacing w:line="240" w:lineRule="auto"/>
      </w:pPr>
      <w:r w:rsidRPr="005A44B9">
        <w:lastRenderedPageBreak/>
        <w:t>Figure 6: Frequency of reports by vaccine group and age group, 2018</w:t>
      </w:r>
    </w:p>
    <w:p w14:paraId="2255EB96" w14:textId="77777777" w:rsidR="00CE14CC" w:rsidRDefault="00CE14CC" w:rsidP="004F110B">
      <w:pPr>
        <w:jc w:val="center"/>
        <w:rPr>
          <w:rFonts w:eastAsia="Times New Roman"/>
        </w:rPr>
      </w:pPr>
      <w:r>
        <w:rPr>
          <w:rFonts w:eastAsia="Times New Roman"/>
          <w:noProof/>
        </w:rPr>
        <w:drawing>
          <wp:inline distT="0" distB="0" distL="0" distR="0" wp14:anchorId="2FE32524" wp14:editId="25EA8760">
            <wp:extent cx="8114143" cy="6238875"/>
            <wp:effectExtent l="0" t="0" r="1270" b="0"/>
            <wp:docPr id="7" name="Picture 7" descr="Bar chart showing AEFI reports by vaccine antigen category for each vaccinee age group. The most frequently reported are AEFI with diptheria tetanus pertussis containing vaccines, followed by influenza and then measles mumps rubella vaccines. These are also the childhood primary vaccination series administered at two, four and six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r chart showing AEFI reports by vaccine antigen category for each vaccinee age group. The most frequently reported are AEFI with diptheria tetanus pertussis containing vaccines, followed by influenza and then measles mumps rubella vaccines. These are also the childhood primary vaccination series administered at two, four and six months of age."/>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114143" cy="6238875"/>
                    </a:xfrm>
                    <a:prstGeom prst="rect">
                      <a:avLst/>
                    </a:prstGeom>
                  </pic:spPr>
                </pic:pic>
              </a:graphicData>
            </a:graphic>
          </wp:inline>
        </w:drawing>
      </w:r>
    </w:p>
    <w:p w14:paraId="553BA851" w14:textId="77777777" w:rsidR="004F110B" w:rsidRDefault="004F110B" w:rsidP="00217368">
      <w:pPr>
        <w:pStyle w:val="CDIFigures"/>
        <w:sectPr w:rsidR="004F110B" w:rsidSect="004F110B">
          <w:footnotePr>
            <w:numFmt w:val="lowerRoman"/>
          </w:footnotePr>
          <w:pgSz w:w="16838" w:h="11906" w:orient="landscape"/>
          <w:pgMar w:top="720" w:right="720" w:bottom="720" w:left="1134" w:header="709" w:footer="284" w:gutter="0"/>
          <w:cols w:space="708"/>
          <w:titlePg/>
          <w:docGrid w:linePitch="360"/>
        </w:sectPr>
      </w:pPr>
    </w:p>
    <w:p w14:paraId="6CB5088F" w14:textId="77777777" w:rsidR="00CE14CC" w:rsidRPr="00A86913" w:rsidRDefault="00CE14CC" w:rsidP="00A86913">
      <w:pPr>
        <w:pStyle w:val="CDIFigures"/>
      </w:pPr>
      <w:r w:rsidRPr="00A86913">
        <w:lastRenderedPageBreak/>
        <w:t>Table 2: AEFI reports by NIP schedule and vaccine, Victoria, 2018</w:t>
      </w:r>
    </w:p>
    <w:tbl>
      <w:tblPr>
        <w:tblStyle w:val="CDI-StandardTable"/>
        <w:tblW w:w="0" w:type="auto"/>
        <w:tblBorders>
          <w:insideH w:val="single" w:sz="2" w:space="0" w:color="000000" w:themeColor="text1"/>
        </w:tblBorders>
        <w:tblCellMar>
          <w:top w:w="68" w:type="dxa"/>
          <w:left w:w="113" w:type="dxa"/>
          <w:bottom w:w="68" w:type="dxa"/>
          <w:right w:w="113" w:type="dxa"/>
        </w:tblCellMar>
        <w:tblLook w:val="04A0" w:firstRow="1" w:lastRow="0" w:firstColumn="1" w:lastColumn="0" w:noHBand="0" w:noVBand="1"/>
        <w:tblDescription w:val="Table 2 shows AEFI reports received by vaccine antigen according to vaccinee age groups as the number of reports received and reporting per 100,000 vaccines administered. The highest number and rate of reporting is for the childhood vaccines.&#10;"/>
      </w:tblPr>
      <w:tblGrid>
        <w:gridCol w:w="1560"/>
        <w:gridCol w:w="5811"/>
        <w:gridCol w:w="1276"/>
        <w:gridCol w:w="1819"/>
      </w:tblGrid>
      <w:tr w:rsidR="00462C0A" w:rsidRPr="00462C0A" w14:paraId="0AAF169B" w14:textId="77777777" w:rsidTr="00CC4115">
        <w:trPr>
          <w:cnfStyle w:val="100000000000" w:firstRow="1" w:lastRow="0" w:firstColumn="0" w:lastColumn="0" w:oddVBand="0" w:evenVBand="0" w:oddHBand="0" w:evenHBand="0" w:firstRowFirstColumn="0" w:firstRowLastColumn="0" w:lastRowFirstColumn="0" w:lastRowLastColumn="0"/>
          <w:tblHeader/>
        </w:trPr>
        <w:tc>
          <w:tcPr>
            <w:tcW w:w="0" w:type="auto"/>
            <w:gridSpan w:val="4"/>
            <w:vAlign w:val="center"/>
            <w:hideMark/>
          </w:tcPr>
          <w:p w14:paraId="78164DAE" w14:textId="77777777" w:rsidR="00CE14CC" w:rsidRPr="00462C0A" w:rsidRDefault="00CE14CC" w:rsidP="00514AA0">
            <w:pPr>
              <w:pStyle w:val="NormalWeb"/>
              <w:rPr>
                <w:color w:val="FFFFFF" w:themeColor="background1"/>
              </w:rPr>
            </w:pPr>
            <w:r w:rsidRPr="00462C0A">
              <w:rPr>
                <w:color w:val="FFFFFF" w:themeColor="background1"/>
              </w:rPr>
              <w:t>National Immunisation Schedule (NIP) vaccines</w:t>
            </w:r>
          </w:p>
        </w:tc>
      </w:tr>
      <w:tr w:rsidR="00F518B7" w:rsidRPr="001F2E72" w14:paraId="02158191" w14:textId="77777777" w:rsidTr="00CC4115">
        <w:tc>
          <w:tcPr>
            <w:tcW w:w="1560" w:type="dxa"/>
            <w:tcBorders>
              <w:right w:val="single" w:sz="2" w:space="0" w:color="000000" w:themeColor="text1"/>
            </w:tcBorders>
            <w:shd w:val="clear" w:color="auto" w:fill="auto"/>
            <w:vAlign w:val="center"/>
            <w:hideMark/>
          </w:tcPr>
          <w:p w14:paraId="7A02FEAA" w14:textId="77777777" w:rsidR="00CE14CC" w:rsidRPr="001F2E72" w:rsidRDefault="00CE14CC" w:rsidP="00514AA0">
            <w:pPr>
              <w:pStyle w:val="NormalWeb"/>
              <w:rPr>
                <w:b/>
              </w:rPr>
            </w:pPr>
            <w:r w:rsidRPr="001F2E72">
              <w:rPr>
                <w:b/>
              </w:rPr>
              <w:t>Age group</w:t>
            </w:r>
          </w:p>
        </w:tc>
        <w:tc>
          <w:tcPr>
            <w:tcW w:w="5811"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5FF0AF1A" w14:textId="77777777" w:rsidR="00CE14CC" w:rsidRPr="001F2E72" w:rsidRDefault="00CE14CC" w:rsidP="00514AA0">
            <w:pPr>
              <w:pStyle w:val="NormalWeb"/>
              <w:rPr>
                <w:b/>
              </w:rPr>
            </w:pPr>
            <w:r w:rsidRPr="001F2E72">
              <w:rPr>
                <w:b/>
              </w:rPr>
              <w:t>Vaccine antigen</w:t>
            </w:r>
          </w:p>
        </w:tc>
        <w:tc>
          <w:tcPr>
            <w:tcW w:w="1276"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2F7A4F4A" w14:textId="77777777" w:rsidR="00CE14CC" w:rsidRPr="001F2E72" w:rsidRDefault="00CE14CC" w:rsidP="00514AA0">
            <w:pPr>
              <w:pStyle w:val="NormalWeb"/>
              <w:jc w:val="center"/>
              <w:rPr>
                <w:b/>
              </w:rPr>
            </w:pPr>
            <w:r w:rsidRPr="001F2E72">
              <w:rPr>
                <w:b/>
              </w:rPr>
              <w:t>Reports (n)</w:t>
            </w:r>
          </w:p>
        </w:tc>
        <w:tc>
          <w:tcPr>
            <w:tcW w:w="1819" w:type="dxa"/>
            <w:tcBorders>
              <w:top w:val="nil"/>
              <w:left w:val="single" w:sz="2" w:space="0" w:color="000000" w:themeColor="text1"/>
              <w:bottom w:val="single" w:sz="2" w:space="0" w:color="000000" w:themeColor="text1"/>
            </w:tcBorders>
            <w:shd w:val="clear" w:color="auto" w:fill="auto"/>
            <w:vAlign w:val="center"/>
            <w:hideMark/>
          </w:tcPr>
          <w:p w14:paraId="0240915E" w14:textId="77777777" w:rsidR="00CE14CC" w:rsidRPr="001F2E72" w:rsidRDefault="00CE14CC" w:rsidP="00514AA0">
            <w:pPr>
              <w:pStyle w:val="NormalWeb"/>
              <w:jc w:val="center"/>
              <w:rPr>
                <w:b/>
              </w:rPr>
            </w:pPr>
            <w:r w:rsidRPr="001F2E72">
              <w:rPr>
                <w:b/>
              </w:rPr>
              <w:t>Reports per 100,000 doses administered</w:t>
            </w:r>
          </w:p>
        </w:tc>
      </w:tr>
      <w:tr w:rsidR="00903481" w14:paraId="2C9D875C" w14:textId="77777777" w:rsidTr="0015492D">
        <w:trPr>
          <w:cnfStyle w:val="000000010000" w:firstRow="0" w:lastRow="0" w:firstColumn="0" w:lastColumn="0" w:oddVBand="0" w:evenVBand="0" w:oddHBand="0" w:evenHBand="1" w:firstRowFirstColumn="0" w:firstRowLastColumn="0" w:lastRowFirstColumn="0" w:lastRowLastColumn="0"/>
        </w:trPr>
        <w:tc>
          <w:tcPr>
            <w:tcW w:w="1560" w:type="dxa"/>
            <w:vMerge w:val="restart"/>
            <w:tcBorders>
              <w:right w:val="single" w:sz="2" w:space="0" w:color="000000" w:themeColor="text1"/>
            </w:tcBorders>
            <w:vAlign w:val="center"/>
            <w:hideMark/>
          </w:tcPr>
          <w:p w14:paraId="0E1856EC" w14:textId="77777777" w:rsidR="00CE14CC" w:rsidRPr="00622335" w:rsidRDefault="00CE14CC" w:rsidP="00514AA0">
            <w:pPr>
              <w:pStyle w:val="NormalWeb"/>
              <w:rPr>
                <w:b/>
              </w:rPr>
            </w:pPr>
            <w:r w:rsidRPr="00622335">
              <w:rPr>
                <w:b/>
              </w:rPr>
              <w:t>Infant</w:t>
            </w:r>
            <w:r w:rsidR="00622335">
              <w:rPr>
                <w:b/>
              </w:rPr>
              <w:br/>
            </w:r>
            <w:r>
              <w:t>&lt;12 months</w:t>
            </w:r>
            <w:r w:rsidR="00622335">
              <w:rPr>
                <w:b/>
              </w:rPr>
              <w:br/>
            </w:r>
            <w:r>
              <w:t>(n = 344)</w:t>
            </w: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6CB4B88" w14:textId="77777777" w:rsidR="00CE14CC" w:rsidRDefault="00CE14CC" w:rsidP="00514AA0">
            <w:pPr>
              <w:pStyle w:val="NormalWeb"/>
            </w:pPr>
            <w:r>
              <w:t>Hepatitis B (birth)</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01D94A3" w14:textId="77777777" w:rsidR="00CE14CC" w:rsidRDefault="00CE14CC" w:rsidP="00514AA0">
            <w:pPr>
              <w:pStyle w:val="NormalWeb"/>
              <w:jc w:val="center"/>
            </w:pPr>
            <w:r>
              <w:t>3</w:t>
            </w:r>
          </w:p>
        </w:tc>
        <w:tc>
          <w:tcPr>
            <w:tcW w:w="1819" w:type="dxa"/>
            <w:tcBorders>
              <w:top w:val="single" w:sz="2" w:space="0" w:color="000000" w:themeColor="text1"/>
              <w:left w:val="single" w:sz="2" w:space="0" w:color="000000" w:themeColor="text1"/>
              <w:bottom w:val="single" w:sz="2" w:space="0" w:color="000000" w:themeColor="text1"/>
            </w:tcBorders>
            <w:vAlign w:val="center"/>
            <w:hideMark/>
          </w:tcPr>
          <w:p w14:paraId="19DC1EFD" w14:textId="77777777" w:rsidR="00CE14CC" w:rsidRDefault="00CE14CC" w:rsidP="00514AA0">
            <w:pPr>
              <w:pStyle w:val="NormalWeb"/>
              <w:jc w:val="center"/>
            </w:pPr>
            <w:r>
              <w:t>80.0</w:t>
            </w:r>
          </w:p>
        </w:tc>
      </w:tr>
      <w:tr w:rsidR="00B63D00" w14:paraId="45240592" w14:textId="77777777" w:rsidTr="0015492D">
        <w:tc>
          <w:tcPr>
            <w:tcW w:w="1560" w:type="dxa"/>
            <w:vMerge/>
            <w:tcBorders>
              <w:right w:val="single" w:sz="2" w:space="0" w:color="000000" w:themeColor="text1"/>
            </w:tcBorders>
            <w:shd w:val="clear" w:color="auto" w:fill="F2F2F2" w:themeFill="background1" w:themeFillShade="F2"/>
            <w:vAlign w:val="center"/>
            <w:hideMark/>
          </w:tcPr>
          <w:p w14:paraId="325E97C9"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1F1B8CF" w14:textId="77777777" w:rsidR="00CE14CC" w:rsidRDefault="00CE14CC" w:rsidP="00514AA0">
            <w:pPr>
              <w:pStyle w:val="NormalWeb"/>
            </w:pPr>
            <w:r>
              <w:t>DTP IPV Hib Hep B</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614BBF47" w14:textId="77777777" w:rsidR="00CE14CC" w:rsidRDefault="00CE14CC" w:rsidP="00514AA0">
            <w:pPr>
              <w:pStyle w:val="NormalWeb"/>
              <w:jc w:val="center"/>
            </w:pPr>
            <w:r>
              <w:t>245</w:t>
            </w:r>
          </w:p>
        </w:tc>
        <w:tc>
          <w:tcPr>
            <w:tcW w:w="1819" w:type="dxa"/>
            <w:tcBorders>
              <w:top w:val="single" w:sz="2" w:space="0" w:color="000000" w:themeColor="text1"/>
              <w:left w:val="single" w:sz="2" w:space="0" w:color="000000" w:themeColor="text1"/>
              <w:bottom w:val="single" w:sz="2" w:space="0" w:color="000000" w:themeColor="text1"/>
            </w:tcBorders>
            <w:shd w:val="clear" w:color="auto" w:fill="F2F2F2" w:themeFill="background1" w:themeFillShade="F2"/>
            <w:vAlign w:val="center"/>
            <w:hideMark/>
          </w:tcPr>
          <w:p w14:paraId="31F5FE28" w14:textId="77777777" w:rsidR="00CE14CC" w:rsidRDefault="00CE14CC" w:rsidP="00514AA0">
            <w:pPr>
              <w:pStyle w:val="NormalWeb"/>
              <w:jc w:val="center"/>
            </w:pPr>
            <w:r>
              <w:t>123.5</w:t>
            </w:r>
          </w:p>
        </w:tc>
      </w:tr>
      <w:tr w:rsidR="00903481" w14:paraId="0D7354ED" w14:textId="77777777" w:rsidTr="0015492D">
        <w:trPr>
          <w:cnfStyle w:val="000000010000" w:firstRow="0" w:lastRow="0" w:firstColumn="0" w:lastColumn="0" w:oddVBand="0" w:evenVBand="0" w:oddHBand="0" w:evenHBand="1" w:firstRowFirstColumn="0" w:firstRowLastColumn="0" w:lastRowFirstColumn="0" w:lastRowLastColumn="0"/>
        </w:trPr>
        <w:tc>
          <w:tcPr>
            <w:tcW w:w="1560" w:type="dxa"/>
            <w:vMerge/>
            <w:tcBorders>
              <w:right w:val="single" w:sz="2" w:space="0" w:color="000000" w:themeColor="text1"/>
            </w:tcBorders>
            <w:vAlign w:val="center"/>
            <w:hideMark/>
          </w:tcPr>
          <w:p w14:paraId="11F67EFE"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8729EA8" w14:textId="77777777" w:rsidR="00CE14CC" w:rsidRDefault="00CE14CC" w:rsidP="00514AA0">
            <w:pPr>
              <w:pStyle w:val="NormalWeb"/>
            </w:pPr>
            <w:r>
              <w:t>Pneumococcal</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03D5858" w14:textId="77777777" w:rsidR="00CE14CC" w:rsidRDefault="00CE14CC" w:rsidP="00514AA0">
            <w:pPr>
              <w:pStyle w:val="NormalWeb"/>
              <w:jc w:val="center"/>
            </w:pPr>
            <w:r>
              <w:t>228</w:t>
            </w:r>
          </w:p>
        </w:tc>
        <w:tc>
          <w:tcPr>
            <w:tcW w:w="1819" w:type="dxa"/>
            <w:tcBorders>
              <w:top w:val="single" w:sz="2" w:space="0" w:color="000000" w:themeColor="text1"/>
              <w:left w:val="single" w:sz="2" w:space="0" w:color="000000" w:themeColor="text1"/>
              <w:bottom w:val="single" w:sz="2" w:space="0" w:color="000000" w:themeColor="text1"/>
            </w:tcBorders>
            <w:vAlign w:val="center"/>
            <w:hideMark/>
          </w:tcPr>
          <w:p w14:paraId="6C72DC1E" w14:textId="77777777" w:rsidR="00CE14CC" w:rsidRDefault="00CE14CC" w:rsidP="00514AA0">
            <w:pPr>
              <w:pStyle w:val="NormalWeb"/>
              <w:jc w:val="center"/>
            </w:pPr>
            <w:r>
              <w:t>141.2</w:t>
            </w:r>
          </w:p>
        </w:tc>
      </w:tr>
      <w:tr w:rsidR="00B63D00" w14:paraId="49ECAF23" w14:textId="77777777" w:rsidTr="0015492D">
        <w:tc>
          <w:tcPr>
            <w:tcW w:w="1560" w:type="dxa"/>
            <w:vMerge/>
            <w:tcBorders>
              <w:right w:val="single" w:sz="2" w:space="0" w:color="000000" w:themeColor="text1"/>
            </w:tcBorders>
            <w:shd w:val="clear" w:color="auto" w:fill="F2F2F2" w:themeFill="background1" w:themeFillShade="F2"/>
            <w:vAlign w:val="center"/>
            <w:hideMark/>
          </w:tcPr>
          <w:p w14:paraId="1C8DBC7A"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04844687" w14:textId="77777777" w:rsidR="00CE14CC" w:rsidRDefault="00CE14CC" w:rsidP="00514AA0">
            <w:pPr>
              <w:pStyle w:val="NormalWeb"/>
            </w:pPr>
            <w:proofErr w:type="spellStart"/>
            <w:r>
              <w:t>Rotavirus</w:t>
            </w:r>
            <w:r w:rsidRPr="00F85E72">
              <w:rPr>
                <w:vertAlign w:val="superscript"/>
              </w:rPr>
              <w:t>a</w:t>
            </w:r>
            <w:proofErr w:type="spellEnd"/>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619250FA" w14:textId="77777777" w:rsidR="00CE14CC" w:rsidRDefault="00CE14CC" w:rsidP="00514AA0">
            <w:pPr>
              <w:pStyle w:val="NormalWeb"/>
              <w:jc w:val="center"/>
            </w:pPr>
            <w:r>
              <w:t>210</w:t>
            </w:r>
          </w:p>
        </w:tc>
        <w:tc>
          <w:tcPr>
            <w:tcW w:w="1819" w:type="dxa"/>
            <w:tcBorders>
              <w:top w:val="single" w:sz="2" w:space="0" w:color="000000" w:themeColor="text1"/>
              <w:left w:val="single" w:sz="2" w:space="0" w:color="000000" w:themeColor="text1"/>
              <w:bottom w:val="single" w:sz="2" w:space="0" w:color="000000" w:themeColor="text1"/>
            </w:tcBorders>
            <w:shd w:val="clear" w:color="auto" w:fill="F2F2F2" w:themeFill="background1" w:themeFillShade="F2"/>
            <w:vAlign w:val="center"/>
            <w:hideMark/>
          </w:tcPr>
          <w:p w14:paraId="45397FE8" w14:textId="77777777" w:rsidR="00CE14CC" w:rsidRDefault="00CE14CC" w:rsidP="00514AA0">
            <w:pPr>
              <w:pStyle w:val="NormalWeb"/>
              <w:jc w:val="center"/>
            </w:pPr>
            <w:r>
              <w:t>176.7</w:t>
            </w:r>
          </w:p>
        </w:tc>
      </w:tr>
      <w:tr w:rsidR="00903481" w14:paraId="6D90C928" w14:textId="77777777" w:rsidTr="0015492D">
        <w:trPr>
          <w:cnfStyle w:val="000000010000" w:firstRow="0" w:lastRow="0" w:firstColumn="0" w:lastColumn="0" w:oddVBand="0" w:evenVBand="0" w:oddHBand="0" w:evenHBand="1" w:firstRowFirstColumn="0" w:firstRowLastColumn="0" w:lastRowFirstColumn="0" w:lastRowLastColumn="0"/>
        </w:trPr>
        <w:tc>
          <w:tcPr>
            <w:tcW w:w="1560" w:type="dxa"/>
            <w:vMerge/>
            <w:tcBorders>
              <w:right w:val="single" w:sz="2" w:space="0" w:color="000000" w:themeColor="text1"/>
            </w:tcBorders>
            <w:vAlign w:val="center"/>
            <w:hideMark/>
          </w:tcPr>
          <w:p w14:paraId="1807B2F9"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A69CB74" w14:textId="77777777" w:rsidR="00CE14CC" w:rsidRDefault="00CE14CC" w:rsidP="00514AA0">
            <w:pPr>
              <w:pStyle w:val="NormalWeb"/>
            </w:pPr>
            <w:r>
              <w:t>Influenza</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7AF088B" w14:textId="77777777" w:rsidR="00CE14CC" w:rsidRDefault="00CE14CC" w:rsidP="00514AA0">
            <w:pPr>
              <w:pStyle w:val="NormalWeb"/>
              <w:jc w:val="center"/>
            </w:pPr>
            <w:r>
              <w:t>38</w:t>
            </w:r>
          </w:p>
        </w:tc>
        <w:tc>
          <w:tcPr>
            <w:tcW w:w="1819" w:type="dxa"/>
            <w:tcBorders>
              <w:top w:val="single" w:sz="2" w:space="0" w:color="000000" w:themeColor="text1"/>
              <w:left w:val="single" w:sz="2" w:space="0" w:color="000000" w:themeColor="text1"/>
              <w:bottom w:val="single" w:sz="2" w:space="0" w:color="000000" w:themeColor="text1"/>
            </w:tcBorders>
            <w:vAlign w:val="center"/>
            <w:hideMark/>
          </w:tcPr>
          <w:p w14:paraId="20E78973" w14:textId="77777777" w:rsidR="00CE14CC" w:rsidRDefault="00CE14CC" w:rsidP="00514AA0">
            <w:pPr>
              <w:pStyle w:val="NormalWeb"/>
              <w:jc w:val="center"/>
            </w:pPr>
            <w:r>
              <w:t>120.2</w:t>
            </w:r>
          </w:p>
        </w:tc>
      </w:tr>
      <w:tr w:rsidR="00B63D00" w14:paraId="009FCC49" w14:textId="77777777" w:rsidTr="0015492D">
        <w:tc>
          <w:tcPr>
            <w:tcW w:w="1560" w:type="dxa"/>
            <w:vMerge/>
            <w:tcBorders>
              <w:right w:val="single" w:sz="2" w:space="0" w:color="000000" w:themeColor="text1"/>
            </w:tcBorders>
            <w:shd w:val="clear" w:color="auto" w:fill="F2F2F2" w:themeFill="background1" w:themeFillShade="F2"/>
            <w:vAlign w:val="center"/>
            <w:hideMark/>
          </w:tcPr>
          <w:p w14:paraId="6681EF34"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1C2787B" w14:textId="77777777" w:rsidR="00CE14CC" w:rsidRDefault="00CE14CC" w:rsidP="00514AA0">
            <w:pPr>
              <w:pStyle w:val="NormalWeb"/>
            </w:pPr>
            <w:r>
              <w:t>Meningococcal B</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3C94D150" w14:textId="77777777" w:rsidR="00CE14CC" w:rsidRDefault="00CE14CC" w:rsidP="00514AA0">
            <w:pPr>
              <w:pStyle w:val="NormalWeb"/>
              <w:jc w:val="center"/>
            </w:pPr>
            <w:r>
              <w:t>25</w:t>
            </w:r>
          </w:p>
        </w:tc>
        <w:tc>
          <w:tcPr>
            <w:tcW w:w="1819" w:type="dxa"/>
            <w:tcBorders>
              <w:top w:val="single" w:sz="2" w:space="0" w:color="000000" w:themeColor="text1"/>
              <w:left w:val="single" w:sz="2" w:space="0" w:color="000000" w:themeColor="text1"/>
              <w:bottom w:val="single" w:sz="2" w:space="0" w:color="000000" w:themeColor="text1"/>
            </w:tcBorders>
            <w:shd w:val="clear" w:color="auto" w:fill="F2F2F2" w:themeFill="background1" w:themeFillShade="F2"/>
            <w:vAlign w:val="center"/>
            <w:hideMark/>
          </w:tcPr>
          <w:p w14:paraId="342EC09B" w14:textId="77777777" w:rsidR="00CE14CC" w:rsidRDefault="00CE14CC" w:rsidP="00514AA0">
            <w:pPr>
              <w:pStyle w:val="NormalWeb"/>
              <w:jc w:val="center"/>
            </w:pPr>
            <w:r>
              <w:t>176.3</w:t>
            </w:r>
          </w:p>
        </w:tc>
      </w:tr>
      <w:tr w:rsidR="00903481" w14:paraId="163A513B" w14:textId="77777777" w:rsidTr="00CC4115">
        <w:trPr>
          <w:cnfStyle w:val="000000010000" w:firstRow="0" w:lastRow="0" w:firstColumn="0" w:lastColumn="0" w:oddVBand="0" w:evenVBand="0" w:oddHBand="0" w:evenHBand="1" w:firstRowFirstColumn="0" w:firstRowLastColumn="0" w:lastRowFirstColumn="0" w:lastRowLastColumn="0"/>
        </w:trPr>
        <w:tc>
          <w:tcPr>
            <w:tcW w:w="1560" w:type="dxa"/>
            <w:vMerge w:val="restart"/>
            <w:tcBorders>
              <w:right w:val="single" w:sz="2" w:space="0" w:color="000000" w:themeColor="text1"/>
            </w:tcBorders>
            <w:shd w:val="clear" w:color="auto" w:fill="auto"/>
            <w:vAlign w:val="center"/>
            <w:hideMark/>
          </w:tcPr>
          <w:p w14:paraId="0D6CB50F" w14:textId="77777777" w:rsidR="00CE14CC" w:rsidRDefault="00CE14CC" w:rsidP="00514AA0">
            <w:pPr>
              <w:pStyle w:val="NormalWeb"/>
            </w:pPr>
            <w:r w:rsidRPr="0024394D">
              <w:rPr>
                <w:b/>
              </w:rPr>
              <w:t>Young child</w:t>
            </w:r>
            <w:r w:rsidR="001F2E72">
              <w:br/>
            </w:r>
            <w:r>
              <w:t>1–4 years</w:t>
            </w:r>
            <w:r w:rsidR="001F2E72">
              <w:br/>
            </w:r>
            <w:r>
              <w:t>(n = 669)</w:t>
            </w: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E6ABE32" w14:textId="77777777" w:rsidR="00CE14CC" w:rsidRDefault="00CE14CC" w:rsidP="00514AA0">
            <w:pPr>
              <w:pStyle w:val="NormalWeb"/>
            </w:pPr>
            <w:r>
              <w:t>Measles Mumps Rubella +/- Varicella (MMR or MMRV)</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00F368F" w14:textId="77777777" w:rsidR="00CE14CC" w:rsidRDefault="00CE14CC" w:rsidP="00514AA0">
            <w:pPr>
              <w:pStyle w:val="NormalWeb"/>
              <w:jc w:val="center"/>
            </w:pPr>
            <w:r>
              <w:t>305</w:t>
            </w:r>
          </w:p>
        </w:tc>
        <w:tc>
          <w:tcPr>
            <w:tcW w:w="1819"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62ACB220" w14:textId="77777777" w:rsidR="00CE14CC" w:rsidRDefault="00CE14CC" w:rsidP="00514AA0">
            <w:pPr>
              <w:pStyle w:val="NormalWeb"/>
              <w:jc w:val="center"/>
            </w:pPr>
            <w:r>
              <w:t>188.6</w:t>
            </w:r>
          </w:p>
        </w:tc>
      </w:tr>
      <w:tr w:rsidR="00B63D00" w14:paraId="5CA19750" w14:textId="77777777" w:rsidTr="00CC4115">
        <w:tc>
          <w:tcPr>
            <w:tcW w:w="1560" w:type="dxa"/>
            <w:vMerge/>
            <w:tcBorders>
              <w:right w:val="single" w:sz="2" w:space="0" w:color="000000" w:themeColor="text1"/>
            </w:tcBorders>
            <w:shd w:val="clear" w:color="auto" w:fill="auto"/>
            <w:vAlign w:val="center"/>
            <w:hideMark/>
          </w:tcPr>
          <w:p w14:paraId="564AF489"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4941D24" w14:textId="77777777" w:rsidR="00CE14CC" w:rsidRDefault="00CE14CC" w:rsidP="00514AA0">
            <w:pPr>
              <w:pStyle w:val="NormalWeb"/>
            </w:pPr>
            <w:proofErr w:type="spellStart"/>
            <w:r>
              <w:t>Pneumococcal</w:t>
            </w:r>
            <w:r w:rsidRPr="00A17920">
              <w:rPr>
                <w:vertAlign w:val="superscript"/>
              </w:rPr>
              <w:t>b</w:t>
            </w:r>
            <w:proofErr w:type="spellEnd"/>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12E9ABD" w14:textId="77777777" w:rsidR="00CE14CC" w:rsidRDefault="00CE14CC" w:rsidP="00514AA0">
            <w:pPr>
              <w:pStyle w:val="NormalWeb"/>
              <w:jc w:val="center"/>
            </w:pPr>
            <w:r>
              <w:t>68</w:t>
            </w:r>
          </w:p>
        </w:tc>
        <w:tc>
          <w:tcPr>
            <w:tcW w:w="1819"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43F30207" w14:textId="77777777" w:rsidR="00CE14CC" w:rsidRDefault="00CE14CC" w:rsidP="00514AA0">
            <w:pPr>
              <w:pStyle w:val="NormalWeb"/>
              <w:jc w:val="center"/>
            </w:pPr>
            <w:r>
              <w:t>218.7</w:t>
            </w:r>
          </w:p>
        </w:tc>
      </w:tr>
      <w:tr w:rsidR="00903481" w14:paraId="7D0BC80C" w14:textId="77777777" w:rsidTr="00CC4115">
        <w:trPr>
          <w:cnfStyle w:val="000000010000" w:firstRow="0" w:lastRow="0" w:firstColumn="0" w:lastColumn="0" w:oddVBand="0" w:evenVBand="0" w:oddHBand="0" w:evenHBand="1" w:firstRowFirstColumn="0" w:firstRowLastColumn="0" w:lastRowFirstColumn="0" w:lastRowLastColumn="0"/>
        </w:trPr>
        <w:tc>
          <w:tcPr>
            <w:tcW w:w="1560" w:type="dxa"/>
            <w:vMerge/>
            <w:tcBorders>
              <w:right w:val="single" w:sz="2" w:space="0" w:color="000000" w:themeColor="text1"/>
            </w:tcBorders>
            <w:shd w:val="clear" w:color="auto" w:fill="auto"/>
            <w:vAlign w:val="center"/>
            <w:hideMark/>
          </w:tcPr>
          <w:p w14:paraId="3E36D0EC"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57F9C70C" w14:textId="77777777" w:rsidR="00CE14CC" w:rsidRDefault="00CE14CC" w:rsidP="00514AA0">
            <w:pPr>
              <w:pStyle w:val="NormalWeb"/>
            </w:pPr>
            <w:r>
              <w:t>Meningococcal</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45604FB" w14:textId="77777777" w:rsidR="00CE14CC" w:rsidRDefault="00CE14CC" w:rsidP="00514AA0">
            <w:pPr>
              <w:pStyle w:val="NormalWeb"/>
              <w:jc w:val="center"/>
            </w:pPr>
            <w:r>
              <w:t>110</w:t>
            </w:r>
          </w:p>
        </w:tc>
        <w:tc>
          <w:tcPr>
            <w:tcW w:w="1819"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1309E10F" w14:textId="77777777" w:rsidR="00CE14CC" w:rsidRDefault="00CE14CC" w:rsidP="00514AA0">
            <w:pPr>
              <w:pStyle w:val="NormalWeb"/>
              <w:jc w:val="center"/>
            </w:pPr>
            <w:r>
              <w:t>131.4</w:t>
            </w:r>
          </w:p>
        </w:tc>
      </w:tr>
      <w:tr w:rsidR="00B63D00" w14:paraId="0716074B" w14:textId="77777777" w:rsidTr="00940EAA">
        <w:tc>
          <w:tcPr>
            <w:tcW w:w="1560" w:type="dxa"/>
            <w:vMerge/>
            <w:tcBorders>
              <w:right w:val="single" w:sz="2" w:space="0" w:color="000000" w:themeColor="text1"/>
            </w:tcBorders>
            <w:shd w:val="clear" w:color="auto" w:fill="auto"/>
            <w:vAlign w:val="center"/>
            <w:hideMark/>
          </w:tcPr>
          <w:p w14:paraId="48067F20"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C47D7C0" w14:textId="77777777" w:rsidR="00CE14CC" w:rsidRDefault="00CE14CC" w:rsidP="00514AA0">
            <w:pPr>
              <w:pStyle w:val="NormalWeb"/>
            </w:pPr>
            <w:r>
              <w:t>DTP</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B2CB485" w14:textId="77777777" w:rsidR="00CE14CC" w:rsidRDefault="00CE14CC" w:rsidP="00514AA0">
            <w:pPr>
              <w:pStyle w:val="NormalWeb"/>
              <w:jc w:val="center"/>
            </w:pPr>
            <w:r>
              <w:t>370</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6D162F00" w14:textId="77777777" w:rsidR="00CE14CC" w:rsidRDefault="00CE14CC" w:rsidP="00514AA0">
            <w:pPr>
              <w:pStyle w:val="NormalWeb"/>
              <w:jc w:val="center"/>
            </w:pPr>
            <w:r>
              <w:t>–</w:t>
            </w:r>
          </w:p>
        </w:tc>
      </w:tr>
      <w:tr w:rsidR="00903481" w14:paraId="494731F4" w14:textId="77777777" w:rsidTr="00940EAA">
        <w:trPr>
          <w:cnfStyle w:val="000000010000" w:firstRow="0" w:lastRow="0" w:firstColumn="0" w:lastColumn="0" w:oddVBand="0" w:evenVBand="0" w:oddHBand="0" w:evenHBand="1" w:firstRowFirstColumn="0" w:firstRowLastColumn="0" w:lastRowFirstColumn="0" w:lastRowLastColumn="0"/>
        </w:trPr>
        <w:tc>
          <w:tcPr>
            <w:tcW w:w="1560" w:type="dxa"/>
            <w:vMerge/>
            <w:tcBorders>
              <w:right w:val="single" w:sz="2" w:space="0" w:color="000000" w:themeColor="text1"/>
            </w:tcBorders>
            <w:shd w:val="clear" w:color="auto" w:fill="auto"/>
            <w:vAlign w:val="center"/>
            <w:hideMark/>
          </w:tcPr>
          <w:p w14:paraId="7322781F"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C674017" w14:textId="77777777" w:rsidR="00CE14CC" w:rsidRDefault="00CE14CC" w:rsidP="00514AA0">
            <w:pPr>
              <w:pStyle w:val="NormalWeb"/>
            </w:pPr>
            <w:r>
              <w:t>Influenza</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0126B86" w14:textId="77777777" w:rsidR="00CE14CC" w:rsidRDefault="00CE14CC" w:rsidP="00514AA0">
            <w:pPr>
              <w:pStyle w:val="NormalWeb"/>
              <w:jc w:val="center"/>
            </w:pPr>
            <w:r>
              <w:t>94</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0DB3E43A" w14:textId="77777777" w:rsidR="00CE14CC" w:rsidRDefault="00CE14CC" w:rsidP="00514AA0">
            <w:pPr>
              <w:pStyle w:val="NormalWeb"/>
              <w:jc w:val="center"/>
            </w:pPr>
            <w:r>
              <w:t>–</w:t>
            </w:r>
          </w:p>
        </w:tc>
      </w:tr>
      <w:tr w:rsidR="00B63D00" w14:paraId="19D31EED" w14:textId="77777777" w:rsidTr="00940EAA">
        <w:tc>
          <w:tcPr>
            <w:tcW w:w="1560" w:type="dxa"/>
            <w:vMerge/>
            <w:tcBorders>
              <w:right w:val="single" w:sz="2" w:space="0" w:color="000000" w:themeColor="text1"/>
            </w:tcBorders>
            <w:shd w:val="clear" w:color="auto" w:fill="auto"/>
            <w:vAlign w:val="center"/>
            <w:hideMark/>
          </w:tcPr>
          <w:p w14:paraId="4B542FE9"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7BEE86A" w14:textId="77777777" w:rsidR="00CE14CC" w:rsidRDefault="00CE14CC" w:rsidP="00514AA0">
            <w:pPr>
              <w:pStyle w:val="NormalWeb"/>
            </w:pPr>
            <w:r>
              <w:t>Meningococcal B</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1E7247D" w14:textId="77777777" w:rsidR="00CE14CC" w:rsidRDefault="00CE14CC" w:rsidP="00514AA0">
            <w:pPr>
              <w:pStyle w:val="NormalWeb"/>
              <w:jc w:val="center"/>
            </w:pPr>
            <w:r>
              <w:t>48</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4B6FC486" w14:textId="77777777" w:rsidR="00CE14CC" w:rsidRDefault="00CE14CC" w:rsidP="00514AA0">
            <w:pPr>
              <w:pStyle w:val="NormalWeb"/>
              <w:jc w:val="center"/>
            </w:pPr>
            <w:r>
              <w:t>–</w:t>
            </w:r>
          </w:p>
        </w:tc>
      </w:tr>
      <w:tr w:rsidR="00903481" w14:paraId="7B660A9F" w14:textId="77777777" w:rsidTr="00940EAA">
        <w:trPr>
          <w:cnfStyle w:val="000000010000" w:firstRow="0" w:lastRow="0" w:firstColumn="0" w:lastColumn="0" w:oddVBand="0" w:evenVBand="0" w:oddHBand="0" w:evenHBand="1" w:firstRowFirstColumn="0" w:firstRowLastColumn="0" w:lastRowFirstColumn="0" w:lastRowLastColumn="0"/>
        </w:trPr>
        <w:tc>
          <w:tcPr>
            <w:tcW w:w="1560" w:type="dxa"/>
            <w:vMerge/>
            <w:tcBorders>
              <w:right w:val="single" w:sz="2" w:space="0" w:color="000000" w:themeColor="text1"/>
            </w:tcBorders>
            <w:shd w:val="clear" w:color="auto" w:fill="auto"/>
            <w:vAlign w:val="center"/>
            <w:hideMark/>
          </w:tcPr>
          <w:p w14:paraId="53562032"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A1DFD8D" w14:textId="77777777" w:rsidR="00CE14CC" w:rsidRDefault="00CE14CC" w:rsidP="00514AA0">
            <w:pPr>
              <w:pStyle w:val="NormalWeb"/>
            </w:pPr>
            <w:r>
              <w:t>TB</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5B94C677" w14:textId="77777777" w:rsidR="00CE14CC" w:rsidRDefault="00CE14CC" w:rsidP="00514AA0">
            <w:pPr>
              <w:pStyle w:val="NormalWeb"/>
              <w:jc w:val="center"/>
            </w:pPr>
            <w:r>
              <w:t>18</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758E9E91" w14:textId="77777777" w:rsidR="00CE14CC" w:rsidRDefault="00CE14CC" w:rsidP="00514AA0">
            <w:pPr>
              <w:pStyle w:val="NormalWeb"/>
              <w:jc w:val="center"/>
            </w:pPr>
            <w:r>
              <w:t>–</w:t>
            </w:r>
          </w:p>
        </w:tc>
      </w:tr>
      <w:tr w:rsidR="00B63D00" w14:paraId="26E60109" w14:textId="77777777" w:rsidTr="00940EAA">
        <w:tc>
          <w:tcPr>
            <w:tcW w:w="1560" w:type="dxa"/>
            <w:vMerge w:val="restart"/>
            <w:tcBorders>
              <w:right w:val="single" w:sz="2" w:space="0" w:color="000000" w:themeColor="text1"/>
            </w:tcBorders>
            <w:shd w:val="clear" w:color="auto" w:fill="F2F2F2" w:themeFill="background1" w:themeFillShade="F2"/>
            <w:vAlign w:val="center"/>
            <w:hideMark/>
          </w:tcPr>
          <w:p w14:paraId="14B26FF9" w14:textId="77777777" w:rsidR="00CE14CC" w:rsidRDefault="00CE14CC" w:rsidP="00514AA0">
            <w:pPr>
              <w:pStyle w:val="NormalWeb"/>
            </w:pPr>
            <w:r w:rsidRPr="0024394D">
              <w:rPr>
                <w:b/>
              </w:rPr>
              <w:t>School-aged</w:t>
            </w:r>
            <w:r w:rsidR="00675C1F">
              <w:br/>
            </w:r>
            <w:r>
              <w:t>5–17 years</w:t>
            </w:r>
            <w:r w:rsidR="00675C1F">
              <w:br/>
            </w:r>
            <w:r>
              <w:t>(n = 284)</w:t>
            </w: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1C7E60D3" w14:textId="77777777" w:rsidR="00CE14CC" w:rsidRDefault="00CE14CC" w:rsidP="00514AA0">
            <w:pPr>
              <w:pStyle w:val="NormalWeb"/>
            </w:pPr>
            <w:r>
              <w:t>HPV</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37554F6D" w14:textId="77777777" w:rsidR="00CE14CC" w:rsidRDefault="00CE14CC" w:rsidP="00514AA0">
            <w:pPr>
              <w:pStyle w:val="NormalWeb"/>
              <w:jc w:val="center"/>
            </w:pPr>
            <w:r>
              <w:t>125</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5ED4DB18" w14:textId="77777777" w:rsidR="00CE14CC" w:rsidRDefault="00CE14CC" w:rsidP="00514AA0">
            <w:pPr>
              <w:pStyle w:val="NormalWeb"/>
              <w:jc w:val="center"/>
            </w:pPr>
            <w:r>
              <w:t>–</w:t>
            </w:r>
          </w:p>
        </w:tc>
      </w:tr>
      <w:tr w:rsidR="00903481" w14:paraId="2CD6960C" w14:textId="77777777" w:rsidTr="00940EAA">
        <w:trPr>
          <w:cnfStyle w:val="000000010000" w:firstRow="0" w:lastRow="0" w:firstColumn="0" w:lastColumn="0" w:oddVBand="0" w:evenVBand="0" w:oddHBand="0" w:evenHBand="1" w:firstRowFirstColumn="0" w:firstRowLastColumn="0" w:lastRowFirstColumn="0" w:lastRowLastColumn="0"/>
        </w:trPr>
        <w:tc>
          <w:tcPr>
            <w:tcW w:w="1560" w:type="dxa"/>
            <w:vMerge/>
            <w:tcBorders>
              <w:right w:val="single" w:sz="2" w:space="0" w:color="000000" w:themeColor="text1"/>
            </w:tcBorders>
            <w:vAlign w:val="center"/>
            <w:hideMark/>
          </w:tcPr>
          <w:p w14:paraId="60C27D86"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05673EB" w14:textId="77777777" w:rsidR="00CE14CC" w:rsidRDefault="00CE14CC" w:rsidP="00514AA0">
            <w:pPr>
              <w:pStyle w:val="NormalWeb"/>
            </w:pPr>
            <w:r>
              <w:t>Influenza</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A9C9FA" w14:textId="77777777" w:rsidR="00CE14CC" w:rsidRDefault="00CE14CC" w:rsidP="00514AA0">
            <w:pPr>
              <w:pStyle w:val="NormalWeb"/>
              <w:jc w:val="center"/>
            </w:pPr>
            <w:r>
              <w:t>65</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1FB639DD" w14:textId="77777777" w:rsidR="00CE14CC" w:rsidRDefault="00CE14CC" w:rsidP="00514AA0">
            <w:pPr>
              <w:pStyle w:val="NormalWeb"/>
              <w:jc w:val="center"/>
            </w:pPr>
            <w:r>
              <w:t>–</w:t>
            </w:r>
          </w:p>
        </w:tc>
      </w:tr>
      <w:tr w:rsidR="00B63D00" w14:paraId="37F53C72" w14:textId="77777777" w:rsidTr="00940EAA">
        <w:tc>
          <w:tcPr>
            <w:tcW w:w="1560" w:type="dxa"/>
            <w:vMerge/>
            <w:tcBorders>
              <w:right w:val="single" w:sz="2" w:space="0" w:color="000000" w:themeColor="text1"/>
            </w:tcBorders>
            <w:shd w:val="clear" w:color="auto" w:fill="F2F2F2" w:themeFill="background1" w:themeFillShade="F2"/>
            <w:vAlign w:val="center"/>
            <w:hideMark/>
          </w:tcPr>
          <w:p w14:paraId="3F471E21"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65BB4AD" w14:textId="77777777" w:rsidR="00CE14CC" w:rsidRDefault="00CE14CC" w:rsidP="00514AA0">
            <w:pPr>
              <w:pStyle w:val="NormalWeb"/>
            </w:pPr>
            <w:r>
              <w:t>DTP</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72F1EC6" w14:textId="77777777" w:rsidR="00CE14CC" w:rsidRDefault="00CE14CC" w:rsidP="00514AA0">
            <w:pPr>
              <w:pStyle w:val="NormalWeb"/>
              <w:jc w:val="center"/>
            </w:pPr>
            <w:r>
              <w:t>84</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55BC682C" w14:textId="77777777" w:rsidR="00CE14CC" w:rsidRDefault="00CE14CC" w:rsidP="00514AA0">
            <w:pPr>
              <w:pStyle w:val="NormalWeb"/>
              <w:jc w:val="center"/>
            </w:pPr>
            <w:r>
              <w:t>–</w:t>
            </w:r>
          </w:p>
        </w:tc>
      </w:tr>
      <w:tr w:rsidR="00903481" w14:paraId="083E9713" w14:textId="77777777" w:rsidTr="00940EAA">
        <w:trPr>
          <w:cnfStyle w:val="000000010000" w:firstRow="0" w:lastRow="0" w:firstColumn="0" w:lastColumn="0" w:oddVBand="0" w:evenVBand="0" w:oddHBand="0" w:evenHBand="1" w:firstRowFirstColumn="0" w:firstRowLastColumn="0" w:lastRowFirstColumn="0" w:lastRowLastColumn="0"/>
        </w:trPr>
        <w:tc>
          <w:tcPr>
            <w:tcW w:w="1560" w:type="dxa"/>
            <w:vMerge/>
            <w:tcBorders>
              <w:right w:val="single" w:sz="2" w:space="0" w:color="000000" w:themeColor="text1"/>
            </w:tcBorders>
            <w:vAlign w:val="center"/>
            <w:hideMark/>
          </w:tcPr>
          <w:p w14:paraId="561CC0CC"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81D34B7" w14:textId="77777777" w:rsidR="00CE14CC" w:rsidRDefault="00CE14CC" w:rsidP="00514AA0">
            <w:pPr>
              <w:pStyle w:val="NormalWeb"/>
            </w:pPr>
            <w:r>
              <w:t>Meningococcal</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37C2BD2" w14:textId="77777777" w:rsidR="00CE14CC" w:rsidRDefault="00CE14CC" w:rsidP="00514AA0">
            <w:pPr>
              <w:pStyle w:val="NormalWeb"/>
              <w:jc w:val="center"/>
            </w:pPr>
            <w:r>
              <w:t>34</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4DA9DAE0" w14:textId="77777777" w:rsidR="00CE14CC" w:rsidRDefault="00CE14CC" w:rsidP="00514AA0">
            <w:pPr>
              <w:pStyle w:val="NormalWeb"/>
              <w:jc w:val="center"/>
            </w:pPr>
            <w:r>
              <w:t>–</w:t>
            </w:r>
          </w:p>
        </w:tc>
      </w:tr>
      <w:tr w:rsidR="00B63D00" w14:paraId="1C687699" w14:textId="77777777" w:rsidTr="00940EAA">
        <w:tc>
          <w:tcPr>
            <w:tcW w:w="1560" w:type="dxa"/>
            <w:vMerge w:val="restart"/>
            <w:tcBorders>
              <w:right w:val="single" w:sz="2" w:space="0" w:color="000000" w:themeColor="text1"/>
            </w:tcBorders>
            <w:shd w:val="clear" w:color="auto" w:fill="auto"/>
            <w:vAlign w:val="center"/>
            <w:hideMark/>
          </w:tcPr>
          <w:p w14:paraId="64366341" w14:textId="77777777" w:rsidR="00CE14CC" w:rsidRDefault="00CE14CC" w:rsidP="00514AA0">
            <w:pPr>
              <w:pStyle w:val="NormalWeb"/>
            </w:pPr>
            <w:r w:rsidRPr="0024394D">
              <w:rPr>
                <w:b/>
              </w:rPr>
              <w:t>Adult</w:t>
            </w:r>
            <w:r w:rsidR="006E5528">
              <w:br/>
            </w:r>
            <w:r>
              <w:t>18–64 years</w:t>
            </w:r>
            <w:r w:rsidR="006E5528">
              <w:br/>
            </w:r>
            <w:r>
              <w:t>(n = 259)</w:t>
            </w: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58AAD07" w14:textId="77777777" w:rsidR="00CE14CC" w:rsidRDefault="00CE14CC" w:rsidP="00514AA0">
            <w:pPr>
              <w:pStyle w:val="NormalWeb"/>
            </w:pPr>
            <w:proofErr w:type="spellStart"/>
            <w:r>
              <w:t>DTP</w:t>
            </w:r>
            <w:r w:rsidRPr="005561CB">
              <w:rPr>
                <w:vertAlign w:val="superscript"/>
              </w:rPr>
              <w:t>c</w:t>
            </w:r>
            <w:proofErr w:type="spellEnd"/>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41C950D" w14:textId="77777777" w:rsidR="00CE14CC" w:rsidRDefault="00CE14CC" w:rsidP="00514AA0">
            <w:pPr>
              <w:pStyle w:val="NormalWeb"/>
              <w:jc w:val="center"/>
            </w:pPr>
            <w:r>
              <w:t>38</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578ECD57" w14:textId="77777777" w:rsidR="00CE14CC" w:rsidRDefault="00CE14CC" w:rsidP="00514AA0">
            <w:pPr>
              <w:pStyle w:val="NormalWeb"/>
              <w:jc w:val="center"/>
            </w:pPr>
            <w:r>
              <w:t>–</w:t>
            </w:r>
          </w:p>
        </w:tc>
      </w:tr>
      <w:tr w:rsidR="00903481" w14:paraId="254F4CD3" w14:textId="77777777" w:rsidTr="00940EAA">
        <w:trPr>
          <w:cnfStyle w:val="000000010000" w:firstRow="0" w:lastRow="0" w:firstColumn="0" w:lastColumn="0" w:oddVBand="0" w:evenVBand="0" w:oddHBand="0" w:evenHBand="1" w:firstRowFirstColumn="0" w:firstRowLastColumn="0" w:lastRowFirstColumn="0" w:lastRowLastColumn="0"/>
        </w:trPr>
        <w:tc>
          <w:tcPr>
            <w:tcW w:w="1560" w:type="dxa"/>
            <w:vMerge/>
            <w:tcBorders>
              <w:right w:val="single" w:sz="2" w:space="0" w:color="000000" w:themeColor="text1"/>
            </w:tcBorders>
            <w:shd w:val="clear" w:color="auto" w:fill="auto"/>
            <w:vAlign w:val="center"/>
            <w:hideMark/>
          </w:tcPr>
          <w:p w14:paraId="6E9A85F3"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911A839" w14:textId="77777777" w:rsidR="00CE14CC" w:rsidRDefault="00CE14CC" w:rsidP="00514AA0">
            <w:pPr>
              <w:pStyle w:val="NormalWeb"/>
            </w:pPr>
            <w:proofErr w:type="spellStart"/>
            <w:r>
              <w:t>Pneumococcal</w:t>
            </w:r>
            <w:r w:rsidRPr="004E2342">
              <w:rPr>
                <w:vertAlign w:val="superscript"/>
              </w:rPr>
              <w:t>d</w:t>
            </w:r>
            <w:proofErr w:type="spellEnd"/>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56F70BD" w14:textId="77777777" w:rsidR="00CE14CC" w:rsidRDefault="00CE14CC" w:rsidP="00514AA0">
            <w:pPr>
              <w:pStyle w:val="NormalWeb"/>
              <w:jc w:val="center"/>
            </w:pPr>
            <w:r>
              <w:t>11</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4F45014A" w14:textId="77777777" w:rsidR="00CE14CC" w:rsidRDefault="00CE14CC" w:rsidP="00514AA0">
            <w:pPr>
              <w:pStyle w:val="NormalWeb"/>
              <w:jc w:val="center"/>
            </w:pPr>
            <w:r>
              <w:t>–</w:t>
            </w:r>
          </w:p>
        </w:tc>
      </w:tr>
      <w:tr w:rsidR="00B63D00" w14:paraId="7B140C49" w14:textId="77777777" w:rsidTr="00940EAA">
        <w:tc>
          <w:tcPr>
            <w:tcW w:w="1560" w:type="dxa"/>
            <w:vMerge/>
            <w:tcBorders>
              <w:right w:val="single" w:sz="2" w:space="0" w:color="000000" w:themeColor="text1"/>
            </w:tcBorders>
            <w:shd w:val="clear" w:color="auto" w:fill="auto"/>
            <w:vAlign w:val="center"/>
            <w:hideMark/>
          </w:tcPr>
          <w:p w14:paraId="6E43056E"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C343171" w14:textId="77777777" w:rsidR="00CE14CC" w:rsidRDefault="00CE14CC" w:rsidP="00514AA0">
            <w:pPr>
              <w:pStyle w:val="NormalWeb"/>
            </w:pPr>
            <w:r>
              <w:t>Influenza</w:t>
            </w:r>
            <w:r w:rsidRPr="004E2342">
              <w:rPr>
                <w:vertAlign w:val="superscript"/>
              </w:rPr>
              <w:t>e</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95985DC" w14:textId="77777777" w:rsidR="00CE14CC" w:rsidRDefault="00CE14CC" w:rsidP="00514AA0">
            <w:pPr>
              <w:pStyle w:val="NormalWeb"/>
              <w:jc w:val="center"/>
            </w:pPr>
            <w:r>
              <w:t>154</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1A70F92E" w14:textId="77777777" w:rsidR="00CE14CC" w:rsidRDefault="00CE14CC" w:rsidP="00514AA0">
            <w:pPr>
              <w:pStyle w:val="NormalWeb"/>
              <w:jc w:val="center"/>
            </w:pPr>
            <w:r>
              <w:t>–</w:t>
            </w:r>
          </w:p>
        </w:tc>
      </w:tr>
      <w:tr w:rsidR="00903481" w14:paraId="5108E7F8" w14:textId="77777777" w:rsidTr="00940EAA">
        <w:trPr>
          <w:cnfStyle w:val="000000010000" w:firstRow="0" w:lastRow="0" w:firstColumn="0" w:lastColumn="0" w:oddVBand="0" w:evenVBand="0" w:oddHBand="0" w:evenHBand="1" w:firstRowFirstColumn="0" w:firstRowLastColumn="0" w:lastRowFirstColumn="0" w:lastRowLastColumn="0"/>
        </w:trPr>
        <w:tc>
          <w:tcPr>
            <w:tcW w:w="1560" w:type="dxa"/>
            <w:vMerge w:val="restart"/>
            <w:tcBorders>
              <w:right w:val="single" w:sz="2" w:space="0" w:color="000000" w:themeColor="text1"/>
            </w:tcBorders>
            <w:vAlign w:val="center"/>
            <w:hideMark/>
          </w:tcPr>
          <w:p w14:paraId="4B283DA9" w14:textId="77777777" w:rsidR="00CE14CC" w:rsidRDefault="00CE14CC" w:rsidP="00514AA0">
            <w:pPr>
              <w:pStyle w:val="NormalWeb"/>
            </w:pPr>
            <w:r w:rsidRPr="0024394D">
              <w:rPr>
                <w:b/>
              </w:rPr>
              <w:t>Older person</w:t>
            </w:r>
            <w:r w:rsidR="006E5528">
              <w:br/>
            </w:r>
            <w:r>
              <w:t xml:space="preserve">65+ </w:t>
            </w:r>
            <w:proofErr w:type="spellStart"/>
            <w:r>
              <w:t>yrs</w:t>
            </w:r>
            <w:proofErr w:type="spellEnd"/>
            <w:r w:rsidR="006E5528">
              <w:br/>
            </w:r>
            <w:r>
              <w:t>(n = 174)</w:t>
            </w: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1D26106" w14:textId="77777777" w:rsidR="00CE14CC" w:rsidRDefault="00CE14CC" w:rsidP="00514AA0">
            <w:pPr>
              <w:pStyle w:val="NormalWeb"/>
            </w:pPr>
            <w:r>
              <w:t>Pneumococcal</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EE0FAD8" w14:textId="77777777" w:rsidR="00CE14CC" w:rsidRDefault="00CE14CC" w:rsidP="00514AA0">
            <w:pPr>
              <w:pStyle w:val="NormalWeb"/>
              <w:jc w:val="center"/>
            </w:pPr>
            <w:r>
              <w:t>55</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78041E3C" w14:textId="77777777" w:rsidR="00CE14CC" w:rsidRDefault="00CE14CC" w:rsidP="00514AA0">
            <w:pPr>
              <w:pStyle w:val="NormalWeb"/>
              <w:jc w:val="center"/>
            </w:pPr>
            <w:r>
              <w:t>–</w:t>
            </w:r>
          </w:p>
        </w:tc>
      </w:tr>
      <w:tr w:rsidR="00B63D00" w14:paraId="5F35C2FD" w14:textId="77777777" w:rsidTr="00940EAA">
        <w:tc>
          <w:tcPr>
            <w:tcW w:w="1560" w:type="dxa"/>
            <w:vMerge/>
            <w:tcBorders>
              <w:right w:val="single" w:sz="2" w:space="0" w:color="000000" w:themeColor="text1"/>
            </w:tcBorders>
            <w:shd w:val="clear" w:color="auto" w:fill="F2F2F2" w:themeFill="background1" w:themeFillShade="F2"/>
            <w:vAlign w:val="center"/>
            <w:hideMark/>
          </w:tcPr>
          <w:p w14:paraId="5DB7FED1"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6B77D13" w14:textId="77777777" w:rsidR="00CE14CC" w:rsidRDefault="00CE14CC" w:rsidP="00514AA0">
            <w:pPr>
              <w:pStyle w:val="NormalWeb"/>
            </w:pPr>
            <w:r>
              <w:t>Shingles</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8464A58" w14:textId="77777777" w:rsidR="00CE14CC" w:rsidRDefault="00CE14CC" w:rsidP="00514AA0">
            <w:pPr>
              <w:pStyle w:val="NormalWeb"/>
              <w:jc w:val="center"/>
            </w:pPr>
            <w:r>
              <w:t>44</w:t>
            </w:r>
          </w:p>
        </w:tc>
        <w:tc>
          <w:tcPr>
            <w:tcW w:w="1819" w:type="dxa"/>
            <w:tcBorders>
              <w:top w:val="single" w:sz="2" w:space="0" w:color="000000" w:themeColor="text1"/>
              <w:left w:val="single" w:sz="2" w:space="0" w:color="000000" w:themeColor="text1"/>
              <w:bottom w:val="single" w:sz="2" w:space="0" w:color="000000" w:themeColor="text1"/>
            </w:tcBorders>
            <w:shd w:val="clear" w:color="auto" w:fill="D9D9D9" w:themeFill="background1" w:themeFillShade="D9"/>
            <w:vAlign w:val="center"/>
            <w:hideMark/>
          </w:tcPr>
          <w:p w14:paraId="3B9F0955" w14:textId="77777777" w:rsidR="00CE14CC" w:rsidRDefault="00CE14CC" w:rsidP="00514AA0">
            <w:pPr>
              <w:pStyle w:val="NormalWeb"/>
              <w:jc w:val="center"/>
            </w:pPr>
            <w:r>
              <w:t>–</w:t>
            </w:r>
          </w:p>
        </w:tc>
      </w:tr>
      <w:tr w:rsidR="00A149DE" w14:paraId="4AD13F39" w14:textId="77777777" w:rsidTr="00940EAA">
        <w:trPr>
          <w:cnfStyle w:val="000000010000" w:firstRow="0" w:lastRow="0" w:firstColumn="0" w:lastColumn="0" w:oddVBand="0" w:evenVBand="0" w:oddHBand="0" w:evenHBand="1" w:firstRowFirstColumn="0" w:firstRowLastColumn="0" w:lastRowFirstColumn="0" w:lastRowLastColumn="0"/>
        </w:trPr>
        <w:tc>
          <w:tcPr>
            <w:tcW w:w="1560" w:type="dxa"/>
            <w:vMerge/>
            <w:tcBorders>
              <w:right w:val="single" w:sz="2" w:space="0" w:color="000000" w:themeColor="text1"/>
            </w:tcBorders>
            <w:vAlign w:val="center"/>
            <w:hideMark/>
          </w:tcPr>
          <w:p w14:paraId="2C865E32" w14:textId="77777777" w:rsidR="00CE14CC" w:rsidRDefault="00CE14CC" w:rsidP="00514AA0">
            <w:pPr>
              <w:rPr>
                <w:sz w:val="24"/>
                <w:szCs w:val="24"/>
              </w:rPr>
            </w:pPr>
          </w:p>
        </w:tc>
        <w:tc>
          <w:tcPr>
            <w:tcW w:w="5811" w:type="dxa"/>
            <w:tcBorders>
              <w:top w:val="single" w:sz="2" w:space="0" w:color="000000" w:themeColor="text1"/>
              <w:left w:val="single" w:sz="2" w:space="0" w:color="000000" w:themeColor="text1"/>
              <w:bottom w:val="nil"/>
              <w:right w:val="single" w:sz="2" w:space="0" w:color="000000" w:themeColor="text1"/>
            </w:tcBorders>
            <w:vAlign w:val="center"/>
            <w:hideMark/>
          </w:tcPr>
          <w:p w14:paraId="39D8686D" w14:textId="77777777" w:rsidR="00CE14CC" w:rsidRDefault="00CE14CC" w:rsidP="00514AA0">
            <w:pPr>
              <w:pStyle w:val="NormalWeb"/>
            </w:pPr>
            <w:r>
              <w:t>Influenza</w:t>
            </w:r>
          </w:p>
        </w:tc>
        <w:tc>
          <w:tcPr>
            <w:tcW w:w="1276" w:type="dxa"/>
            <w:tcBorders>
              <w:top w:val="single" w:sz="2" w:space="0" w:color="000000" w:themeColor="text1"/>
              <w:left w:val="single" w:sz="2" w:space="0" w:color="000000" w:themeColor="text1"/>
              <w:bottom w:val="nil"/>
              <w:right w:val="single" w:sz="2" w:space="0" w:color="000000" w:themeColor="text1"/>
            </w:tcBorders>
            <w:vAlign w:val="center"/>
            <w:hideMark/>
          </w:tcPr>
          <w:p w14:paraId="3E2AE348" w14:textId="77777777" w:rsidR="00CE14CC" w:rsidRDefault="00CE14CC" w:rsidP="00514AA0">
            <w:pPr>
              <w:pStyle w:val="NormalWeb"/>
              <w:jc w:val="center"/>
            </w:pPr>
            <w:r>
              <w:t>80</w:t>
            </w:r>
          </w:p>
        </w:tc>
        <w:tc>
          <w:tcPr>
            <w:tcW w:w="1819" w:type="dxa"/>
            <w:tcBorders>
              <w:top w:val="single" w:sz="2" w:space="0" w:color="000000" w:themeColor="text1"/>
              <w:left w:val="single" w:sz="2" w:space="0" w:color="000000" w:themeColor="text1"/>
              <w:bottom w:val="nil"/>
            </w:tcBorders>
            <w:shd w:val="clear" w:color="auto" w:fill="D9D9D9" w:themeFill="background1" w:themeFillShade="D9"/>
            <w:vAlign w:val="center"/>
            <w:hideMark/>
          </w:tcPr>
          <w:p w14:paraId="0E5E1827" w14:textId="77777777" w:rsidR="00CE14CC" w:rsidRDefault="00CE14CC" w:rsidP="00514AA0">
            <w:pPr>
              <w:pStyle w:val="NormalWeb"/>
              <w:jc w:val="center"/>
            </w:pPr>
            <w:r>
              <w:t>–</w:t>
            </w:r>
          </w:p>
        </w:tc>
      </w:tr>
    </w:tbl>
    <w:p w14:paraId="58734A3E" w14:textId="77777777" w:rsidR="00CE14CC" w:rsidRPr="001F1913" w:rsidRDefault="00CE14CC" w:rsidP="001F1913">
      <w:pPr>
        <w:pStyle w:val="CDIfootnotes"/>
      </w:pPr>
      <w:r w:rsidRPr="001F1913">
        <w:t>a</w:t>
      </w:r>
      <w:r w:rsidRPr="001F1913">
        <w:tab/>
        <w:t>Rotavirus vaccine used is Rotarix, with a 2-dose schedule (2 and 4 months), with last dose recommended by 24 weeks of age</w:t>
      </w:r>
    </w:p>
    <w:p w14:paraId="59F412E0" w14:textId="77777777" w:rsidR="00CE14CC" w:rsidRPr="001F1913" w:rsidRDefault="00CE14CC" w:rsidP="001F1913">
      <w:pPr>
        <w:pStyle w:val="CDIfootnotes"/>
      </w:pPr>
      <w:r w:rsidRPr="001F1913">
        <w:t>b</w:t>
      </w:r>
      <w:r w:rsidRPr="001F1913">
        <w:tab/>
        <w:t>12-month routine dose commenced 1 July 2018</w:t>
      </w:r>
    </w:p>
    <w:p w14:paraId="0384F9DD" w14:textId="77777777" w:rsidR="00CE14CC" w:rsidRPr="001F1913" w:rsidRDefault="00CE14CC" w:rsidP="001F1913">
      <w:pPr>
        <w:pStyle w:val="CDIfootnotes"/>
      </w:pPr>
      <w:r w:rsidRPr="001F1913">
        <w:t>c</w:t>
      </w:r>
      <w:r w:rsidRPr="001F1913">
        <w:tab/>
        <w:t>Pregnant women</w:t>
      </w:r>
    </w:p>
    <w:p w14:paraId="1F7248A3" w14:textId="77777777" w:rsidR="00CE14CC" w:rsidRPr="001F1913" w:rsidRDefault="00CE14CC" w:rsidP="001F1913">
      <w:pPr>
        <w:pStyle w:val="CDIfootnotes"/>
      </w:pPr>
      <w:r w:rsidRPr="001F1913">
        <w:t>d</w:t>
      </w:r>
      <w:r w:rsidRPr="001F1913">
        <w:tab/>
        <w:t>Indigenous Australian or medically at risk</w:t>
      </w:r>
    </w:p>
    <w:p w14:paraId="7E595546" w14:textId="77777777" w:rsidR="00CE14CC" w:rsidRPr="001F1913" w:rsidRDefault="00CE14CC" w:rsidP="001F1913">
      <w:pPr>
        <w:pStyle w:val="CDIfootnotes"/>
      </w:pPr>
      <w:r w:rsidRPr="001F1913">
        <w:t>e</w:t>
      </w:r>
      <w:r w:rsidRPr="001F1913">
        <w:tab/>
        <w:t>Not in NIP but recommended for at risk/healthcare workers.</w:t>
      </w:r>
    </w:p>
    <w:p w14:paraId="44296A3F" w14:textId="77777777" w:rsidR="00CE14CC" w:rsidRDefault="00CE14CC">
      <w:pPr>
        <w:pStyle w:val="NormalWeb"/>
      </w:pPr>
      <w:r>
        <w:t> </w:t>
      </w:r>
    </w:p>
    <w:p w14:paraId="03DDCAA2" w14:textId="77777777" w:rsidR="00CE14CC" w:rsidRPr="005875F1" w:rsidRDefault="00CE14CC" w:rsidP="005875F1">
      <w:pPr>
        <w:pStyle w:val="Heading2"/>
      </w:pPr>
      <w:r w:rsidRPr="005875F1">
        <w:lastRenderedPageBreak/>
        <w:t xml:space="preserve">AEFI reactions </w:t>
      </w:r>
    </w:p>
    <w:p w14:paraId="6EB350DC" w14:textId="77777777" w:rsidR="00CE14CC" w:rsidRDefault="00CE14CC" w:rsidP="00217368">
      <w:r>
        <w:t xml:space="preserve">The 1,730 AEFI reports described 2,423 reactions (a vaccine recipient may describe multiple AEFI reactions) of which 255 were included in the 160 reports meeting the definition of serious adverse event from immunisation (SAEFI). </w:t>
      </w:r>
    </w:p>
    <w:p w14:paraId="703207F9" w14:textId="77777777" w:rsidR="00CE14CC" w:rsidRDefault="00CE14CC" w:rsidP="00217368">
      <w:r>
        <w:t>The distribution and frequency of reactions listed in AEFI reports for 2018 (commonly reported and selected conditions) are shown in Table 3. Minor/common/expected injection site reaction was the most frequently reported reaction overall (13.3%; n = 322/2,423) as well as for each age group category.</w:t>
      </w:r>
    </w:p>
    <w:p w14:paraId="4A68C5A1" w14:textId="77777777" w:rsidR="009A63FD" w:rsidRDefault="009A63FD" w:rsidP="009A63FD">
      <w:pPr>
        <w:pStyle w:val="CDIFigures"/>
        <w:sectPr w:rsidR="009A63FD" w:rsidSect="00A30C37">
          <w:footnotePr>
            <w:numFmt w:val="lowerRoman"/>
          </w:footnotePr>
          <w:pgSz w:w="11906" w:h="16838"/>
          <w:pgMar w:top="720" w:right="720" w:bottom="1134" w:left="720" w:header="709" w:footer="284" w:gutter="0"/>
          <w:cols w:space="708"/>
          <w:titlePg/>
          <w:docGrid w:linePitch="360"/>
        </w:sectPr>
      </w:pPr>
    </w:p>
    <w:p w14:paraId="30729A2A" w14:textId="77777777" w:rsidR="00CE14CC" w:rsidRDefault="00CE14CC" w:rsidP="009A63FD">
      <w:pPr>
        <w:pStyle w:val="CDIFigures"/>
      </w:pPr>
      <w:r>
        <w:lastRenderedPageBreak/>
        <w:t>Table 3: AEFI reactions reported (&gt;20 reports &amp; selected conditions in italics) by age group, SAEFVIC, 2018</w:t>
      </w:r>
      <w:r w:rsidRPr="004F527F">
        <w:rPr>
          <w:vertAlign w:val="superscript"/>
        </w:rPr>
        <w:t>a,</w:t>
      </w:r>
      <w:proofErr w:type="gramStart"/>
      <w:r w:rsidRPr="004F527F">
        <w:rPr>
          <w:vertAlign w:val="superscript"/>
        </w:rPr>
        <w:t>b</w:t>
      </w:r>
      <w:proofErr w:type="gramEnd"/>
    </w:p>
    <w:tbl>
      <w:tblPr>
        <w:tblStyle w:val="CDI-StandardTable"/>
        <w:tblW w:w="0" w:type="auto"/>
        <w:tblBorders>
          <w:insideH w:val="single" w:sz="2" w:space="0" w:color="000000" w:themeColor="text1"/>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able 3 provides the number and percentage of AEFI reports received for the top 20 most frequently reported AEFI reactions, by each age group. Reactions reported more frequently in particular age groups are highlighted. These are severe injection site reactions in children, fever unspecified in older persons, vasovagal episodes in school-aged children,  hypotonic-hyporesponsive episode in infants and fever over 40 degrees celcius in young children.&#10;"/>
      </w:tblPr>
      <w:tblGrid>
        <w:gridCol w:w="2268"/>
        <w:gridCol w:w="709"/>
        <w:gridCol w:w="1134"/>
        <w:gridCol w:w="709"/>
        <w:gridCol w:w="1134"/>
        <w:gridCol w:w="1276"/>
        <w:gridCol w:w="1417"/>
        <w:gridCol w:w="709"/>
        <w:gridCol w:w="1134"/>
        <w:gridCol w:w="850"/>
        <w:gridCol w:w="1560"/>
        <w:gridCol w:w="992"/>
        <w:gridCol w:w="1092"/>
      </w:tblGrid>
      <w:tr w:rsidR="00614426" w:rsidRPr="009575DB" w14:paraId="53AD06D0" w14:textId="77777777" w:rsidTr="00C041A8">
        <w:trPr>
          <w:cnfStyle w:val="100000000000" w:firstRow="1" w:lastRow="0" w:firstColumn="0" w:lastColumn="0" w:oddVBand="0" w:evenVBand="0" w:oddHBand="0" w:evenHBand="0" w:firstRowFirstColumn="0" w:firstRowLastColumn="0" w:lastRowFirstColumn="0" w:lastRowLastColumn="0"/>
          <w:tblHeader/>
        </w:trPr>
        <w:tc>
          <w:tcPr>
            <w:tcW w:w="2268" w:type="dxa"/>
            <w:shd w:val="clear" w:color="auto" w:fill="1D1B11" w:themeFill="background2" w:themeFillShade="1A"/>
            <w:hideMark/>
          </w:tcPr>
          <w:p w14:paraId="37910D95" w14:textId="77777777" w:rsidR="00CE14CC" w:rsidRPr="009575DB" w:rsidRDefault="00CE14CC">
            <w:pPr>
              <w:pStyle w:val="NormalWeb"/>
              <w:rPr>
                <w:color w:val="FFFFFF" w:themeColor="background1"/>
                <w:sz w:val="20"/>
                <w:szCs w:val="20"/>
              </w:rPr>
            </w:pPr>
            <w:r w:rsidRPr="009575DB">
              <w:rPr>
                <w:color w:val="FFFFFF" w:themeColor="background1"/>
                <w:sz w:val="20"/>
                <w:szCs w:val="20"/>
              </w:rPr>
              <w:t>Reaction reported</w:t>
            </w:r>
          </w:p>
        </w:tc>
        <w:tc>
          <w:tcPr>
            <w:tcW w:w="709" w:type="dxa"/>
            <w:shd w:val="clear" w:color="auto" w:fill="1D1B11" w:themeFill="background2" w:themeFillShade="1A"/>
            <w:hideMark/>
          </w:tcPr>
          <w:p w14:paraId="52C2DC2D"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Infant</w:t>
            </w:r>
          </w:p>
        </w:tc>
        <w:tc>
          <w:tcPr>
            <w:tcW w:w="1134" w:type="dxa"/>
            <w:shd w:val="clear" w:color="auto" w:fill="1D1B11" w:themeFill="background2" w:themeFillShade="1A"/>
            <w:hideMark/>
          </w:tcPr>
          <w:p w14:paraId="18859C64"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 of Infant reports</w:t>
            </w:r>
          </w:p>
        </w:tc>
        <w:tc>
          <w:tcPr>
            <w:tcW w:w="709" w:type="dxa"/>
            <w:shd w:val="clear" w:color="auto" w:fill="1D1B11" w:themeFill="background2" w:themeFillShade="1A"/>
            <w:hideMark/>
          </w:tcPr>
          <w:p w14:paraId="58CD6D56"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Child</w:t>
            </w:r>
          </w:p>
        </w:tc>
        <w:tc>
          <w:tcPr>
            <w:tcW w:w="1134" w:type="dxa"/>
            <w:shd w:val="clear" w:color="auto" w:fill="1D1B11" w:themeFill="background2" w:themeFillShade="1A"/>
            <w:hideMark/>
          </w:tcPr>
          <w:p w14:paraId="5BE8613F"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 of Child reports</w:t>
            </w:r>
          </w:p>
        </w:tc>
        <w:tc>
          <w:tcPr>
            <w:tcW w:w="1276" w:type="dxa"/>
            <w:shd w:val="clear" w:color="auto" w:fill="1D1B11" w:themeFill="background2" w:themeFillShade="1A"/>
            <w:hideMark/>
          </w:tcPr>
          <w:p w14:paraId="7CE78207"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School-aged</w:t>
            </w:r>
          </w:p>
        </w:tc>
        <w:tc>
          <w:tcPr>
            <w:tcW w:w="1417" w:type="dxa"/>
            <w:shd w:val="clear" w:color="auto" w:fill="1D1B11" w:themeFill="background2" w:themeFillShade="1A"/>
            <w:hideMark/>
          </w:tcPr>
          <w:p w14:paraId="58744612"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 of School-aged reports</w:t>
            </w:r>
          </w:p>
        </w:tc>
        <w:tc>
          <w:tcPr>
            <w:tcW w:w="709" w:type="dxa"/>
            <w:shd w:val="clear" w:color="auto" w:fill="1D1B11" w:themeFill="background2" w:themeFillShade="1A"/>
            <w:hideMark/>
          </w:tcPr>
          <w:p w14:paraId="7FB1005E"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Adult</w:t>
            </w:r>
          </w:p>
        </w:tc>
        <w:tc>
          <w:tcPr>
            <w:tcW w:w="1134" w:type="dxa"/>
            <w:shd w:val="clear" w:color="auto" w:fill="1D1B11" w:themeFill="background2" w:themeFillShade="1A"/>
            <w:hideMark/>
          </w:tcPr>
          <w:p w14:paraId="44682290"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 of Adult reports</w:t>
            </w:r>
          </w:p>
        </w:tc>
        <w:tc>
          <w:tcPr>
            <w:tcW w:w="850" w:type="dxa"/>
            <w:shd w:val="clear" w:color="auto" w:fill="1D1B11" w:themeFill="background2" w:themeFillShade="1A"/>
            <w:hideMark/>
          </w:tcPr>
          <w:p w14:paraId="6A02D76F"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Older person</w:t>
            </w:r>
          </w:p>
        </w:tc>
        <w:tc>
          <w:tcPr>
            <w:tcW w:w="1560" w:type="dxa"/>
            <w:shd w:val="clear" w:color="auto" w:fill="1D1B11" w:themeFill="background2" w:themeFillShade="1A"/>
            <w:hideMark/>
          </w:tcPr>
          <w:p w14:paraId="0A0FB776"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 of Older person reports</w:t>
            </w:r>
          </w:p>
        </w:tc>
        <w:tc>
          <w:tcPr>
            <w:tcW w:w="992" w:type="dxa"/>
            <w:shd w:val="clear" w:color="auto" w:fill="1D1B11" w:themeFill="background2" w:themeFillShade="1A"/>
            <w:hideMark/>
          </w:tcPr>
          <w:p w14:paraId="17FDE031"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Total reactions</w:t>
            </w:r>
          </w:p>
        </w:tc>
        <w:tc>
          <w:tcPr>
            <w:tcW w:w="1092" w:type="dxa"/>
            <w:shd w:val="clear" w:color="auto" w:fill="1D1B11" w:themeFill="background2" w:themeFillShade="1A"/>
            <w:hideMark/>
          </w:tcPr>
          <w:p w14:paraId="018E85BB" w14:textId="77777777" w:rsidR="00CE14CC" w:rsidRPr="009575DB" w:rsidRDefault="00CE14CC" w:rsidP="00C54EE3">
            <w:pPr>
              <w:pStyle w:val="NormalWeb"/>
              <w:jc w:val="center"/>
              <w:rPr>
                <w:color w:val="FFFFFF" w:themeColor="background1"/>
                <w:sz w:val="20"/>
                <w:szCs w:val="20"/>
              </w:rPr>
            </w:pPr>
            <w:r w:rsidRPr="009575DB">
              <w:rPr>
                <w:color w:val="FFFFFF" w:themeColor="background1"/>
                <w:sz w:val="20"/>
                <w:szCs w:val="20"/>
              </w:rPr>
              <w:t>% of</w:t>
            </w:r>
            <w:r w:rsidR="00EB4DDF" w:rsidRPr="009575DB">
              <w:rPr>
                <w:color w:val="FFFFFF" w:themeColor="background1"/>
                <w:sz w:val="20"/>
                <w:szCs w:val="20"/>
              </w:rPr>
              <w:t xml:space="preserve"> </w:t>
            </w:r>
            <w:r w:rsidRPr="009575DB">
              <w:rPr>
                <w:color w:val="FFFFFF" w:themeColor="background1"/>
                <w:sz w:val="20"/>
                <w:szCs w:val="20"/>
              </w:rPr>
              <w:t>Total reactions</w:t>
            </w:r>
          </w:p>
        </w:tc>
      </w:tr>
      <w:tr w:rsidR="00614426" w:rsidRPr="009575DB" w14:paraId="79E25631" w14:textId="77777777" w:rsidTr="00B06A5B">
        <w:tc>
          <w:tcPr>
            <w:tcW w:w="2268" w:type="dxa"/>
            <w:shd w:val="clear" w:color="auto" w:fill="FFFFFF" w:themeFill="background1"/>
            <w:hideMark/>
          </w:tcPr>
          <w:p w14:paraId="2FEB3607" w14:textId="77777777" w:rsidR="00CE14CC" w:rsidRPr="009575DB" w:rsidRDefault="00CE14CC">
            <w:pPr>
              <w:pStyle w:val="NormalWeb"/>
              <w:rPr>
                <w:sz w:val="20"/>
                <w:szCs w:val="20"/>
              </w:rPr>
            </w:pPr>
            <w:r w:rsidRPr="009575DB">
              <w:rPr>
                <w:sz w:val="20"/>
                <w:szCs w:val="20"/>
              </w:rPr>
              <w:t>Injection site reaction (minor)</w:t>
            </w:r>
          </w:p>
        </w:tc>
        <w:tc>
          <w:tcPr>
            <w:tcW w:w="709" w:type="dxa"/>
            <w:shd w:val="clear" w:color="auto" w:fill="F2F2F2" w:themeFill="background1" w:themeFillShade="F2"/>
            <w:hideMark/>
          </w:tcPr>
          <w:p w14:paraId="6D846F06" w14:textId="77777777" w:rsidR="00CE14CC" w:rsidRPr="009575DB" w:rsidRDefault="00CE14CC" w:rsidP="00C54EE3">
            <w:pPr>
              <w:pStyle w:val="NormalWeb"/>
              <w:jc w:val="center"/>
              <w:rPr>
                <w:sz w:val="20"/>
                <w:szCs w:val="20"/>
              </w:rPr>
            </w:pPr>
            <w:r w:rsidRPr="009575DB">
              <w:rPr>
                <w:sz w:val="20"/>
                <w:szCs w:val="20"/>
              </w:rPr>
              <w:t>21</w:t>
            </w:r>
          </w:p>
        </w:tc>
        <w:tc>
          <w:tcPr>
            <w:tcW w:w="1134" w:type="dxa"/>
            <w:shd w:val="clear" w:color="auto" w:fill="F2F2F2" w:themeFill="background1" w:themeFillShade="F2"/>
            <w:hideMark/>
          </w:tcPr>
          <w:p w14:paraId="0CA43A22" w14:textId="77777777" w:rsidR="00CE14CC" w:rsidRPr="009575DB" w:rsidRDefault="00CE14CC" w:rsidP="00C54EE3">
            <w:pPr>
              <w:pStyle w:val="NormalWeb"/>
              <w:jc w:val="center"/>
              <w:rPr>
                <w:sz w:val="20"/>
                <w:szCs w:val="20"/>
              </w:rPr>
            </w:pPr>
            <w:r w:rsidRPr="009575DB">
              <w:rPr>
                <w:sz w:val="20"/>
                <w:szCs w:val="20"/>
              </w:rPr>
              <w:t>4%</w:t>
            </w:r>
          </w:p>
        </w:tc>
        <w:tc>
          <w:tcPr>
            <w:tcW w:w="709" w:type="dxa"/>
            <w:shd w:val="clear" w:color="auto" w:fill="FFFFFF" w:themeFill="background1"/>
            <w:hideMark/>
          </w:tcPr>
          <w:p w14:paraId="1356F50F" w14:textId="77777777" w:rsidR="00CE14CC" w:rsidRPr="009575DB" w:rsidRDefault="00CE14CC" w:rsidP="00C54EE3">
            <w:pPr>
              <w:pStyle w:val="NormalWeb"/>
              <w:jc w:val="center"/>
              <w:rPr>
                <w:sz w:val="20"/>
                <w:szCs w:val="20"/>
              </w:rPr>
            </w:pPr>
            <w:r w:rsidRPr="009575DB">
              <w:rPr>
                <w:sz w:val="20"/>
                <w:szCs w:val="20"/>
              </w:rPr>
              <w:t>168</w:t>
            </w:r>
          </w:p>
        </w:tc>
        <w:tc>
          <w:tcPr>
            <w:tcW w:w="1134" w:type="dxa"/>
            <w:shd w:val="clear" w:color="auto" w:fill="FFFFFF" w:themeFill="background1"/>
            <w:hideMark/>
          </w:tcPr>
          <w:p w14:paraId="0A03F79A" w14:textId="77777777" w:rsidR="00CE14CC" w:rsidRPr="009575DB" w:rsidRDefault="00CE14CC" w:rsidP="00C54EE3">
            <w:pPr>
              <w:pStyle w:val="NormalWeb"/>
              <w:jc w:val="center"/>
              <w:rPr>
                <w:sz w:val="20"/>
                <w:szCs w:val="20"/>
              </w:rPr>
            </w:pPr>
            <w:r w:rsidRPr="009575DB">
              <w:rPr>
                <w:sz w:val="20"/>
                <w:szCs w:val="20"/>
              </w:rPr>
              <w:t>20%</w:t>
            </w:r>
          </w:p>
        </w:tc>
        <w:tc>
          <w:tcPr>
            <w:tcW w:w="1276" w:type="dxa"/>
            <w:shd w:val="clear" w:color="auto" w:fill="F2F2F2" w:themeFill="background1" w:themeFillShade="F2"/>
            <w:hideMark/>
          </w:tcPr>
          <w:p w14:paraId="553E766E" w14:textId="77777777" w:rsidR="00CE14CC" w:rsidRPr="009575DB" w:rsidRDefault="00CE14CC" w:rsidP="00C54EE3">
            <w:pPr>
              <w:pStyle w:val="NormalWeb"/>
              <w:jc w:val="center"/>
              <w:rPr>
                <w:sz w:val="20"/>
                <w:szCs w:val="20"/>
              </w:rPr>
            </w:pPr>
            <w:r w:rsidRPr="009575DB">
              <w:rPr>
                <w:sz w:val="20"/>
                <w:szCs w:val="20"/>
              </w:rPr>
              <w:t>45</w:t>
            </w:r>
          </w:p>
        </w:tc>
        <w:tc>
          <w:tcPr>
            <w:tcW w:w="1417" w:type="dxa"/>
            <w:shd w:val="clear" w:color="auto" w:fill="F2F2F2" w:themeFill="background1" w:themeFillShade="F2"/>
            <w:hideMark/>
          </w:tcPr>
          <w:p w14:paraId="58524F99" w14:textId="77777777" w:rsidR="00CE14CC" w:rsidRPr="009575DB" w:rsidRDefault="00CE14CC" w:rsidP="00C54EE3">
            <w:pPr>
              <w:pStyle w:val="NormalWeb"/>
              <w:jc w:val="center"/>
              <w:rPr>
                <w:sz w:val="20"/>
                <w:szCs w:val="20"/>
              </w:rPr>
            </w:pPr>
            <w:r w:rsidRPr="009575DB">
              <w:rPr>
                <w:sz w:val="20"/>
                <w:szCs w:val="20"/>
              </w:rPr>
              <w:t>11%</w:t>
            </w:r>
          </w:p>
        </w:tc>
        <w:tc>
          <w:tcPr>
            <w:tcW w:w="709" w:type="dxa"/>
            <w:shd w:val="clear" w:color="auto" w:fill="FFFFFF" w:themeFill="background1"/>
            <w:hideMark/>
          </w:tcPr>
          <w:p w14:paraId="68C4812A" w14:textId="77777777" w:rsidR="00CE14CC" w:rsidRPr="009575DB" w:rsidRDefault="00CE14CC" w:rsidP="00C54EE3">
            <w:pPr>
              <w:pStyle w:val="NormalWeb"/>
              <w:jc w:val="center"/>
              <w:rPr>
                <w:sz w:val="20"/>
                <w:szCs w:val="20"/>
              </w:rPr>
            </w:pPr>
            <w:r w:rsidRPr="009575DB">
              <w:rPr>
                <w:sz w:val="20"/>
                <w:szCs w:val="20"/>
              </w:rPr>
              <w:t>43</w:t>
            </w:r>
          </w:p>
        </w:tc>
        <w:tc>
          <w:tcPr>
            <w:tcW w:w="1134" w:type="dxa"/>
            <w:shd w:val="clear" w:color="auto" w:fill="FFFFFF" w:themeFill="background1"/>
            <w:hideMark/>
          </w:tcPr>
          <w:p w14:paraId="559C0744" w14:textId="77777777" w:rsidR="00CE14CC" w:rsidRPr="009575DB" w:rsidRDefault="00CE14CC" w:rsidP="00C54EE3">
            <w:pPr>
              <w:pStyle w:val="NormalWeb"/>
              <w:jc w:val="center"/>
              <w:rPr>
                <w:sz w:val="20"/>
                <w:szCs w:val="20"/>
              </w:rPr>
            </w:pPr>
            <w:r w:rsidRPr="009575DB">
              <w:rPr>
                <w:sz w:val="20"/>
                <w:szCs w:val="20"/>
              </w:rPr>
              <w:t>10%</w:t>
            </w:r>
          </w:p>
        </w:tc>
        <w:tc>
          <w:tcPr>
            <w:tcW w:w="850" w:type="dxa"/>
            <w:shd w:val="clear" w:color="auto" w:fill="F2F2F2" w:themeFill="background1" w:themeFillShade="F2"/>
            <w:hideMark/>
          </w:tcPr>
          <w:p w14:paraId="5DCFA1D4" w14:textId="77777777" w:rsidR="00CE14CC" w:rsidRPr="009575DB" w:rsidRDefault="00CE14CC" w:rsidP="00C54EE3">
            <w:pPr>
              <w:pStyle w:val="NormalWeb"/>
              <w:jc w:val="center"/>
              <w:rPr>
                <w:sz w:val="20"/>
                <w:szCs w:val="20"/>
              </w:rPr>
            </w:pPr>
            <w:r w:rsidRPr="009575DB">
              <w:rPr>
                <w:sz w:val="20"/>
                <w:szCs w:val="20"/>
              </w:rPr>
              <w:t>45</w:t>
            </w:r>
          </w:p>
        </w:tc>
        <w:tc>
          <w:tcPr>
            <w:tcW w:w="1560" w:type="dxa"/>
            <w:shd w:val="clear" w:color="auto" w:fill="F2F2F2" w:themeFill="background1" w:themeFillShade="F2"/>
            <w:hideMark/>
          </w:tcPr>
          <w:p w14:paraId="018031F6" w14:textId="77777777" w:rsidR="00CE14CC" w:rsidRPr="009575DB" w:rsidRDefault="00CE14CC" w:rsidP="00C54EE3">
            <w:pPr>
              <w:pStyle w:val="NormalWeb"/>
              <w:jc w:val="center"/>
              <w:rPr>
                <w:sz w:val="20"/>
                <w:szCs w:val="20"/>
              </w:rPr>
            </w:pPr>
            <w:r w:rsidRPr="009575DB">
              <w:rPr>
                <w:sz w:val="20"/>
                <w:szCs w:val="20"/>
              </w:rPr>
              <w:t>17%</w:t>
            </w:r>
          </w:p>
        </w:tc>
        <w:tc>
          <w:tcPr>
            <w:tcW w:w="992" w:type="dxa"/>
            <w:shd w:val="clear" w:color="auto" w:fill="FFFFFF" w:themeFill="background1"/>
            <w:hideMark/>
          </w:tcPr>
          <w:p w14:paraId="2E096C15" w14:textId="77777777" w:rsidR="00CE14CC" w:rsidRPr="009575DB" w:rsidRDefault="00CE14CC" w:rsidP="00C54EE3">
            <w:pPr>
              <w:pStyle w:val="NormalWeb"/>
              <w:jc w:val="center"/>
              <w:rPr>
                <w:sz w:val="20"/>
                <w:szCs w:val="20"/>
              </w:rPr>
            </w:pPr>
            <w:r w:rsidRPr="009575DB">
              <w:rPr>
                <w:sz w:val="20"/>
                <w:szCs w:val="20"/>
              </w:rPr>
              <w:t>322</w:t>
            </w:r>
          </w:p>
        </w:tc>
        <w:tc>
          <w:tcPr>
            <w:tcW w:w="1092" w:type="dxa"/>
            <w:shd w:val="clear" w:color="auto" w:fill="FFFFFF" w:themeFill="background1"/>
            <w:hideMark/>
          </w:tcPr>
          <w:p w14:paraId="3A842092" w14:textId="77777777" w:rsidR="00CE14CC" w:rsidRPr="009575DB" w:rsidRDefault="00CE14CC" w:rsidP="00C54EE3">
            <w:pPr>
              <w:pStyle w:val="NormalWeb"/>
              <w:jc w:val="center"/>
              <w:rPr>
                <w:sz w:val="20"/>
                <w:szCs w:val="20"/>
              </w:rPr>
            </w:pPr>
            <w:r w:rsidRPr="009575DB">
              <w:rPr>
                <w:sz w:val="20"/>
                <w:szCs w:val="20"/>
              </w:rPr>
              <w:t>13.3%</w:t>
            </w:r>
          </w:p>
        </w:tc>
      </w:tr>
      <w:tr w:rsidR="00614426" w:rsidRPr="009575DB" w14:paraId="7FE8810A"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7B119387" w14:textId="77777777" w:rsidR="00CE14CC" w:rsidRPr="009575DB" w:rsidRDefault="00CE14CC">
            <w:pPr>
              <w:pStyle w:val="NormalWeb"/>
              <w:rPr>
                <w:sz w:val="20"/>
                <w:szCs w:val="20"/>
              </w:rPr>
            </w:pPr>
            <w:r w:rsidRPr="009575DB">
              <w:rPr>
                <w:sz w:val="20"/>
                <w:szCs w:val="20"/>
                <w:lang w:val="en-US"/>
              </w:rPr>
              <w:t>Rash</w:t>
            </w:r>
          </w:p>
        </w:tc>
        <w:tc>
          <w:tcPr>
            <w:tcW w:w="709" w:type="dxa"/>
            <w:hideMark/>
          </w:tcPr>
          <w:p w14:paraId="6C559A73" w14:textId="77777777" w:rsidR="00CE14CC" w:rsidRPr="009575DB" w:rsidRDefault="00CE14CC" w:rsidP="00C54EE3">
            <w:pPr>
              <w:pStyle w:val="NormalWeb"/>
              <w:jc w:val="center"/>
              <w:rPr>
                <w:sz w:val="20"/>
                <w:szCs w:val="20"/>
              </w:rPr>
            </w:pPr>
            <w:r w:rsidRPr="009575DB">
              <w:rPr>
                <w:sz w:val="20"/>
                <w:szCs w:val="20"/>
              </w:rPr>
              <w:t>68</w:t>
            </w:r>
          </w:p>
        </w:tc>
        <w:tc>
          <w:tcPr>
            <w:tcW w:w="1134" w:type="dxa"/>
            <w:hideMark/>
          </w:tcPr>
          <w:p w14:paraId="2B132A16" w14:textId="77777777" w:rsidR="00CE14CC" w:rsidRPr="009575DB" w:rsidRDefault="00CE14CC" w:rsidP="00C54EE3">
            <w:pPr>
              <w:pStyle w:val="NormalWeb"/>
              <w:jc w:val="center"/>
              <w:rPr>
                <w:sz w:val="20"/>
                <w:szCs w:val="20"/>
              </w:rPr>
            </w:pPr>
            <w:r w:rsidRPr="009575DB">
              <w:rPr>
                <w:sz w:val="20"/>
                <w:szCs w:val="20"/>
              </w:rPr>
              <w:t>14%</w:t>
            </w:r>
          </w:p>
        </w:tc>
        <w:tc>
          <w:tcPr>
            <w:tcW w:w="709" w:type="dxa"/>
            <w:shd w:val="clear" w:color="auto" w:fill="FFFFFF" w:themeFill="background1"/>
            <w:hideMark/>
          </w:tcPr>
          <w:p w14:paraId="19424EA8" w14:textId="77777777" w:rsidR="00CE14CC" w:rsidRPr="009575DB" w:rsidRDefault="00CE14CC" w:rsidP="00C54EE3">
            <w:pPr>
              <w:pStyle w:val="NormalWeb"/>
              <w:jc w:val="center"/>
              <w:rPr>
                <w:sz w:val="20"/>
                <w:szCs w:val="20"/>
              </w:rPr>
            </w:pPr>
            <w:r w:rsidRPr="009575DB">
              <w:rPr>
                <w:sz w:val="20"/>
                <w:szCs w:val="20"/>
              </w:rPr>
              <w:t>112</w:t>
            </w:r>
          </w:p>
        </w:tc>
        <w:tc>
          <w:tcPr>
            <w:tcW w:w="1134" w:type="dxa"/>
            <w:shd w:val="clear" w:color="auto" w:fill="FFFFFF" w:themeFill="background1"/>
            <w:hideMark/>
          </w:tcPr>
          <w:p w14:paraId="1FD05382" w14:textId="77777777" w:rsidR="00CE14CC" w:rsidRPr="009575DB" w:rsidRDefault="00CE14CC" w:rsidP="00C54EE3">
            <w:pPr>
              <w:pStyle w:val="NormalWeb"/>
              <w:jc w:val="center"/>
              <w:rPr>
                <w:sz w:val="20"/>
                <w:szCs w:val="20"/>
              </w:rPr>
            </w:pPr>
            <w:r w:rsidRPr="009575DB">
              <w:rPr>
                <w:sz w:val="20"/>
                <w:szCs w:val="20"/>
              </w:rPr>
              <w:t>13%</w:t>
            </w:r>
          </w:p>
        </w:tc>
        <w:tc>
          <w:tcPr>
            <w:tcW w:w="1276" w:type="dxa"/>
            <w:hideMark/>
          </w:tcPr>
          <w:p w14:paraId="162058DA" w14:textId="77777777" w:rsidR="00CE14CC" w:rsidRPr="009575DB" w:rsidRDefault="00CE14CC" w:rsidP="00C54EE3">
            <w:pPr>
              <w:pStyle w:val="NormalWeb"/>
              <w:jc w:val="center"/>
              <w:rPr>
                <w:sz w:val="20"/>
                <w:szCs w:val="20"/>
              </w:rPr>
            </w:pPr>
            <w:r w:rsidRPr="009575DB">
              <w:rPr>
                <w:sz w:val="20"/>
                <w:szCs w:val="20"/>
              </w:rPr>
              <w:t>41</w:t>
            </w:r>
          </w:p>
        </w:tc>
        <w:tc>
          <w:tcPr>
            <w:tcW w:w="1417" w:type="dxa"/>
            <w:hideMark/>
          </w:tcPr>
          <w:p w14:paraId="71FD66A1" w14:textId="77777777" w:rsidR="00CE14CC" w:rsidRPr="009575DB" w:rsidRDefault="00CE14CC" w:rsidP="00C54EE3">
            <w:pPr>
              <w:pStyle w:val="NormalWeb"/>
              <w:jc w:val="center"/>
              <w:rPr>
                <w:sz w:val="20"/>
                <w:szCs w:val="20"/>
              </w:rPr>
            </w:pPr>
            <w:r w:rsidRPr="009575DB">
              <w:rPr>
                <w:sz w:val="20"/>
                <w:szCs w:val="20"/>
              </w:rPr>
              <w:t>10%</w:t>
            </w:r>
          </w:p>
        </w:tc>
        <w:tc>
          <w:tcPr>
            <w:tcW w:w="709" w:type="dxa"/>
            <w:shd w:val="clear" w:color="auto" w:fill="FFFFFF" w:themeFill="background1"/>
            <w:hideMark/>
          </w:tcPr>
          <w:p w14:paraId="21571A9D" w14:textId="77777777" w:rsidR="00CE14CC" w:rsidRPr="009575DB" w:rsidRDefault="00CE14CC" w:rsidP="00C54EE3">
            <w:pPr>
              <w:pStyle w:val="NormalWeb"/>
              <w:jc w:val="center"/>
              <w:rPr>
                <w:sz w:val="20"/>
                <w:szCs w:val="20"/>
              </w:rPr>
            </w:pPr>
            <w:r w:rsidRPr="009575DB">
              <w:rPr>
                <w:sz w:val="20"/>
                <w:szCs w:val="20"/>
              </w:rPr>
              <w:t>16</w:t>
            </w:r>
          </w:p>
        </w:tc>
        <w:tc>
          <w:tcPr>
            <w:tcW w:w="1134" w:type="dxa"/>
            <w:shd w:val="clear" w:color="auto" w:fill="FFFFFF" w:themeFill="background1"/>
            <w:hideMark/>
          </w:tcPr>
          <w:p w14:paraId="25A4B0B5" w14:textId="77777777" w:rsidR="00CE14CC" w:rsidRPr="009575DB" w:rsidRDefault="00CE14CC" w:rsidP="00C54EE3">
            <w:pPr>
              <w:pStyle w:val="NormalWeb"/>
              <w:jc w:val="center"/>
              <w:rPr>
                <w:sz w:val="20"/>
                <w:szCs w:val="20"/>
              </w:rPr>
            </w:pPr>
            <w:r w:rsidRPr="009575DB">
              <w:rPr>
                <w:sz w:val="20"/>
                <w:szCs w:val="20"/>
              </w:rPr>
              <w:t>4%</w:t>
            </w:r>
          </w:p>
        </w:tc>
        <w:tc>
          <w:tcPr>
            <w:tcW w:w="850" w:type="dxa"/>
            <w:hideMark/>
          </w:tcPr>
          <w:p w14:paraId="3A1BE805" w14:textId="77777777" w:rsidR="00CE14CC" w:rsidRPr="009575DB" w:rsidRDefault="00CE14CC" w:rsidP="00C54EE3">
            <w:pPr>
              <w:pStyle w:val="NormalWeb"/>
              <w:jc w:val="center"/>
              <w:rPr>
                <w:sz w:val="20"/>
                <w:szCs w:val="20"/>
              </w:rPr>
            </w:pPr>
            <w:r w:rsidRPr="009575DB">
              <w:rPr>
                <w:sz w:val="20"/>
                <w:szCs w:val="20"/>
              </w:rPr>
              <w:t>10</w:t>
            </w:r>
          </w:p>
        </w:tc>
        <w:tc>
          <w:tcPr>
            <w:tcW w:w="1560" w:type="dxa"/>
            <w:hideMark/>
          </w:tcPr>
          <w:p w14:paraId="5BA0E09B" w14:textId="77777777" w:rsidR="00CE14CC" w:rsidRPr="009575DB" w:rsidRDefault="00CE14CC" w:rsidP="00C54EE3">
            <w:pPr>
              <w:pStyle w:val="NormalWeb"/>
              <w:jc w:val="center"/>
              <w:rPr>
                <w:sz w:val="20"/>
                <w:szCs w:val="20"/>
              </w:rPr>
            </w:pPr>
            <w:r w:rsidRPr="009575DB">
              <w:rPr>
                <w:sz w:val="20"/>
                <w:szCs w:val="20"/>
              </w:rPr>
              <w:t>4%</w:t>
            </w:r>
          </w:p>
        </w:tc>
        <w:tc>
          <w:tcPr>
            <w:tcW w:w="992" w:type="dxa"/>
            <w:shd w:val="clear" w:color="auto" w:fill="FFFFFF" w:themeFill="background1"/>
            <w:hideMark/>
          </w:tcPr>
          <w:p w14:paraId="45D57D83" w14:textId="77777777" w:rsidR="00CE14CC" w:rsidRPr="009575DB" w:rsidRDefault="00CE14CC" w:rsidP="00C54EE3">
            <w:pPr>
              <w:pStyle w:val="NormalWeb"/>
              <w:jc w:val="center"/>
              <w:rPr>
                <w:sz w:val="20"/>
                <w:szCs w:val="20"/>
              </w:rPr>
            </w:pPr>
            <w:r w:rsidRPr="009575DB">
              <w:rPr>
                <w:sz w:val="20"/>
                <w:szCs w:val="20"/>
              </w:rPr>
              <w:t>247</w:t>
            </w:r>
          </w:p>
        </w:tc>
        <w:tc>
          <w:tcPr>
            <w:tcW w:w="1092" w:type="dxa"/>
            <w:shd w:val="clear" w:color="auto" w:fill="FFFFFF" w:themeFill="background1"/>
            <w:hideMark/>
          </w:tcPr>
          <w:p w14:paraId="2A3CF750" w14:textId="77777777" w:rsidR="00CE14CC" w:rsidRPr="009575DB" w:rsidRDefault="00CE14CC" w:rsidP="00C54EE3">
            <w:pPr>
              <w:pStyle w:val="NormalWeb"/>
              <w:jc w:val="center"/>
              <w:rPr>
                <w:sz w:val="20"/>
                <w:szCs w:val="20"/>
              </w:rPr>
            </w:pPr>
            <w:r w:rsidRPr="009575DB">
              <w:rPr>
                <w:sz w:val="20"/>
                <w:szCs w:val="20"/>
              </w:rPr>
              <w:t>10.2%</w:t>
            </w:r>
          </w:p>
        </w:tc>
      </w:tr>
      <w:tr w:rsidR="00614426" w:rsidRPr="009575DB" w14:paraId="6F0161E1" w14:textId="77777777" w:rsidTr="00B06A5B">
        <w:tc>
          <w:tcPr>
            <w:tcW w:w="2268" w:type="dxa"/>
            <w:shd w:val="clear" w:color="auto" w:fill="FFFFFF" w:themeFill="background1"/>
            <w:hideMark/>
          </w:tcPr>
          <w:p w14:paraId="15AB59B1" w14:textId="77777777" w:rsidR="00CE14CC" w:rsidRPr="009575DB" w:rsidRDefault="00CE14CC">
            <w:pPr>
              <w:pStyle w:val="NormalWeb"/>
              <w:rPr>
                <w:sz w:val="20"/>
                <w:szCs w:val="20"/>
              </w:rPr>
            </w:pPr>
            <w:r w:rsidRPr="009575DB">
              <w:rPr>
                <w:sz w:val="20"/>
                <w:szCs w:val="20"/>
                <w:lang w:val="en-US"/>
              </w:rPr>
              <w:t>Drug errors</w:t>
            </w:r>
          </w:p>
        </w:tc>
        <w:tc>
          <w:tcPr>
            <w:tcW w:w="709" w:type="dxa"/>
            <w:shd w:val="clear" w:color="auto" w:fill="F2F2F2" w:themeFill="background1" w:themeFillShade="F2"/>
            <w:hideMark/>
          </w:tcPr>
          <w:p w14:paraId="699C94EB" w14:textId="77777777" w:rsidR="00CE14CC" w:rsidRPr="009575DB" w:rsidRDefault="00CE14CC" w:rsidP="00C54EE3">
            <w:pPr>
              <w:pStyle w:val="NormalWeb"/>
              <w:jc w:val="center"/>
              <w:rPr>
                <w:sz w:val="20"/>
                <w:szCs w:val="20"/>
              </w:rPr>
            </w:pPr>
            <w:r w:rsidRPr="009575DB">
              <w:rPr>
                <w:sz w:val="20"/>
                <w:szCs w:val="20"/>
              </w:rPr>
              <w:t>44</w:t>
            </w:r>
          </w:p>
        </w:tc>
        <w:tc>
          <w:tcPr>
            <w:tcW w:w="1134" w:type="dxa"/>
            <w:shd w:val="clear" w:color="auto" w:fill="F2F2F2" w:themeFill="background1" w:themeFillShade="F2"/>
            <w:hideMark/>
          </w:tcPr>
          <w:p w14:paraId="3709EF5C" w14:textId="77777777" w:rsidR="00CE14CC" w:rsidRPr="009575DB" w:rsidRDefault="00CE14CC" w:rsidP="00C54EE3">
            <w:pPr>
              <w:pStyle w:val="NormalWeb"/>
              <w:jc w:val="center"/>
              <w:rPr>
                <w:sz w:val="20"/>
                <w:szCs w:val="20"/>
              </w:rPr>
            </w:pPr>
            <w:r w:rsidRPr="009575DB">
              <w:rPr>
                <w:sz w:val="20"/>
                <w:szCs w:val="20"/>
              </w:rPr>
              <w:t>9%</w:t>
            </w:r>
          </w:p>
        </w:tc>
        <w:tc>
          <w:tcPr>
            <w:tcW w:w="709" w:type="dxa"/>
            <w:shd w:val="clear" w:color="auto" w:fill="FFFFFF" w:themeFill="background1"/>
            <w:hideMark/>
          </w:tcPr>
          <w:p w14:paraId="13307D28" w14:textId="77777777" w:rsidR="00CE14CC" w:rsidRPr="009575DB" w:rsidRDefault="00CE14CC" w:rsidP="00C54EE3">
            <w:pPr>
              <w:pStyle w:val="NormalWeb"/>
              <w:jc w:val="center"/>
              <w:rPr>
                <w:sz w:val="20"/>
                <w:szCs w:val="20"/>
              </w:rPr>
            </w:pPr>
            <w:r w:rsidRPr="009575DB">
              <w:rPr>
                <w:sz w:val="20"/>
                <w:szCs w:val="20"/>
              </w:rPr>
              <w:t>83</w:t>
            </w:r>
          </w:p>
        </w:tc>
        <w:tc>
          <w:tcPr>
            <w:tcW w:w="1134" w:type="dxa"/>
            <w:shd w:val="clear" w:color="auto" w:fill="FFFFFF" w:themeFill="background1"/>
            <w:hideMark/>
          </w:tcPr>
          <w:p w14:paraId="463E2E1D" w14:textId="77777777" w:rsidR="00CE14CC" w:rsidRPr="009575DB" w:rsidRDefault="00CE14CC" w:rsidP="00C54EE3">
            <w:pPr>
              <w:pStyle w:val="NormalWeb"/>
              <w:jc w:val="center"/>
              <w:rPr>
                <w:sz w:val="20"/>
                <w:szCs w:val="20"/>
              </w:rPr>
            </w:pPr>
            <w:r w:rsidRPr="009575DB">
              <w:rPr>
                <w:sz w:val="20"/>
                <w:szCs w:val="20"/>
              </w:rPr>
              <w:t>10%</w:t>
            </w:r>
          </w:p>
        </w:tc>
        <w:tc>
          <w:tcPr>
            <w:tcW w:w="1276" w:type="dxa"/>
            <w:shd w:val="clear" w:color="auto" w:fill="F2F2F2" w:themeFill="background1" w:themeFillShade="F2"/>
            <w:hideMark/>
          </w:tcPr>
          <w:p w14:paraId="5A7BEC6B" w14:textId="77777777" w:rsidR="00CE14CC" w:rsidRPr="009575DB" w:rsidRDefault="00CE14CC" w:rsidP="00C54EE3">
            <w:pPr>
              <w:pStyle w:val="NormalWeb"/>
              <w:jc w:val="center"/>
              <w:rPr>
                <w:sz w:val="20"/>
                <w:szCs w:val="20"/>
              </w:rPr>
            </w:pPr>
            <w:r w:rsidRPr="009575DB">
              <w:rPr>
                <w:sz w:val="20"/>
                <w:szCs w:val="20"/>
              </w:rPr>
              <w:t>34</w:t>
            </w:r>
          </w:p>
        </w:tc>
        <w:tc>
          <w:tcPr>
            <w:tcW w:w="1417" w:type="dxa"/>
            <w:shd w:val="clear" w:color="auto" w:fill="F2F2F2" w:themeFill="background1" w:themeFillShade="F2"/>
            <w:hideMark/>
          </w:tcPr>
          <w:p w14:paraId="5F29B590" w14:textId="77777777" w:rsidR="00CE14CC" w:rsidRPr="009575DB" w:rsidRDefault="00CE14CC" w:rsidP="00C54EE3">
            <w:pPr>
              <w:pStyle w:val="NormalWeb"/>
              <w:jc w:val="center"/>
              <w:rPr>
                <w:sz w:val="20"/>
                <w:szCs w:val="20"/>
              </w:rPr>
            </w:pPr>
            <w:r w:rsidRPr="009575DB">
              <w:rPr>
                <w:sz w:val="20"/>
                <w:szCs w:val="20"/>
              </w:rPr>
              <w:t>9%</w:t>
            </w:r>
          </w:p>
        </w:tc>
        <w:tc>
          <w:tcPr>
            <w:tcW w:w="709" w:type="dxa"/>
            <w:shd w:val="clear" w:color="auto" w:fill="FFFFFF" w:themeFill="background1"/>
            <w:hideMark/>
          </w:tcPr>
          <w:p w14:paraId="5E273658" w14:textId="77777777" w:rsidR="00CE14CC" w:rsidRPr="009575DB" w:rsidRDefault="00CE14CC" w:rsidP="00C54EE3">
            <w:pPr>
              <w:pStyle w:val="NormalWeb"/>
              <w:jc w:val="center"/>
              <w:rPr>
                <w:sz w:val="20"/>
                <w:szCs w:val="20"/>
              </w:rPr>
            </w:pPr>
            <w:r w:rsidRPr="009575DB">
              <w:rPr>
                <w:sz w:val="20"/>
                <w:szCs w:val="20"/>
              </w:rPr>
              <w:t>27</w:t>
            </w:r>
          </w:p>
        </w:tc>
        <w:tc>
          <w:tcPr>
            <w:tcW w:w="1134" w:type="dxa"/>
            <w:shd w:val="clear" w:color="auto" w:fill="FFFFFF" w:themeFill="background1"/>
            <w:hideMark/>
          </w:tcPr>
          <w:p w14:paraId="215CB06D" w14:textId="77777777" w:rsidR="00CE14CC" w:rsidRPr="009575DB" w:rsidRDefault="00CE14CC" w:rsidP="00C54EE3">
            <w:pPr>
              <w:pStyle w:val="NormalWeb"/>
              <w:jc w:val="center"/>
              <w:rPr>
                <w:sz w:val="20"/>
                <w:szCs w:val="20"/>
              </w:rPr>
            </w:pPr>
            <w:r w:rsidRPr="009575DB">
              <w:rPr>
                <w:sz w:val="20"/>
                <w:szCs w:val="20"/>
              </w:rPr>
              <w:t>6%</w:t>
            </w:r>
          </w:p>
        </w:tc>
        <w:tc>
          <w:tcPr>
            <w:tcW w:w="850" w:type="dxa"/>
            <w:shd w:val="clear" w:color="auto" w:fill="F2F2F2" w:themeFill="background1" w:themeFillShade="F2"/>
            <w:hideMark/>
          </w:tcPr>
          <w:p w14:paraId="7BE912FF" w14:textId="77777777" w:rsidR="00CE14CC" w:rsidRPr="009575DB" w:rsidRDefault="00CE14CC" w:rsidP="00C54EE3">
            <w:pPr>
              <w:pStyle w:val="NormalWeb"/>
              <w:jc w:val="center"/>
              <w:rPr>
                <w:sz w:val="20"/>
                <w:szCs w:val="20"/>
              </w:rPr>
            </w:pPr>
            <w:r w:rsidRPr="009575DB">
              <w:rPr>
                <w:sz w:val="20"/>
                <w:szCs w:val="20"/>
              </w:rPr>
              <w:t>27</w:t>
            </w:r>
          </w:p>
        </w:tc>
        <w:tc>
          <w:tcPr>
            <w:tcW w:w="1560" w:type="dxa"/>
            <w:shd w:val="clear" w:color="auto" w:fill="F2F2F2" w:themeFill="background1" w:themeFillShade="F2"/>
            <w:hideMark/>
          </w:tcPr>
          <w:p w14:paraId="378AB2D4" w14:textId="77777777" w:rsidR="00CE14CC" w:rsidRPr="009575DB" w:rsidRDefault="00CE14CC" w:rsidP="00C54EE3">
            <w:pPr>
              <w:pStyle w:val="NormalWeb"/>
              <w:jc w:val="center"/>
              <w:rPr>
                <w:sz w:val="20"/>
                <w:szCs w:val="20"/>
              </w:rPr>
            </w:pPr>
            <w:r w:rsidRPr="009575DB">
              <w:rPr>
                <w:sz w:val="20"/>
                <w:szCs w:val="20"/>
              </w:rPr>
              <w:t>10%</w:t>
            </w:r>
          </w:p>
        </w:tc>
        <w:tc>
          <w:tcPr>
            <w:tcW w:w="992" w:type="dxa"/>
            <w:shd w:val="clear" w:color="auto" w:fill="FFFFFF" w:themeFill="background1"/>
            <w:hideMark/>
          </w:tcPr>
          <w:p w14:paraId="5EFB41F6" w14:textId="77777777" w:rsidR="00CE14CC" w:rsidRPr="009575DB" w:rsidRDefault="00CE14CC" w:rsidP="00C54EE3">
            <w:pPr>
              <w:pStyle w:val="NormalWeb"/>
              <w:jc w:val="center"/>
              <w:rPr>
                <w:sz w:val="20"/>
                <w:szCs w:val="20"/>
              </w:rPr>
            </w:pPr>
            <w:r w:rsidRPr="009575DB">
              <w:rPr>
                <w:sz w:val="20"/>
                <w:szCs w:val="20"/>
              </w:rPr>
              <w:t>215</w:t>
            </w:r>
          </w:p>
        </w:tc>
        <w:tc>
          <w:tcPr>
            <w:tcW w:w="1092" w:type="dxa"/>
            <w:shd w:val="clear" w:color="auto" w:fill="FFFFFF" w:themeFill="background1"/>
            <w:hideMark/>
          </w:tcPr>
          <w:p w14:paraId="681E5720" w14:textId="77777777" w:rsidR="00CE14CC" w:rsidRPr="009575DB" w:rsidRDefault="00CE14CC" w:rsidP="00C54EE3">
            <w:pPr>
              <w:pStyle w:val="NormalWeb"/>
              <w:jc w:val="center"/>
              <w:rPr>
                <w:sz w:val="20"/>
                <w:szCs w:val="20"/>
              </w:rPr>
            </w:pPr>
            <w:r w:rsidRPr="009575DB">
              <w:rPr>
                <w:sz w:val="20"/>
                <w:szCs w:val="20"/>
              </w:rPr>
              <w:t>8.9%</w:t>
            </w:r>
          </w:p>
        </w:tc>
      </w:tr>
      <w:tr w:rsidR="00614426" w:rsidRPr="009575DB" w14:paraId="38DCC3BA"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2314ED3A" w14:textId="77777777" w:rsidR="00CE14CC" w:rsidRPr="009575DB" w:rsidRDefault="00CE14CC">
            <w:pPr>
              <w:pStyle w:val="NormalWeb"/>
              <w:rPr>
                <w:sz w:val="20"/>
                <w:szCs w:val="20"/>
              </w:rPr>
            </w:pPr>
            <w:r w:rsidRPr="009575DB">
              <w:rPr>
                <w:sz w:val="20"/>
                <w:szCs w:val="20"/>
                <w:lang w:val="en-US"/>
              </w:rPr>
              <w:t>Injection site reaction (severe)</w:t>
            </w:r>
          </w:p>
        </w:tc>
        <w:tc>
          <w:tcPr>
            <w:tcW w:w="709" w:type="dxa"/>
            <w:hideMark/>
          </w:tcPr>
          <w:p w14:paraId="74DD808A" w14:textId="77777777" w:rsidR="00CE14CC" w:rsidRPr="009575DB" w:rsidRDefault="00CE14CC" w:rsidP="00C54EE3">
            <w:pPr>
              <w:pStyle w:val="NormalWeb"/>
              <w:jc w:val="center"/>
              <w:rPr>
                <w:sz w:val="20"/>
                <w:szCs w:val="20"/>
              </w:rPr>
            </w:pPr>
            <w:r w:rsidRPr="009575DB">
              <w:rPr>
                <w:sz w:val="20"/>
                <w:szCs w:val="20"/>
              </w:rPr>
              <w:t>7</w:t>
            </w:r>
          </w:p>
        </w:tc>
        <w:tc>
          <w:tcPr>
            <w:tcW w:w="1134" w:type="dxa"/>
            <w:hideMark/>
          </w:tcPr>
          <w:p w14:paraId="7099305B"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C6D9F1" w:themeFill="text2" w:themeFillTint="33"/>
            <w:hideMark/>
          </w:tcPr>
          <w:p w14:paraId="3FE10793" w14:textId="77777777" w:rsidR="00CE14CC" w:rsidRPr="00B06A5B" w:rsidRDefault="00CE14CC" w:rsidP="00C54EE3">
            <w:pPr>
              <w:pStyle w:val="NormalWeb"/>
              <w:jc w:val="center"/>
              <w:rPr>
                <w:b/>
                <w:sz w:val="20"/>
                <w:szCs w:val="20"/>
              </w:rPr>
            </w:pPr>
            <w:r w:rsidRPr="00B06A5B">
              <w:rPr>
                <w:b/>
                <w:sz w:val="20"/>
                <w:szCs w:val="20"/>
              </w:rPr>
              <w:t>128</w:t>
            </w:r>
          </w:p>
        </w:tc>
        <w:tc>
          <w:tcPr>
            <w:tcW w:w="1134" w:type="dxa"/>
            <w:shd w:val="clear" w:color="auto" w:fill="C6D9F1" w:themeFill="text2" w:themeFillTint="33"/>
            <w:hideMark/>
          </w:tcPr>
          <w:p w14:paraId="36EC5743" w14:textId="77777777" w:rsidR="00CE14CC" w:rsidRPr="00B06A5B" w:rsidRDefault="00CE14CC" w:rsidP="00C54EE3">
            <w:pPr>
              <w:pStyle w:val="NormalWeb"/>
              <w:jc w:val="center"/>
              <w:rPr>
                <w:b/>
                <w:sz w:val="20"/>
                <w:szCs w:val="20"/>
              </w:rPr>
            </w:pPr>
            <w:r w:rsidRPr="00B06A5B">
              <w:rPr>
                <w:b/>
                <w:sz w:val="20"/>
                <w:szCs w:val="20"/>
              </w:rPr>
              <w:t>15%</w:t>
            </w:r>
          </w:p>
        </w:tc>
        <w:tc>
          <w:tcPr>
            <w:tcW w:w="1276" w:type="dxa"/>
            <w:hideMark/>
          </w:tcPr>
          <w:p w14:paraId="23DC7C69" w14:textId="77777777" w:rsidR="00CE14CC" w:rsidRPr="009575DB" w:rsidRDefault="00CE14CC" w:rsidP="00C54EE3">
            <w:pPr>
              <w:pStyle w:val="NormalWeb"/>
              <w:jc w:val="center"/>
              <w:rPr>
                <w:sz w:val="20"/>
                <w:szCs w:val="20"/>
              </w:rPr>
            </w:pPr>
            <w:r w:rsidRPr="009575DB">
              <w:rPr>
                <w:sz w:val="20"/>
                <w:szCs w:val="20"/>
              </w:rPr>
              <w:t>23</w:t>
            </w:r>
          </w:p>
        </w:tc>
        <w:tc>
          <w:tcPr>
            <w:tcW w:w="1417" w:type="dxa"/>
            <w:hideMark/>
          </w:tcPr>
          <w:p w14:paraId="5C9D7E2B" w14:textId="77777777" w:rsidR="00CE14CC" w:rsidRPr="009575DB" w:rsidRDefault="00CE14CC" w:rsidP="00C54EE3">
            <w:pPr>
              <w:pStyle w:val="NormalWeb"/>
              <w:jc w:val="center"/>
              <w:rPr>
                <w:sz w:val="20"/>
                <w:szCs w:val="20"/>
              </w:rPr>
            </w:pPr>
            <w:r w:rsidRPr="009575DB">
              <w:rPr>
                <w:sz w:val="20"/>
                <w:szCs w:val="20"/>
              </w:rPr>
              <w:t>6%</w:t>
            </w:r>
          </w:p>
        </w:tc>
        <w:tc>
          <w:tcPr>
            <w:tcW w:w="709" w:type="dxa"/>
            <w:shd w:val="clear" w:color="auto" w:fill="FFFFFF" w:themeFill="background1"/>
            <w:hideMark/>
          </w:tcPr>
          <w:p w14:paraId="20FE100A" w14:textId="77777777" w:rsidR="00CE14CC" w:rsidRPr="009575DB" w:rsidRDefault="00CE14CC" w:rsidP="00C54EE3">
            <w:pPr>
              <w:pStyle w:val="NormalWeb"/>
              <w:jc w:val="center"/>
              <w:rPr>
                <w:sz w:val="20"/>
                <w:szCs w:val="20"/>
              </w:rPr>
            </w:pPr>
            <w:r w:rsidRPr="009575DB">
              <w:rPr>
                <w:sz w:val="20"/>
                <w:szCs w:val="20"/>
              </w:rPr>
              <w:t>18</w:t>
            </w:r>
          </w:p>
        </w:tc>
        <w:tc>
          <w:tcPr>
            <w:tcW w:w="1134" w:type="dxa"/>
            <w:shd w:val="clear" w:color="auto" w:fill="FFFFFF" w:themeFill="background1"/>
            <w:hideMark/>
          </w:tcPr>
          <w:p w14:paraId="4DBA0FFF" w14:textId="77777777" w:rsidR="00CE14CC" w:rsidRPr="009575DB" w:rsidRDefault="00CE14CC" w:rsidP="00C54EE3">
            <w:pPr>
              <w:pStyle w:val="NormalWeb"/>
              <w:jc w:val="center"/>
              <w:rPr>
                <w:sz w:val="20"/>
                <w:szCs w:val="20"/>
              </w:rPr>
            </w:pPr>
            <w:r w:rsidRPr="009575DB">
              <w:rPr>
                <w:sz w:val="20"/>
                <w:szCs w:val="20"/>
              </w:rPr>
              <w:t>4%</w:t>
            </w:r>
          </w:p>
        </w:tc>
        <w:tc>
          <w:tcPr>
            <w:tcW w:w="850" w:type="dxa"/>
            <w:hideMark/>
          </w:tcPr>
          <w:p w14:paraId="76048499" w14:textId="77777777" w:rsidR="00CE14CC" w:rsidRPr="009575DB" w:rsidRDefault="00CE14CC" w:rsidP="00C54EE3">
            <w:pPr>
              <w:pStyle w:val="NormalWeb"/>
              <w:jc w:val="center"/>
              <w:rPr>
                <w:sz w:val="20"/>
                <w:szCs w:val="20"/>
              </w:rPr>
            </w:pPr>
            <w:r w:rsidRPr="009575DB">
              <w:rPr>
                <w:sz w:val="20"/>
                <w:szCs w:val="20"/>
              </w:rPr>
              <w:t>18</w:t>
            </w:r>
          </w:p>
        </w:tc>
        <w:tc>
          <w:tcPr>
            <w:tcW w:w="1560" w:type="dxa"/>
            <w:hideMark/>
          </w:tcPr>
          <w:p w14:paraId="265FCF0E" w14:textId="77777777" w:rsidR="00CE14CC" w:rsidRPr="009575DB" w:rsidRDefault="00CE14CC" w:rsidP="00C54EE3">
            <w:pPr>
              <w:pStyle w:val="NormalWeb"/>
              <w:jc w:val="center"/>
              <w:rPr>
                <w:sz w:val="20"/>
                <w:szCs w:val="20"/>
              </w:rPr>
            </w:pPr>
            <w:r w:rsidRPr="009575DB">
              <w:rPr>
                <w:sz w:val="20"/>
                <w:szCs w:val="20"/>
              </w:rPr>
              <w:t>7%</w:t>
            </w:r>
          </w:p>
        </w:tc>
        <w:tc>
          <w:tcPr>
            <w:tcW w:w="992" w:type="dxa"/>
            <w:shd w:val="clear" w:color="auto" w:fill="FFFFFF" w:themeFill="background1"/>
            <w:hideMark/>
          </w:tcPr>
          <w:p w14:paraId="44970E19" w14:textId="77777777" w:rsidR="00CE14CC" w:rsidRPr="009575DB" w:rsidRDefault="00CE14CC" w:rsidP="00C54EE3">
            <w:pPr>
              <w:pStyle w:val="NormalWeb"/>
              <w:jc w:val="center"/>
              <w:rPr>
                <w:sz w:val="20"/>
                <w:szCs w:val="20"/>
              </w:rPr>
            </w:pPr>
            <w:r w:rsidRPr="009575DB">
              <w:rPr>
                <w:sz w:val="20"/>
                <w:szCs w:val="20"/>
              </w:rPr>
              <w:t>194</w:t>
            </w:r>
          </w:p>
        </w:tc>
        <w:tc>
          <w:tcPr>
            <w:tcW w:w="1092" w:type="dxa"/>
            <w:shd w:val="clear" w:color="auto" w:fill="FFFFFF" w:themeFill="background1"/>
            <w:hideMark/>
          </w:tcPr>
          <w:p w14:paraId="7204AFE4" w14:textId="77777777" w:rsidR="00CE14CC" w:rsidRPr="009575DB" w:rsidRDefault="00CE14CC" w:rsidP="00C54EE3">
            <w:pPr>
              <w:pStyle w:val="NormalWeb"/>
              <w:jc w:val="center"/>
              <w:rPr>
                <w:sz w:val="20"/>
                <w:szCs w:val="20"/>
              </w:rPr>
            </w:pPr>
            <w:r w:rsidRPr="009575DB">
              <w:rPr>
                <w:sz w:val="20"/>
                <w:szCs w:val="20"/>
              </w:rPr>
              <w:t>8.0%</w:t>
            </w:r>
          </w:p>
        </w:tc>
      </w:tr>
      <w:tr w:rsidR="00614426" w:rsidRPr="009575DB" w14:paraId="1CDD0046" w14:textId="77777777" w:rsidTr="00B06A5B">
        <w:tc>
          <w:tcPr>
            <w:tcW w:w="2268" w:type="dxa"/>
            <w:shd w:val="clear" w:color="auto" w:fill="FFFFFF" w:themeFill="background1"/>
            <w:hideMark/>
          </w:tcPr>
          <w:p w14:paraId="084D80D4" w14:textId="77777777" w:rsidR="00CE14CC" w:rsidRPr="009575DB" w:rsidRDefault="00CE14CC">
            <w:pPr>
              <w:pStyle w:val="NormalWeb"/>
              <w:rPr>
                <w:sz w:val="20"/>
                <w:szCs w:val="20"/>
              </w:rPr>
            </w:pPr>
            <w:r w:rsidRPr="009575DB">
              <w:rPr>
                <w:sz w:val="20"/>
                <w:szCs w:val="20"/>
                <w:lang w:val="en-US"/>
              </w:rPr>
              <w:t>vomiting</w:t>
            </w:r>
          </w:p>
        </w:tc>
        <w:tc>
          <w:tcPr>
            <w:tcW w:w="709" w:type="dxa"/>
            <w:shd w:val="clear" w:color="auto" w:fill="F2F2F2" w:themeFill="background1" w:themeFillShade="F2"/>
            <w:hideMark/>
          </w:tcPr>
          <w:p w14:paraId="2053F8B8" w14:textId="77777777" w:rsidR="00CE14CC" w:rsidRPr="009575DB" w:rsidRDefault="00CE14CC" w:rsidP="00C54EE3">
            <w:pPr>
              <w:pStyle w:val="NormalWeb"/>
              <w:jc w:val="center"/>
              <w:rPr>
                <w:sz w:val="20"/>
                <w:szCs w:val="20"/>
              </w:rPr>
            </w:pPr>
            <w:r w:rsidRPr="009575DB">
              <w:rPr>
                <w:sz w:val="20"/>
                <w:szCs w:val="20"/>
              </w:rPr>
              <w:t>34</w:t>
            </w:r>
          </w:p>
        </w:tc>
        <w:tc>
          <w:tcPr>
            <w:tcW w:w="1134" w:type="dxa"/>
            <w:shd w:val="clear" w:color="auto" w:fill="F2F2F2" w:themeFill="background1" w:themeFillShade="F2"/>
            <w:hideMark/>
          </w:tcPr>
          <w:p w14:paraId="50796B0E" w14:textId="77777777" w:rsidR="00CE14CC" w:rsidRPr="009575DB" w:rsidRDefault="00CE14CC" w:rsidP="00C54EE3">
            <w:pPr>
              <w:pStyle w:val="NormalWeb"/>
              <w:jc w:val="center"/>
              <w:rPr>
                <w:sz w:val="20"/>
                <w:szCs w:val="20"/>
              </w:rPr>
            </w:pPr>
            <w:r w:rsidRPr="009575DB">
              <w:rPr>
                <w:sz w:val="20"/>
                <w:szCs w:val="20"/>
              </w:rPr>
              <w:t>7%</w:t>
            </w:r>
          </w:p>
        </w:tc>
        <w:tc>
          <w:tcPr>
            <w:tcW w:w="709" w:type="dxa"/>
            <w:shd w:val="clear" w:color="auto" w:fill="FFFFFF" w:themeFill="background1"/>
            <w:hideMark/>
          </w:tcPr>
          <w:p w14:paraId="5D0CEB79" w14:textId="77777777" w:rsidR="00CE14CC" w:rsidRPr="009575DB" w:rsidRDefault="00CE14CC" w:rsidP="00C54EE3">
            <w:pPr>
              <w:pStyle w:val="NormalWeb"/>
              <w:jc w:val="center"/>
              <w:rPr>
                <w:sz w:val="20"/>
                <w:szCs w:val="20"/>
              </w:rPr>
            </w:pPr>
            <w:r w:rsidRPr="009575DB">
              <w:rPr>
                <w:sz w:val="20"/>
                <w:szCs w:val="20"/>
              </w:rPr>
              <w:t>39</w:t>
            </w:r>
          </w:p>
        </w:tc>
        <w:tc>
          <w:tcPr>
            <w:tcW w:w="1134" w:type="dxa"/>
            <w:shd w:val="clear" w:color="auto" w:fill="FFFFFF" w:themeFill="background1"/>
            <w:hideMark/>
          </w:tcPr>
          <w:p w14:paraId="53B276AB" w14:textId="77777777" w:rsidR="00CE14CC" w:rsidRPr="009575DB" w:rsidRDefault="00CE14CC" w:rsidP="00C54EE3">
            <w:pPr>
              <w:pStyle w:val="NormalWeb"/>
              <w:jc w:val="center"/>
              <w:rPr>
                <w:sz w:val="20"/>
                <w:szCs w:val="20"/>
              </w:rPr>
            </w:pPr>
            <w:r w:rsidRPr="009575DB">
              <w:rPr>
                <w:sz w:val="20"/>
                <w:szCs w:val="20"/>
              </w:rPr>
              <w:t>5%</w:t>
            </w:r>
          </w:p>
        </w:tc>
        <w:tc>
          <w:tcPr>
            <w:tcW w:w="1276" w:type="dxa"/>
            <w:shd w:val="clear" w:color="auto" w:fill="F2F2F2" w:themeFill="background1" w:themeFillShade="F2"/>
            <w:hideMark/>
          </w:tcPr>
          <w:p w14:paraId="007F65AD" w14:textId="77777777" w:rsidR="00CE14CC" w:rsidRPr="009575DB" w:rsidRDefault="00CE14CC" w:rsidP="00C54EE3">
            <w:pPr>
              <w:pStyle w:val="NormalWeb"/>
              <w:jc w:val="center"/>
              <w:rPr>
                <w:sz w:val="20"/>
                <w:szCs w:val="20"/>
              </w:rPr>
            </w:pPr>
            <w:r w:rsidRPr="009575DB">
              <w:rPr>
                <w:sz w:val="20"/>
                <w:szCs w:val="20"/>
              </w:rPr>
              <w:t>13</w:t>
            </w:r>
          </w:p>
        </w:tc>
        <w:tc>
          <w:tcPr>
            <w:tcW w:w="1417" w:type="dxa"/>
            <w:shd w:val="clear" w:color="auto" w:fill="F2F2F2" w:themeFill="background1" w:themeFillShade="F2"/>
            <w:hideMark/>
          </w:tcPr>
          <w:p w14:paraId="326C5260" w14:textId="77777777" w:rsidR="00CE14CC" w:rsidRPr="009575DB" w:rsidRDefault="00CE14CC" w:rsidP="00C54EE3">
            <w:pPr>
              <w:pStyle w:val="NormalWeb"/>
              <w:jc w:val="center"/>
              <w:rPr>
                <w:sz w:val="20"/>
                <w:szCs w:val="20"/>
              </w:rPr>
            </w:pPr>
            <w:r w:rsidRPr="009575DB">
              <w:rPr>
                <w:sz w:val="20"/>
                <w:szCs w:val="20"/>
              </w:rPr>
              <w:t>3%</w:t>
            </w:r>
          </w:p>
        </w:tc>
        <w:tc>
          <w:tcPr>
            <w:tcW w:w="709" w:type="dxa"/>
            <w:shd w:val="clear" w:color="auto" w:fill="FFFFFF" w:themeFill="background1"/>
            <w:hideMark/>
          </w:tcPr>
          <w:p w14:paraId="00A0ED05" w14:textId="77777777" w:rsidR="00CE14CC" w:rsidRPr="009575DB" w:rsidRDefault="00CE14CC" w:rsidP="00C54EE3">
            <w:pPr>
              <w:pStyle w:val="NormalWeb"/>
              <w:jc w:val="center"/>
              <w:rPr>
                <w:sz w:val="20"/>
                <w:szCs w:val="20"/>
              </w:rPr>
            </w:pPr>
            <w:r w:rsidRPr="009575DB">
              <w:rPr>
                <w:sz w:val="20"/>
                <w:szCs w:val="20"/>
              </w:rPr>
              <w:t>16</w:t>
            </w:r>
          </w:p>
        </w:tc>
        <w:tc>
          <w:tcPr>
            <w:tcW w:w="1134" w:type="dxa"/>
            <w:shd w:val="clear" w:color="auto" w:fill="FFFFFF" w:themeFill="background1"/>
            <w:hideMark/>
          </w:tcPr>
          <w:p w14:paraId="38B18403" w14:textId="77777777" w:rsidR="00CE14CC" w:rsidRPr="009575DB" w:rsidRDefault="00CE14CC" w:rsidP="00C54EE3">
            <w:pPr>
              <w:pStyle w:val="NormalWeb"/>
              <w:jc w:val="center"/>
              <w:rPr>
                <w:sz w:val="20"/>
                <w:szCs w:val="20"/>
              </w:rPr>
            </w:pPr>
            <w:r w:rsidRPr="009575DB">
              <w:rPr>
                <w:sz w:val="20"/>
                <w:szCs w:val="20"/>
              </w:rPr>
              <w:t>4%</w:t>
            </w:r>
          </w:p>
        </w:tc>
        <w:tc>
          <w:tcPr>
            <w:tcW w:w="850" w:type="dxa"/>
            <w:shd w:val="clear" w:color="auto" w:fill="F2F2F2" w:themeFill="background1" w:themeFillShade="F2"/>
            <w:hideMark/>
          </w:tcPr>
          <w:p w14:paraId="0D224937" w14:textId="77777777" w:rsidR="00CE14CC" w:rsidRPr="009575DB" w:rsidRDefault="00CE14CC" w:rsidP="00C54EE3">
            <w:pPr>
              <w:pStyle w:val="NormalWeb"/>
              <w:jc w:val="center"/>
              <w:rPr>
                <w:sz w:val="20"/>
                <w:szCs w:val="20"/>
              </w:rPr>
            </w:pPr>
            <w:r w:rsidRPr="009575DB">
              <w:rPr>
                <w:sz w:val="20"/>
                <w:szCs w:val="20"/>
              </w:rPr>
              <w:t>6</w:t>
            </w:r>
          </w:p>
        </w:tc>
        <w:tc>
          <w:tcPr>
            <w:tcW w:w="1560" w:type="dxa"/>
            <w:shd w:val="clear" w:color="auto" w:fill="F2F2F2" w:themeFill="background1" w:themeFillShade="F2"/>
            <w:hideMark/>
          </w:tcPr>
          <w:p w14:paraId="775F6957" w14:textId="77777777" w:rsidR="00CE14CC" w:rsidRPr="009575DB" w:rsidRDefault="00CE14CC" w:rsidP="00C54EE3">
            <w:pPr>
              <w:pStyle w:val="NormalWeb"/>
              <w:jc w:val="center"/>
              <w:rPr>
                <w:sz w:val="20"/>
                <w:szCs w:val="20"/>
              </w:rPr>
            </w:pPr>
            <w:r w:rsidRPr="009575DB">
              <w:rPr>
                <w:sz w:val="20"/>
                <w:szCs w:val="20"/>
              </w:rPr>
              <w:t>2%</w:t>
            </w:r>
          </w:p>
        </w:tc>
        <w:tc>
          <w:tcPr>
            <w:tcW w:w="992" w:type="dxa"/>
            <w:shd w:val="clear" w:color="auto" w:fill="FFFFFF" w:themeFill="background1"/>
            <w:hideMark/>
          </w:tcPr>
          <w:p w14:paraId="22592ECF" w14:textId="77777777" w:rsidR="00CE14CC" w:rsidRPr="009575DB" w:rsidRDefault="00CE14CC" w:rsidP="00C54EE3">
            <w:pPr>
              <w:pStyle w:val="NormalWeb"/>
              <w:jc w:val="center"/>
              <w:rPr>
                <w:sz w:val="20"/>
                <w:szCs w:val="20"/>
              </w:rPr>
            </w:pPr>
            <w:r w:rsidRPr="009575DB">
              <w:rPr>
                <w:sz w:val="20"/>
                <w:szCs w:val="20"/>
              </w:rPr>
              <w:t>108</w:t>
            </w:r>
          </w:p>
        </w:tc>
        <w:tc>
          <w:tcPr>
            <w:tcW w:w="1092" w:type="dxa"/>
            <w:shd w:val="clear" w:color="auto" w:fill="FFFFFF" w:themeFill="background1"/>
            <w:hideMark/>
          </w:tcPr>
          <w:p w14:paraId="52658CF2" w14:textId="77777777" w:rsidR="00CE14CC" w:rsidRPr="009575DB" w:rsidRDefault="00CE14CC" w:rsidP="00C54EE3">
            <w:pPr>
              <w:pStyle w:val="NormalWeb"/>
              <w:jc w:val="center"/>
              <w:rPr>
                <w:sz w:val="20"/>
                <w:szCs w:val="20"/>
              </w:rPr>
            </w:pPr>
            <w:r w:rsidRPr="009575DB">
              <w:rPr>
                <w:sz w:val="20"/>
                <w:szCs w:val="20"/>
              </w:rPr>
              <w:t>4.5%</w:t>
            </w:r>
          </w:p>
        </w:tc>
      </w:tr>
      <w:tr w:rsidR="00614426" w:rsidRPr="009575DB" w14:paraId="08168098"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65604788" w14:textId="77777777" w:rsidR="00CE14CC" w:rsidRPr="009575DB" w:rsidRDefault="00CE14CC">
            <w:pPr>
              <w:pStyle w:val="NormalWeb"/>
              <w:rPr>
                <w:sz w:val="20"/>
                <w:szCs w:val="20"/>
              </w:rPr>
            </w:pPr>
            <w:r w:rsidRPr="009575DB">
              <w:rPr>
                <w:sz w:val="20"/>
                <w:szCs w:val="20"/>
                <w:lang w:val="en-US"/>
              </w:rPr>
              <w:t>Fever (unspecified)</w:t>
            </w:r>
          </w:p>
        </w:tc>
        <w:tc>
          <w:tcPr>
            <w:tcW w:w="709" w:type="dxa"/>
            <w:hideMark/>
          </w:tcPr>
          <w:p w14:paraId="39A51EE6" w14:textId="77777777" w:rsidR="00CE14CC" w:rsidRPr="009575DB" w:rsidRDefault="00CE14CC" w:rsidP="00C54EE3">
            <w:pPr>
              <w:pStyle w:val="NormalWeb"/>
              <w:jc w:val="center"/>
              <w:rPr>
                <w:sz w:val="20"/>
                <w:szCs w:val="20"/>
              </w:rPr>
            </w:pPr>
            <w:r w:rsidRPr="009575DB">
              <w:rPr>
                <w:sz w:val="20"/>
                <w:szCs w:val="20"/>
              </w:rPr>
              <w:t>18</w:t>
            </w:r>
          </w:p>
        </w:tc>
        <w:tc>
          <w:tcPr>
            <w:tcW w:w="1134" w:type="dxa"/>
            <w:hideMark/>
          </w:tcPr>
          <w:p w14:paraId="0E9F2604" w14:textId="77777777" w:rsidR="00CE14CC" w:rsidRPr="009575DB" w:rsidRDefault="00CE14CC" w:rsidP="00C54EE3">
            <w:pPr>
              <w:pStyle w:val="NormalWeb"/>
              <w:jc w:val="center"/>
              <w:rPr>
                <w:sz w:val="20"/>
                <w:szCs w:val="20"/>
              </w:rPr>
            </w:pPr>
            <w:r w:rsidRPr="009575DB">
              <w:rPr>
                <w:sz w:val="20"/>
                <w:szCs w:val="20"/>
              </w:rPr>
              <w:t>4%</w:t>
            </w:r>
          </w:p>
        </w:tc>
        <w:tc>
          <w:tcPr>
            <w:tcW w:w="709" w:type="dxa"/>
            <w:shd w:val="clear" w:color="auto" w:fill="FFFFFF" w:themeFill="background1"/>
            <w:hideMark/>
          </w:tcPr>
          <w:p w14:paraId="0A820D5F" w14:textId="77777777" w:rsidR="00CE14CC" w:rsidRPr="009575DB" w:rsidRDefault="00CE14CC" w:rsidP="00C54EE3">
            <w:pPr>
              <w:pStyle w:val="NormalWeb"/>
              <w:jc w:val="center"/>
              <w:rPr>
                <w:sz w:val="20"/>
                <w:szCs w:val="20"/>
              </w:rPr>
            </w:pPr>
            <w:r w:rsidRPr="009575DB">
              <w:rPr>
                <w:sz w:val="20"/>
                <w:szCs w:val="20"/>
              </w:rPr>
              <w:t>34</w:t>
            </w:r>
          </w:p>
        </w:tc>
        <w:tc>
          <w:tcPr>
            <w:tcW w:w="1134" w:type="dxa"/>
            <w:shd w:val="clear" w:color="auto" w:fill="FFFFFF" w:themeFill="background1"/>
            <w:hideMark/>
          </w:tcPr>
          <w:p w14:paraId="3A47A58B" w14:textId="77777777" w:rsidR="00CE14CC" w:rsidRPr="009575DB" w:rsidRDefault="00CE14CC" w:rsidP="00C54EE3">
            <w:pPr>
              <w:pStyle w:val="NormalWeb"/>
              <w:jc w:val="center"/>
              <w:rPr>
                <w:sz w:val="20"/>
                <w:szCs w:val="20"/>
              </w:rPr>
            </w:pPr>
            <w:r w:rsidRPr="009575DB">
              <w:rPr>
                <w:sz w:val="20"/>
                <w:szCs w:val="20"/>
              </w:rPr>
              <w:t>4%</w:t>
            </w:r>
          </w:p>
        </w:tc>
        <w:tc>
          <w:tcPr>
            <w:tcW w:w="1276" w:type="dxa"/>
            <w:hideMark/>
          </w:tcPr>
          <w:p w14:paraId="69A68987" w14:textId="77777777" w:rsidR="00CE14CC" w:rsidRPr="009575DB" w:rsidRDefault="00CE14CC" w:rsidP="00C54EE3">
            <w:pPr>
              <w:pStyle w:val="NormalWeb"/>
              <w:jc w:val="center"/>
              <w:rPr>
                <w:sz w:val="20"/>
                <w:szCs w:val="20"/>
              </w:rPr>
            </w:pPr>
            <w:r w:rsidRPr="009575DB">
              <w:rPr>
                <w:sz w:val="20"/>
                <w:szCs w:val="20"/>
              </w:rPr>
              <w:t>11</w:t>
            </w:r>
          </w:p>
        </w:tc>
        <w:tc>
          <w:tcPr>
            <w:tcW w:w="1417" w:type="dxa"/>
            <w:hideMark/>
          </w:tcPr>
          <w:p w14:paraId="34F6FD8D" w14:textId="77777777" w:rsidR="00CE14CC" w:rsidRPr="009575DB" w:rsidRDefault="00CE14CC" w:rsidP="00C54EE3">
            <w:pPr>
              <w:pStyle w:val="NormalWeb"/>
              <w:jc w:val="center"/>
              <w:rPr>
                <w:sz w:val="20"/>
                <w:szCs w:val="20"/>
              </w:rPr>
            </w:pPr>
            <w:r w:rsidRPr="009575DB">
              <w:rPr>
                <w:sz w:val="20"/>
                <w:szCs w:val="20"/>
              </w:rPr>
              <w:t>3%</w:t>
            </w:r>
          </w:p>
        </w:tc>
        <w:tc>
          <w:tcPr>
            <w:tcW w:w="709" w:type="dxa"/>
            <w:shd w:val="clear" w:color="auto" w:fill="FFFFFF" w:themeFill="background1"/>
            <w:hideMark/>
          </w:tcPr>
          <w:p w14:paraId="0269C738" w14:textId="77777777" w:rsidR="00CE14CC" w:rsidRPr="009575DB" w:rsidRDefault="00CE14CC" w:rsidP="00C54EE3">
            <w:pPr>
              <w:pStyle w:val="NormalWeb"/>
              <w:jc w:val="center"/>
              <w:rPr>
                <w:sz w:val="20"/>
                <w:szCs w:val="20"/>
              </w:rPr>
            </w:pPr>
            <w:r w:rsidRPr="009575DB">
              <w:rPr>
                <w:sz w:val="20"/>
                <w:szCs w:val="20"/>
              </w:rPr>
              <w:t>13</w:t>
            </w:r>
          </w:p>
        </w:tc>
        <w:tc>
          <w:tcPr>
            <w:tcW w:w="1134" w:type="dxa"/>
            <w:shd w:val="clear" w:color="auto" w:fill="FFFFFF" w:themeFill="background1"/>
            <w:hideMark/>
          </w:tcPr>
          <w:p w14:paraId="2F0C5D47" w14:textId="77777777" w:rsidR="00CE14CC" w:rsidRPr="009575DB" w:rsidRDefault="00CE14CC" w:rsidP="00C54EE3">
            <w:pPr>
              <w:pStyle w:val="NormalWeb"/>
              <w:jc w:val="center"/>
              <w:rPr>
                <w:sz w:val="20"/>
                <w:szCs w:val="20"/>
              </w:rPr>
            </w:pPr>
            <w:r w:rsidRPr="009575DB">
              <w:rPr>
                <w:sz w:val="20"/>
                <w:szCs w:val="20"/>
              </w:rPr>
              <w:t>3%</w:t>
            </w:r>
          </w:p>
        </w:tc>
        <w:tc>
          <w:tcPr>
            <w:tcW w:w="850" w:type="dxa"/>
            <w:hideMark/>
          </w:tcPr>
          <w:p w14:paraId="08632D89" w14:textId="77777777" w:rsidR="00CE14CC" w:rsidRPr="009575DB" w:rsidRDefault="00CE14CC" w:rsidP="00C54EE3">
            <w:pPr>
              <w:pStyle w:val="NormalWeb"/>
              <w:jc w:val="center"/>
              <w:rPr>
                <w:sz w:val="20"/>
                <w:szCs w:val="20"/>
              </w:rPr>
            </w:pPr>
            <w:r w:rsidRPr="009575DB">
              <w:rPr>
                <w:sz w:val="20"/>
                <w:szCs w:val="20"/>
              </w:rPr>
              <w:t>18</w:t>
            </w:r>
          </w:p>
        </w:tc>
        <w:tc>
          <w:tcPr>
            <w:tcW w:w="1560" w:type="dxa"/>
            <w:hideMark/>
          </w:tcPr>
          <w:p w14:paraId="5FD6A8D9" w14:textId="77777777" w:rsidR="00CE14CC" w:rsidRPr="009575DB" w:rsidRDefault="00CE14CC" w:rsidP="00C54EE3">
            <w:pPr>
              <w:pStyle w:val="NormalWeb"/>
              <w:jc w:val="center"/>
              <w:rPr>
                <w:sz w:val="20"/>
                <w:szCs w:val="20"/>
              </w:rPr>
            </w:pPr>
            <w:r w:rsidRPr="009575DB">
              <w:rPr>
                <w:sz w:val="20"/>
                <w:szCs w:val="20"/>
              </w:rPr>
              <w:t>7%</w:t>
            </w:r>
          </w:p>
        </w:tc>
        <w:tc>
          <w:tcPr>
            <w:tcW w:w="992" w:type="dxa"/>
            <w:shd w:val="clear" w:color="auto" w:fill="FFFFFF" w:themeFill="background1"/>
            <w:hideMark/>
          </w:tcPr>
          <w:p w14:paraId="491882FE" w14:textId="77777777" w:rsidR="00CE14CC" w:rsidRPr="009575DB" w:rsidRDefault="00CE14CC" w:rsidP="00C54EE3">
            <w:pPr>
              <w:pStyle w:val="NormalWeb"/>
              <w:jc w:val="center"/>
              <w:rPr>
                <w:sz w:val="20"/>
                <w:szCs w:val="20"/>
              </w:rPr>
            </w:pPr>
            <w:r w:rsidRPr="009575DB">
              <w:rPr>
                <w:sz w:val="20"/>
                <w:szCs w:val="20"/>
              </w:rPr>
              <w:t>94</w:t>
            </w:r>
          </w:p>
        </w:tc>
        <w:tc>
          <w:tcPr>
            <w:tcW w:w="1092" w:type="dxa"/>
            <w:shd w:val="clear" w:color="auto" w:fill="FFFFFF" w:themeFill="background1"/>
            <w:hideMark/>
          </w:tcPr>
          <w:p w14:paraId="4C663545" w14:textId="77777777" w:rsidR="00CE14CC" w:rsidRPr="009575DB" w:rsidRDefault="00CE14CC" w:rsidP="00C54EE3">
            <w:pPr>
              <w:pStyle w:val="NormalWeb"/>
              <w:jc w:val="center"/>
              <w:rPr>
                <w:sz w:val="20"/>
                <w:szCs w:val="20"/>
              </w:rPr>
            </w:pPr>
            <w:r w:rsidRPr="009575DB">
              <w:rPr>
                <w:sz w:val="20"/>
                <w:szCs w:val="20"/>
              </w:rPr>
              <w:t>3.9%</w:t>
            </w:r>
          </w:p>
        </w:tc>
      </w:tr>
      <w:tr w:rsidR="00614426" w:rsidRPr="009575DB" w14:paraId="30CA8C44" w14:textId="77777777" w:rsidTr="00B06A5B">
        <w:tc>
          <w:tcPr>
            <w:tcW w:w="2268" w:type="dxa"/>
            <w:shd w:val="clear" w:color="auto" w:fill="FFFFFF" w:themeFill="background1"/>
            <w:hideMark/>
          </w:tcPr>
          <w:p w14:paraId="6250099A" w14:textId="77777777" w:rsidR="00CE14CC" w:rsidRPr="009575DB" w:rsidRDefault="00CE14CC">
            <w:pPr>
              <w:pStyle w:val="NormalWeb"/>
              <w:rPr>
                <w:sz w:val="20"/>
                <w:szCs w:val="20"/>
              </w:rPr>
            </w:pPr>
            <w:r w:rsidRPr="009575DB">
              <w:rPr>
                <w:sz w:val="20"/>
                <w:szCs w:val="20"/>
                <w:lang w:val="en-US"/>
              </w:rPr>
              <w:t>Fever (&gt; 38; &lt; 40)</w:t>
            </w:r>
          </w:p>
        </w:tc>
        <w:tc>
          <w:tcPr>
            <w:tcW w:w="709" w:type="dxa"/>
            <w:shd w:val="clear" w:color="auto" w:fill="F2F2F2" w:themeFill="background1" w:themeFillShade="F2"/>
            <w:hideMark/>
          </w:tcPr>
          <w:p w14:paraId="338D569A" w14:textId="77777777" w:rsidR="00CE14CC" w:rsidRPr="009575DB" w:rsidRDefault="00CE14CC" w:rsidP="00C54EE3">
            <w:pPr>
              <w:pStyle w:val="NormalWeb"/>
              <w:jc w:val="center"/>
              <w:rPr>
                <w:sz w:val="20"/>
                <w:szCs w:val="20"/>
              </w:rPr>
            </w:pPr>
            <w:r w:rsidRPr="009575DB">
              <w:rPr>
                <w:sz w:val="20"/>
                <w:szCs w:val="20"/>
              </w:rPr>
              <w:t>25</w:t>
            </w:r>
          </w:p>
        </w:tc>
        <w:tc>
          <w:tcPr>
            <w:tcW w:w="1134" w:type="dxa"/>
            <w:shd w:val="clear" w:color="auto" w:fill="F2F2F2" w:themeFill="background1" w:themeFillShade="F2"/>
            <w:hideMark/>
          </w:tcPr>
          <w:p w14:paraId="50401CDF" w14:textId="77777777" w:rsidR="00CE14CC" w:rsidRPr="009575DB" w:rsidRDefault="00CE14CC" w:rsidP="00C54EE3">
            <w:pPr>
              <w:pStyle w:val="NormalWeb"/>
              <w:jc w:val="center"/>
              <w:rPr>
                <w:sz w:val="20"/>
                <w:szCs w:val="20"/>
              </w:rPr>
            </w:pPr>
            <w:r w:rsidRPr="009575DB">
              <w:rPr>
                <w:sz w:val="20"/>
                <w:szCs w:val="20"/>
              </w:rPr>
              <w:t>5%</w:t>
            </w:r>
          </w:p>
        </w:tc>
        <w:tc>
          <w:tcPr>
            <w:tcW w:w="709" w:type="dxa"/>
            <w:shd w:val="clear" w:color="auto" w:fill="FFFFFF" w:themeFill="background1"/>
            <w:hideMark/>
          </w:tcPr>
          <w:p w14:paraId="46A0896D" w14:textId="77777777" w:rsidR="00CE14CC" w:rsidRPr="009575DB" w:rsidRDefault="00CE14CC" w:rsidP="00C54EE3">
            <w:pPr>
              <w:pStyle w:val="NormalWeb"/>
              <w:jc w:val="center"/>
              <w:rPr>
                <w:sz w:val="20"/>
                <w:szCs w:val="20"/>
              </w:rPr>
            </w:pPr>
            <w:r w:rsidRPr="009575DB">
              <w:rPr>
                <w:sz w:val="20"/>
                <w:szCs w:val="20"/>
              </w:rPr>
              <w:t>49</w:t>
            </w:r>
          </w:p>
        </w:tc>
        <w:tc>
          <w:tcPr>
            <w:tcW w:w="1134" w:type="dxa"/>
            <w:shd w:val="clear" w:color="auto" w:fill="FFFFFF" w:themeFill="background1"/>
            <w:hideMark/>
          </w:tcPr>
          <w:p w14:paraId="17C50273" w14:textId="77777777" w:rsidR="00CE14CC" w:rsidRPr="009575DB" w:rsidRDefault="00CE14CC" w:rsidP="00C54EE3">
            <w:pPr>
              <w:pStyle w:val="NormalWeb"/>
              <w:jc w:val="center"/>
              <w:rPr>
                <w:sz w:val="20"/>
                <w:szCs w:val="20"/>
              </w:rPr>
            </w:pPr>
            <w:r w:rsidRPr="009575DB">
              <w:rPr>
                <w:sz w:val="20"/>
                <w:szCs w:val="20"/>
              </w:rPr>
              <w:t>6%</w:t>
            </w:r>
          </w:p>
        </w:tc>
        <w:tc>
          <w:tcPr>
            <w:tcW w:w="1276" w:type="dxa"/>
            <w:shd w:val="clear" w:color="auto" w:fill="F2F2F2" w:themeFill="background1" w:themeFillShade="F2"/>
            <w:hideMark/>
          </w:tcPr>
          <w:p w14:paraId="7BFBC62C" w14:textId="77777777" w:rsidR="00CE14CC" w:rsidRPr="009575DB" w:rsidRDefault="00CE14CC" w:rsidP="00C54EE3">
            <w:pPr>
              <w:pStyle w:val="NormalWeb"/>
              <w:jc w:val="center"/>
              <w:rPr>
                <w:sz w:val="20"/>
                <w:szCs w:val="20"/>
              </w:rPr>
            </w:pPr>
            <w:r w:rsidRPr="009575DB">
              <w:rPr>
                <w:sz w:val="20"/>
                <w:szCs w:val="20"/>
              </w:rPr>
              <w:t>9</w:t>
            </w:r>
          </w:p>
        </w:tc>
        <w:tc>
          <w:tcPr>
            <w:tcW w:w="1417" w:type="dxa"/>
            <w:shd w:val="clear" w:color="auto" w:fill="F2F2F2" w:themeFill="background1" w:themeFillShade="F2"/>
            <w:hideMark/>
          </w:tcPr>
          <w:p w14:paraId="04EE825F" w14:textId="77777777" w:rsidR="00CE14CC" w:rsidRPr="009575DB" w:rsidRDefault="00CE14CC" w:rsidP="00C54EE3">
            <w:pPr>
              <w:pStyle w:val="NormalWeb"/>
              <w:jc w:val="center"/>
              <w:rPr>
                <w:sz w:val="20"/>
                <w:szCs w:val="20"/>
              </w:rPr>
            </w:pPr>
            <w:r w:rsidRPr="009575DB">
              <w:rPr>
                <w:sz w:val="20"/>
                <w:szCs w:val="20"/>
              </w:rPr>
              <w:t>2%</w:t>
            </w:r>
          </w:p>
        </w:tc>
        <w:tc>
          <w:tcPr>
            <w:tcW w:w="709" w:type="dxa"/>
            <w:shd w:val="clear" w:color="auto" w:fill="FFFFFF" w:themeFill="background1"/>
            <w:hideMark/>
          </w:tcPr>
          <w:p w14:paraId="4D0C17B4" w14:textId="77777777" w:rsidR="00CE14CC" w:rsidRPr="009575DB" w:rsidRDefault="00CE14CC" w:rsidP="00C54EE3">
            <w:pPr>
              <w:pStyle w:val="NormalWeb"/>
              <w:jc w:val="center"/>
              <w:rPr>
                <w:sz w:val="20"/>
                <w:szCs w:val="20"/>
              </w:rPr>
            </w:pPr>
            <w:r w:rsidRPr="009575DB">
              <w:rPr>
                <w:sz w:val="20"/>
                <w:szCs w:val="20"/>
              </w:rPr>
              <w:t>3</w:t>
            </w:r>
          </w:p>
        </w:tc>
        <w:tc>
          <w:tcPr>
            <w:tcW w:w="1134" w:type="dxa"/>
            <w:shd w:val="clear" w:color="auto" w:fill="FFFFFF" w:themeFill="background1"/>
            <w:hideMark/>
          </w:tcPr>
          <w:p w14:paraId="63F64023" w14:textId="77777777" w:rsidR="00CE14CC" w:rsidRPr="009575DB" w:rsidRDefault="00CE14CC" w:rsidP="00C54EE3">
            <w:pPr>
              <w:pStyle w:val="NormalWeb"/>
              <w:jc w:val="center"/>
              <w:rPr>
                <w:sz w:val="20"/>
                <w:szCs w:val="20"/>
              </w:rPr>
            </w:pPr>
            <w:r w:rsidRPr="009575DB">
              <w:rPr>
                <w:sz w:val="20"/>
                <w:szCs w:val="20"/>
              </w:rPr>
              <w:t>1%</w:t>
            </w:r>
          </w:p>
        </w:tc>
        <w:tc>
          <w:tcPr>
            <w:tcW w:w="850" w:type="dxa"/>
            <w:shd w:val="clear" w:color="auto" w:fill="F2F2F2" w:themeFill="background1" w:themeFillShade="F2"/>
            <w:hideMark/>
          </w:tcPr>
          <w:p w14:paraId="79076032" w14:textId="77777777" w:rsidR="00CE14CC" w:rsidRPr="009575DB" w:rsidRDefault="00CE14CC" w:rsidP="00C54EE3">
            <w:pPr>
              <w:pStyle w:val="NormalWeb"/>
              <w:jc w:val="center"/>
              <w:rPr>
                <w:sz w:val="20"/>
                <w:szCs w:val="20"/>
              </w:rPr>
            </w:pPr>
            <w:r w:rsidRPr="009575DB">
              <w:rPr>
                <w:sz w:val="20"/>
                <w:szCs w:val="20"/>
              </w:rPr>
              <w:t>1</w:t>
            </w:r>
          </w:p>
        </w:tc>
        <w:tc>
          <w:tcPr>
            <w:tcW w:w="1560" w:type="dxa"/>
            <w:shd w:val="clear" w:color="auto" w:fill="F2F2F2" w:themeFill="background1" w:themeFillShade="F2"/>
            <w:hideMark/>
          </w:tcPr>
          <w:p w14:paraId="2B024411"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FFFFFF" w:themeFill="background1"/>
            <w:hideMark/>
          </w:tcPr>
          <w:p w14:paraId="10FA1B38" w14:textId="77777777" w:rsidR="00CE14CC" w:rsidRPr="009575DB" w:rsidRDefault="00CE14CC" w:rsidP="00C54EE3">
            <w:pPr>
              <w:pStyle w:val="NormalWeb"/>
              <w:jc w:val="center"/>
              <w:rPr>
                <w:sz w:val="20"/>
                <w:szCs w:val="20"/>
              </w:rPr>
            </w:pPr>
            <w:r w:rsidRPr="009575DB">
              <w:rPr>
                <w:sz w:val="20"/>
                <w:szCs w:val="20"/>
              </w:rPr>
              <w:t>87</w:t>
            </w:r>
          </w:p>
        </w:tc>
        <w:tc>
          <w:tcPr>
            <w:tcW w:w="1092" w:type="dxa"/>
            <w:shd w:val="clear" w:color="auto" w:fill="FFFFFF" w:themeFill="background1"/>
            <w:hideMark/>
          </w:tcPr>
          <w:p w14:paraId="65F2DB0E" w14:textId="77777777" w:rsidR="00CE14CC" w:rsidRPr="009575DB" w:rsidRDefault="00CE14CC" w:rsidP="00C54EE3">
            <w:pPr>
              <w:pStyle w:val="NormalWeb"/>
              <w:jc w:val="center"/>
              <w:rPr>
                <w:sz w:val="20"/>
                <w:szCs w:val="20"/>
              </w:rPr>
            </w:pPr>
            <w:r w:rsidRPr="009575DB">
              <w:rPr>
                <w:sz w:val="20"/>
                <w:szCs w:val="20"/>
              </w:rPr>
              <w:t>3.6%</w:t>
            </w:r>
          </w:p>
        </w:tc>
      </w:tr>
      <w:tr w:rsidR="00614426" w:rsidRPr="009575DB" w14:paraId="3C746EBA"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6573E0EC" w14:textId="77777777" w:rsidR="00CE14CC" w:rsidRPr="009575DB" w:rsidRDefault="00CE14CC">
            <w:pPr>
              <w:pStyle w:val="NormalWeb"/>
              <w:rPr>
                <w:sz w:val="20"/>
                <w:szCs w:val="20"/>
              </w:rPr>
            </w:pPr>
            <w:r w:rsidRPr="009575DB">
              <w:rPr>
                <w:sz w:val="20"/>
                <w:szCs w:val="20"/>
                <w:lang w:val="en-US"/>
              </w:rPr>
              <w:t>Urticaria/hives</w:t>
            </w:r>
          </w:p>
        </w:tc>
        <w:tc>
          <w:tcPr>
            <w:tcW w:w="709" w:type="dxa"/>
            <w:hideMark/>
          </w:tcPr>
          <w:p w14:paraId="29889DDE" w14:textId="77777777" w:rsidR="00CE14CC" w:rsidRPr="009575DB" w:rsidRDefault="00CE14CC" w:rsidP="00C54EE3">
            <w:pPr>
              <w:pStyle w:val="NormalWeb"/>
              <w:jc w:val="center"/>
              <w:rPr>
                <w:sz w:val="20"/>
                <w:szCs w:val="20"/>
              </w:rPr>
            </w:pPr>
            <w:r w:rsidRPr="009575DB">
              <w:rPr>
                <w:sz w:val="20"/>
                <w:szCs w:val="20"/>
              </w:rPr>
              <w:t>22</w:t>
            </w:r>
          </w:p>
        </w:tc>
        <w:tc>
          <w:tcPr>
            <w:tcW w:w="1134" w:type="dxa"/>
            <w:hideMark/>
          </w:tcPr>
          <w:p w14:paraId="791D2935" w14:textId="77777777" w:rsidR="00CE14CC" w:rsidRPr="009575DB" w:rsidRDefault="00CE14CC" w:rsidP="00C54EE3">
            <w:pPr>
              <w:pStyle w:val="NormalWeb"/>
              <w:jc w:val="center"/>
              <w:rPr>
                <w:sz w:val="20"/>
                <w:szCs w:val="20"/>
              </w:rPr>
            </w:pPr>
            <w:r w:rsidRPr="009575DB">
              <w:rPr>
                <w:sz w:val="20"/>
                <w:szCs w:val="20"/>
              </w:rPr>
              <w:t>5%</w:t>
            </w:r>
          </w:p>
        </w:tc>
        <w:tc>
          <w:tcPr>
            <w:tcW w:w="709" w:type="dxa"/>
            <w:shd w:val="clear" w:color="auto" w:fill="FFFFFF" w:themeFill="background1"/>
            <w:hideMark/>
          </w:tcPr>
          <w:p w14:paraId="6EC2D51B" w14:textId="77777777" w:rsidR="00CE14CC" w:rsidRPr="009575DB" w:rsidRDefault="00CE14CC" w:rsidP="00C54EE3">
            <w:pPr>
              <w:pStyle w:val="NormalWeb"/>
              <w:jc w:val="center"/>
              <w:rPr>
                <w:sz w:val="20"/>
                <w:szCs w:val="20"/>
              </w:rPr>
            </w:pPr>
            <w:r w:rsidRPr="009575DB">
              <w:rPr>
                <w:sz w:val="20"/>
                <w:szCs w:val="20"/>
              </w:rPr>
              <w:t>31</w:t>
            </w:r>
          </w:p>
        </w:tc>
        <w:tc>
          <w:tcPr>
            <w:tcW w:w="1134" w:type="dxa"/>
            <w:shd w:val="clear" w:color="auto" w:fill="FFFFFF" w:themeFill="background1"/>
            <w:hideMark/>
          </w:tcPr>
          <w:p w14:paraId="43765A94" w14:textId="77777777" w:rsidR="00CE14CC" w:rsidRPr="009575DB" w:rsidRDefault="00CE14CC" w:rsidP="00C54EE3">
            <w:pPr>
              <w:pStyle w:val="NormalWeb"/>
              <w:jc w:val="center"/>
              <w:rPr>
                <w:sz w:val="20"/>
                <w:szCs w:val="20"/>
              </w:rPr>
            </w:pPr>
            <w:r w:rsidRPr="009575DB">
              <w:rPr>
                <w:sz w:val="20"/>
                <w:szCs w:val="20"/>
              </w:rPr>
              <w:t>4%</w:t>
            </w:r>
          </w:p>
        </w:tc>
        <w:tc>
          <w:tcPr>
            <w:tcW w:w="1276" w:type="dxa"/>
            <w:hideMark/>
          </w:tcPr>
          <w:p w14:paraId="2E7DBDA7" w14:textId="77777777" w:rsidR="00CE14CC" w:rsidRPr="009575DB" w:rsidRDefault="00CE14CC" w:rsidP="00C54EE3">
            <w:pPr>
              <w:pStyle w:val="NormalWeb"/>
              <w:jc w:val="center"/>
              <w:rPr>
                <w:sz w:val="20"/>
                <w:szCs w:val="20"/>
              </w:rPr>
            </w:pPr>
            <w:r w:rsidRPr="009575DB">
              <w:rPr>
                <w:sz w:val="20"/>
                <w:szCs w:val="20"/>
              </w:rPr>
              <w:t>13</w:t>
            </w:r>
          </w:p>
        </w:tc>
        <w:tc>
          <w:tcPr>
            <w:tcW w:w="1417" w:type="dxa"/>
            <w:hideMark/>
          </w:tcPr>
          <w:p w14:paraId="28E17A00" w14:textId="77777777" w:rsidR="00CE14CC" w:rsidRPr="009575DB" w:rsidRDefault="00CE14CC" w:rsidP="00C54EE3">
            <w:pPr>
              <w:pStyle w:val="NormalWeb"/>
              <w:jc w:val="center"/>
              <w:rPr>
                <w:sz w:val="20"/>
                <w:szCs w:val="20"/>
              </w:rPr>
            </w:pPr>
            <w:r w:rsidRPr="009575DB">
              <w:rPr>
                <w:sz w:val="20"/>
                <w:szCs w:val="20"/>
              </w:rPr>
              <w:t>3%</w:t>
            </w:r>
          </w:p>
        </w:tc>
        <w:tc>
          <w:tcPr>
            <w:tcW w:w="709" w:type="dxa"/>
            <w:shd w:val="clear" w:color="auto" w:fill="FFFFFF" w:themeFill="background1"/>
            <w:hideMark/>
          </w:tcPr>
          <w:p w14:paraId="6D120CAB" w14:textId="77777777" w:rsidR="00CE14CC" w:rsidRPr="009575DB" w:rsidRDefault="00CE14CC" w:rsidP="00C54EE3">
            <w:pPr>
              <w:pStyle w:val="NormalWeb"/>
              <w:jc w:val="center"/>
              <w:rPr>
                <w:sz w:val="20"/>
                <w:szCs w:val="20"/>
              </w:rPr>
            </w:pPr>
            <w:r w:rsidRPr="009575DB">
              <w:rPr>
                <w:sz w:val="20"/>
                <w:szCs w:val="20"/>
              </w:rPr>
              <w:t>14</w:t>
            </w:r>
          </w:p>
        </w:tc>
        <w:tc>
          <w:tcPr>
            <w:tcW w:w="1134" w:type="dxa"/>
            <w:shd w:val="clear" w:color="auto" w:fill="FFFFFF" w:themeFill="background1"/>
            <w:hideMark/>
          </w:tcPr>
          <w:p w14:paraId="687CDE93" w14:textId="77777777" w:rsidR="00CE14CC" w:rsidRPr="009575DB" w:rsidRDefault="00CE14CC" w:rsidP="00C54EE3">
            <w:pPr>
              <w:pStyle w:val="NormalWeb"/>
              <w:jc w:val="center"/>
              <w:rPr>
                <w:sz w:val="20"/>
                <w:szCs w:val="20"/>
              </w:rPr>
            </w:pPr>
            <w:r w:rsidRPr="009575DB">
              <w:rPr>
                <w:sz w:val="20"/>
                <w:szCs w:val="20"/>
              </w:rPr>
              <w:t>3%</w:t>
            </w:r>
          </w:p>
        </w:tc>
        <w:tc>
          <w:tcPr>
            <w:tcW w:w="850" w:type="dxa"/>
            <w:hideMark/>
          </w:tcPr>
          <w:p w14:paraId="1973A152" w14:textId="77777777" w:rsidR="00CE14CC" w:rsidRPr="009575DB" w:rsidRDefault="00CE14CC" w:rsidP="00C54EE3">
            <w:pPr>
              <w:pStyle w:val="NormalWeb"/>
              <w:jc w:val="center"/>
              <w:rPr>
                <w:sz w:val="20"/>
                <w:szCs w:val="20"/>
              </w:rPr>
            </w:pPr>
            <w:r w:rsidRPr="009575DB">
              <w:rPr>
                <w:sz w:val="20"/>
                <w:szCs w:val="20"/>
              </w:rPr>
              <w:t>4</w:t>
            </w:r>
          </w:p>
        </w:tc>
        <w:tc>
          <w:tcPr>
            <w:tcW w:w="1560" w:type="dxa"/>
            <w:hideMark/>
          </w:tcPr>
          <w:p w14:paraId="04007A32" w14:textId="77777777" w:rsidR="00CE14CC" w:rsidRPr="009575DB" w:rsidRDefault="00CE14CC" w:rsidP="00C54EE3">
            <w:pPr>
              <w:pStyle w:val="NormalWeb"/>
              <w:jc w:val="center"/>
              <w:rPr>
                <w:sz w:val="20"/>
                <w:szCs w:val="20"/>
              </w:rPr>
            </w:pPr>
            <w:r w:rsidRPr="009575DB">
              <w:rPr>
                <w:sz w:val="20"/>
                <w:szCs w:val="20"/>
              </w:rPr>
              <w:t>1%</w:t>
            </w:r>
          </w:p>
        </w:tc>
        <w:tc>
          <w:tcPr>
            <w:tcW w:w="992" w:type="dxa"/>
            <w:shd w:val="clear" w:color="auto" w:fill="FFFFFF" w:themeFill="background1"/>
            <w:hideMark/>
          </w:tcPr>
          <w:p w14:paraId="215C7482" w14:textId="77777777" w:rsidR="00CE14CC" w:rsidRPr="009575DB" w:rsidRDefault="00CE14CC" w:rsidP="00C54EE3">
            <w:pPr>
              <w:pStyle w:val="NormalWeb"/>
              <w:jc w:val="center"/>
              <w:rPr>
                <w:sz w:val="20"/>
                <w:szCs w:val="20"/>
              </w:rPr>
            </w:pPr>
            <w:r w:rsidRPr="009575DB">
              <w:rPr>
                <w:sz w:val="20"/>
                <w:szCs w:val="20"/>
              </w:rPr>
              <w:t>84</w:t>
            </w:r>
          </w:p>
        </w:tc>
        <w:tc>
          <w:tcPr>
            <w:tcW w:w="1092" w:type="dxa"/>
            <w:shd w:val="clear" w:color="auto" w:fill="FFFFFF" w:themeFill="background1"/>
            <w:hideMark/>
          </w:tcPr>
          <w:p w14:paraId="72EE565F" w14:textId="77777777" w:rsidR="00CE14CC" w:rsidRPr="009575DB" w:rsidRDefault="00CE14CC" w:rsidP="00C54EE3">
            <w:pPr>
              <w:pStyle w:val="NormalWeb"/>
              <w:jc w:val="center"/>
              <w:rPr>
                <w:sz w:val="20"/>
                <w:szCs w:val="20"/>
              </w:rPr>
            </w:pPr>
            <w:r w:rsidRPr="009575DB">
              <w:rPr>
                <w:sz w:val="20"/>
                <w:szCs w:val="20"/>
              </w:rPr>
              <w:t>3.5%</w:t>
            </w:r>
          </w:p>
        </w:tc>
      </w:tr>
      <w:tr w:rsidR="00614426" w:rsidRPr="009575DB" w14:paraId="657D0996" w14:textId="77777777" w:rsidTr="00B06A5B">
        <w:tc>
          <w:tcPr>
            <w:tcW w:w="2268" w:type="dxa"/>
            <w:shd w:val="clear" w:color="auto" w:fill="FFFFFF" w:themeFill="background1"/>
            <w:hideMark/>
          </w:tcPr>
          <w:p w14:paraId="59C8A4EB" w14:textId="77777777" w:rsidR="00CE14CC" w:rsidRPr="009575DB" w:rsidRDefault="00CE14CC">
            <w:pPr>
              <w:pStyle w:val="NormalWeb"/>
              <w:rPr>
                <w:sz w:val="20"/>
                <w:szCs w:val="20"/>
              </w:rPr>
            </w:pPr>
            <w:r w:rsidRPr="009575DB">
              <w:rPr>
                <w:sz w:val="20"/>
                <w:szCs w:val="20"/>
                <w:lang w:val="en-US"/>
              </w:rPr>
              <w:t>Pain in limb</w:t>
            </w:r>
          </w:p>
        </w:tc>
        <w:tc>
          <w:tcPr>
            <w:tcW w:w="709" w:type="dxa"/>
            <w:shd w:val="clear" w:color="auto" w:fill="F2F2F2" w:themeFill="background1" w:themeFillShade="F2"/>
            <w:hideMark/>
          </w:tcPr>
          <w:p w14:paraId="016BB2ED" w14:textId="77777777" w:rsidR="00CE14CC" w:rsidRPr="009575DB" w:rsidRDefault="00CE14CC" w:rsidP="00C54EE3">
            <w:pPr>
              <w:pStyle w:val="NormalWeb"/>
              <w:jc w:val="center"/>
              <w:rPr>
                <w:sz w:val="20"/>
                <w:szCs w:val="20"/>
              </w:rPr>
            </w:pPr>
            <w:r w:rsidRPr="009575DB">
              <w:rPr>
                <w:sz w:val="20"/>
                <w:szCs w:val="20"/>
              </w:rPr>
              <w:t>5</w:t>
            </w:r>
          </w:p>
        </w:tc>
        <w:tc>
          <w:tcPr>
            <w:tcW w:w="1134" w:type="dxa"/>
            <w:shd w:val="clear" w:color="auto" w:fill="F2F2F2" w:themeFill="background1" w:themeFillShade="F2"/>
            <w:hideMark/>
          </w:tcPr>
          <w:p w14:paraId="1BBBE2A0"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11F1D445" w14:textId="77777777" w:rsidR="00CE14CC" w:rsidRPr="009575DB" w:rsidRDefault="00CE14CC" w:rsidP="00C54EE3">
            <w:pPr>
              <w:pStyle w:val="NormalWeb"/>
              <w:jc w:val="center"/>
              <w:rPr>
                <w:sz w:val="20"/>
                <w:szCs w:val="20"/>
              </w:rPr>
            </w:pPr>
            <w:r w:rsidRPr="009575DB">
              <w:rPr>
                <w:sz w:val="20"/>
                <w:szCs w:val="20"/>
              </w:rPr>
              <w:t>2</w:t>
            </w:r>
          </w:p>
        </w:tc>
        <w:tc>
          <w:tcPr>
            <w:tcW w:w="1134" w:type="dxa"/>
            <w:shd w:val="clear" w:color="auto" w:fill="FFFFFF" w:themeFill="background1"/>
            <w:hideMark/>
          </w:tcPr>
          <w:p w14:paraId="05690644" w14:textId="77777777" w:rsidR="00CE14CC" w:rsidRPr="009575DB" w:rsidRDefault="00CE14CC" w:rsidP="00C54EE3">
            <w:pPr>
              <w:pStyle w:val="NormalWeb"/>
              <w:jc w:val="center"/>
              <w:rPr>
                <w:sz w:val="20"/>
                <w:szCs w:val="20"/>
              </w:rPr>
            </w:pPr>
            <w:r w:rsidRPr="009575DB">
              <w:rPr>
                <w:sz w:val="20"/>
                <w:szCs w:val="20"/>
              </w:rPr>
              <w:t>0%</w:t>
            </w:r>
          </w:p>
        </w:tc>
        <w:tc>
          <w:tcPr>
            <w:tcW w:w="1276" w:type="dxa"/>
            <w:shd w:val="clear" w:color="auto" w:fill="F2F2F2" w:themeFill="background1" w:themeFillShade="F2"/>
            <w:hideMark/>
          </w:tcPr>
          <w:p w14:paraId="29221A76" w14:textId="77777777" w:rsidR="00CE14CC" w:rsidRPr="009575DB" w:rsidRDefault="00CE14CC" w:rsidP="00C54EE3">
            <w:pPr>
              <w:pStyle w:val="NormalWeb"/>
              <w:jc w:val="center"/>
              <w:rPr>
                <w:sz w:val="20"/>
                <w:szCs w:val="20"/>
              </w:rPr>
            </w:pPr>
            <w:r w:rsidRPr="009575DB">
              <w:rPr>
                <w:sz w:val="20"/>
                <w:szCs w:val="20"/>
              </w:rPr>
              <w:t>22</w:t>
            </w:r>
          </w:p>
        </w:tc>
        <w:tc>
          <w:tcPr>
            <w:tcW w:w="1417" w:type="dxa"/>
            <w:shd w:val="clear" w:color="auto" w:fill="F2F2F2" w:themeFill="background1" w:themeFillShade="F2"/>
            <w:hideMark/>
          </w:tcPr>
          <w:p w14:paraId="1C5DE218" w14:textId="77777777" w:rsidR="00CE14CC" w:rsidRPr="009575DB" w:rsidRDefault="00CE14CC" w:rsidP="00C54EE3">
            <w:pPr>
              <w:pStyle w:val="NormalWeb"/>
              <w:jc w:val="center"/>
              <w:rPr>
                <w:sz w:val="20"/>
                <w:szCs w:val="20"/>
              </w:rPr>
            </w:pPr>
            <w:r w:rsidRPr="009575DB">
              <w:rPr>
                <w:sz w:val="20"/>
                <w:szCs w:val="20"/>
              </w:rPr>
              <w:t>6%</w:t>
            </w:r>
          </w:p>
        </w:tc>
        <w:tc>
          <w:tcPr>
            <w:tcW w:w="709" w:type="dxa"/>
            <w:shd w:val="clear" w:color="auto" w:fill="FFFFFF" w:themeFill="background1"/>
            <w:hideMark/>
          </w:tcPr>
          <w:p w14:paraId="58B77DE8" w14:textId="77777777" w:rsidR="00CE14CC" w:rsidRPr="009575DB" w:rsidRDefault="00CE14CC" w:rsidP="00C54EE3">
            <w:pPr>
              <w:pStyle w:val="NormalWeb"/>
              <w:jc w:val="center"/>
              <w:rPr>
                <w:sz w:val="20"/>
                <w:szCs w:val="20"/>
              </w:rPr>
            </w:pPr>
            <w:r w:rsidRPr="009575DB">
              <w:rPr>
                <w:sz w:val="20"/>
                <w:szCs w:val="20"/>
              </w:rPr>
              <w:t>23</w:t>
            </w:r>
          </w:p>
        </w:tc>
        <w:tc>
          <w:tcPr>
            <w:tcW w:w="1134" w:type="dxa"/>
            <w:shd w:val="clear" w:color="auto" w:fill="FFFFFF" w:themeFill="background1"/>
            <w:hideMark/>
          </w:tcPr>
          <w:p w14:paraId="126624E8" w14:textId="77777777" w:rsidR="00CE14CC" w:rsidRPr="009575DB" w:rsidRDefault="00CE14CC" w:rsidP="00C54EE3">
            <w:pPr>
              <w:pStyle w:val="NormalWeb"/>
              <w:jc w:val="center"/>
              <w:rPr>
                <w:sz w:val="20"/>
                <w:szCs w:val="20"/>
              </w:rPr>
            </w:pPr>
            <w:r w:rsidRPr="009575DB">
              <w:rPr>
                <w:sz w:val="20"/>
                <w:szCs w:val="20"/>
              </w:rPr>
              <w:t>5%</w:t>
            </w:r>
          </w:p>
        </w:tc>
        <w:tc>
          <w:tcPr>
            <w:tcW w:w="850" w:type="dxa"/>
            <w:shd w:val="clear" w:color="auto" w:fill="C6D9F1" w:themeFill="text2" w:themeFillTint="33"/>
            <w:hideMark/>
          </w:tcPr>
          <w:p w14:paraId="73A29E90" w14:textId="77777777" w:rsidR="00CE14CC" w:rsidRPr="00B06A5B" w:rsidRDefault="00CE14CC" w:rsidP="00C54EE3">
            <w:pPr>
              <w:pStyle w:val="NormalWeb"/>
              <w:jc w:val="center"/>
              <w:rPr>
                <w:b/>
                <w:sz w:val="20"/>
                <w:szCs w:val="20"/>
              </w:rPr>
            </w:pPr>
            <w:r w:rsidRPr="00B06A5B">
              <w:rPr>
                <w:b/>
                <w:sz w:val="20"/>
                <w:szCs w:val="20"/>
              </w:rPr>
              <w:t>18</w:t>
            </w:r>
          </w:p>
        </w:tc>
        <w:tc>
          <w:tcPr>
            <w:tcW w:w="1560" w:type="dxa"/>
            <w:shd w:val="clear" w:color="auto" w:fill="C6D9F1" w:themeFill="text2" w:themeFillTint="33"/>
            <w:hideMark/>
          </w:tcPr>
          <w:p w14:paraId="40A9E2B0" w14:textId="77777777" w:rsidR="00CE14CC" w:rsidRPr="00B06A5B" w:rsidRDefault="00CE14CC" w:rsidP="00C54EE3">
            <w:pPr>
              <w:pStyle w:val="NormalWeb"/>
              <w:jc w:val="center"/>
              <w:rPr>
                <w:b/>
                <w:sz w:val="20"/>
                <w:szCs w:val="20"/>
              </w:rPr>
            </w:pPr>
            <w:r w:rsidRPr="00B06A5B">
              <w:rPr>
                <w:b/>
                <w:sz w:val="20"/>
                <w:szCs w:val="20"/>
              </w:rPr>
              <w:t>7%</w:t>
            </w:r>
          </w:p>
        </w:tc>
        <w:tc>
          <w:tcPr>
            <w:tcW w:w="992" w:type="dxa"/>
            <w:shd w:val="clear" w:color="auto" w:fill="FFFFFF" w:themeFill="background1"/>
            <w:hideMark/>
          </w:tcPr>
          <w:p w14:paraId="506A54D3" w14:textId="77777777" w:rsidR="00CE14CC" w:rsidRPr="009575DB" w:rsidRDefault="00CE14CC" w:rsidP="00C54EE3">
            <w:pPr>
              <w:pStyle w:val="NormalWeb"/>
              <w:jc w:val="center"/>
              <w:rPr>
                <w:sz w:val="20"/>
                <w:szCs w:val="20"/>
              </w:rPr>
            </w:pPr>
            <w:r w:rsidRPr="009575DB">
              <w:rPr>
                <w:sz w:val="20"/>
                <w:szCs w:val="20"/>
              </w:rPr>
              <w:t>70</w:t>
            </w:r>
          </w:p>
        </w:tc>
        <w:tc>
          <w:tcPr>
            <w:tcW w:w="1092" w:type="dxa"/>
            <w:shd w:val="clear" w:color="auto" w:fill="FFFFFF" w:themeFill="background1"/>
            <w:hideMark/>
          </w:tcPr>
          <w:p w14:paraId="1A450928" w14:textId="77777777" w:rsidR="00CE14CC" w:rsidRPr="009575DB" w:rsidRDefault="00CE14CC" w:rsidP="00C54EE3">
            <w:pPr>
              <w:pStyle w:val="NormalWeb"/>
              <w:jc w:val="center"/>
              <w:rPr>
                <w:sz w:val="20"/>
                <w:szCs w:val="20"/>
              </w:rPr>
            </w:pPr>
            <w:r w:rsidRPr="009575DB">
              <w:rPr>
                <w:sz w:val="20"/>
                <w:szCs w:val="20"/>
              </w:rPr>
              <w:t>2.9%</w:t>
            </w:r>
          </w:p>
        </w:tc>
      </w:tr>
      <w:tr w:rsidR="00614426" w:rsidRPr="009575DB" w14:paraId="03FFDE10"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08E5B954" w14:textId="77777777" w:rsidR="00CE14CC" w:rsidRPr="009575DB" w:rsidRDefault="00CE14CC">
            <w:pPr>
              <w:pStyle w:val="NormalWeb"/>
              <w:rPr>
                <w:sz w:val="20"/>
                <w:szCs w:val="20"/>
              </w:rPr>
            </w:pPr>
            <w:r w:rsidRPr="009575DB">
              <w:rPr>
                <w:sz w:val="20"/>
                <w:szCs w:val="20"/>
                <w:lang w:val="en-US"/>
              </w:rPr>
              <w:t>Lethargy</w:t>
            </w:r>
          </w:p>
        </w:tc>
        <w:tc>
          <w:tcPr>
            <w:tcW w:w="709" w:type="dxa"/>
            <w:hideMark/>
          </w:tcPr>
          <w:p w14:paraId="70038C53" w14:textId="77777777" w:rsidR="00CE14CC" w:rsidRPr="009575DB" w:rsidRDefault="00CE14CC" w:rsidP="00C54EE3">
            <w:pPr>
              <w:pStyle w:val="NormalWeb"/>
              <w:jc w:val="center"/>
              <w:rPr>
                <w:sz w:val="20"/>
                <w:szCs w:val="20"/>
              </w:rPr>
            </w:pPr>
            <w:r w:rsidRPr="009575DB">
              <w:rPr>
                <w:sz w:val="20"/>
                <w:szCs w:val="20"/>
              </w:rPr>
              <w:t>4</w:t>
            </w:r>
          </w:p>
        </w:tc>
        <w:tc>
          <w:tcPr>
            <w:tcW w:w="1134" w:type="dxa"/>
            <w:hideMark/>
          </w:tcPr>
          <w:p w14:paraId="532B50ED"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3FCC68D8" w14:textId="77777777" w:rsidR="00CE14CC" w:rsidRPr="009575DB" w:rsidRDefault="00CE14CC" w:rsidP="00C54EE3">
            <w:pPr>
              <w:pStyle w:val="NormalWeb"/>
              <w:jc w:val="center"/>
              <w:rPr>
                <w:sz w:val="20"/>
                <w:szCs w:val="20"/>
              </w:rPr>
            </w:pPr>
            <w:r w:rsidRPr="009575DB">
              <w:rPr>
                <w:sz w:val="20"/>
                <w:szCs w:val="20"/>
              </w:rPr>
              <w:t>13</w:t>
            </w:r>
          </w:p>
        </w:tc>
        <w:tc>
          <w:tcPr>
            <w:tcW w:w="1134" w:type="dxa"/>
            <w:shd w:val="clear" w:color="auto" w:fill="FFFFFF" w:themeFill="background1"/>
            <w:hideMark/>
          </w:tcPr>
          <w:p w14:paraId="1FDEEAA8" w14:textId="77777777" w:rsidR="00CE14CC" w:rsidRPr="009575DB" w:rsidRDefault="00CE14CC" w:rsidP="00C54EE3">
            <w:pPr>
              <w:pStyle w:val="NormalWeb"/>
              <w:jc w:val="center"/>
              <w:rPr>
                <w:sz w:val="20"/>
                <w:szCs w:val="20"/>
              </w:rPr>
            </w:pPr>
            <w:r w:rsidRPr="009575DB">
              <w:rPr>
                <w:sz w:val="20"/>
                <w:szCs w:val="20"/>
              </w:rPr>
              <w:t>2%</w:t>
            </w:r>
          </w:p>
        </w:tc>
        <w:tc>
          <w:tcPr>
            <w:tcW w:w="1276" w:type="dxa"/>
            <w:hideMark/>
          </w:tcPr>
          <w:p w14:paraId="45DCEDBF" w14:textId="77777777" w:rsidR="00CE14CC" w:rsidRPr="009575DB" w:rsidRDefault="00CE14CC" w:rsidP="00C54EE3">
            <w:pPr>
              <w:pStyle w:val="NormalWeb"/>
              <w:jc w:val="center"/>
              <w:rPr>
                <w:sz w:val="20"/>
                <w:szCs w:val="20"/>
              </w:rPr>
            </w:pPr>
            <w:r w:rsidRPr="009575DB">
              <w:rPr>
                <w:sz w:val="20"/>
                <w:szCs w:val="20"/>
              </w:rPr>
              <w:t>15</w:t>
            </w:r>
          </w:p>
        </w:tc>
        <w:tc>
          <w:tcPr>
            <w:tcW w:w="1417" w:type="dxa"/>
            <w:hideMark/>
          </w:tcPr>
          <w:p w14:paraId="47999380" w14:textId="77777777" w:rsidR="00CE14CC" w:rsidRPr="009575DB" w:rsidRDefault="00CE14CC" w:rsidP="00C54EE3">
            <w:pPr>
              <w:pStyle w:val="NormalWeb"/>
              <w:jc w:val="center"/>
              <w:rPr>
                <w:sz w:val="20"/>
                <w:szCs w:val="20"/>
              </w:rPr>
            </w:pPr>
            <w:r w:rsidRPr="009575DB">
              <w:rPr>
                <w:sz w:val="20"/>
                <w:szCs w:val="20"/>
              </w:rPr>
              <w:t>4%</w:t>
            </w:r>
          </w:p>
        </w:tc>
        <w:tc>
          <w:tcPr>
            <w:tcW w:w="709" w:type="dxa"/>
            <w:shd w:val="clear" w:color="auto" w:fill="FFFFFF" w:themeFill="background1"/>
            <w:hideMark/>
          </w:tcPr>
          <w:p w14:paraId="69BC6A8B" w14:textId="77777777" w:rsidR="00CE14CC" w:rsidRPr="009575DB" w:rsidRDefault="00CE14CC" w:rsidP="00C54EE3">
            <w:pPr>
              <w:pStyle w:val="NormalWeb"/>
              <w:jc w:val="center"/>
              <w:rPr>
                <w:sz w:val="20"/>
                <w:szCs w:val="20"/>
              </w:rPr>
            </w:pPr>
            <w:r w:rsidRPr="009575DB">
              <w:rPr>
                <w:sz w:val="20"/>
                <w:szCs w:val="20"/>
              </w:rPr>
              <w:t>19</w:t>
            </w:r>
          </w:p>
        </w:tc>
        <w:tc>
          <w:tcPr>
            <w:tcW w:w="1134" w:type="dxa"/>
            <w:shd w:val="clear" w:color="auto" w:fill="FFFFFF" w:themeFill="background1"/>
            <w:hideMark/>
          </w:tcPr>
          <w:p w14:paraId="7C50368D" w14:textId="77777777" w:rsidR="00CE14CC" w:rsidRPr="009575DB" w:rsidRDefault="00CE14CC" w:rsidP="00C54EE3">
            <w:pPr>
              <w:pStyle w:val="NormalWeb"/>
              <w:jc w:val="center"/>
              <w:rPr>
                <w:sz w:val="20"/>
                <w:szCs w:val="20"/>
              </w:rPr>
            </w:pPr>
            <w:r w:rsidRPr="009575DB">
              <w:rPr>
                <w:sz w:val="20"/>
                <w:szCs w:val="20"/>
              </w:rPr>
              <w:t>4%</w:t>
            </w:r>
          </w:p>
        </w:tc>
        <w:tc>
          <w:tcPr>
            <w:tcW w:w="850" w:type="dxa"/>
            <w:hideMark/>
          </w:tcPr>
          <w:p w14:paraId="2C49BA2E" w14:textId="77777777" w:rsidR="00CE14CC" w:rsidRPr="009575DB" w:rsidRDefault="00CE14CC" w:rsidP="00C54EE3">
            <w:pPr>
              <w:pStyle w:val="NormalWeb"/>
              <w:jc w:val="center"/>
              <w:rPr>
                <w:sz w:val="20"/>
                <w:szCs w:val="20"/>
              </w:rPr>
            </w:pPr>
            <w:r w:rsidRPr="009575DB">
              <w:rPr>
                <w:sz w:val="20"/>
                <w:szCs w:val="20"/>
              </w:rPr>
              <w:t>17</w:t>
            </w:r>
          </w:p>
        </w:tc>
        <w:tc>
          <w:tcPr>
            <w:tcW w:w="1560" w:type="dxa"/>
            <w:hideMark/>
          </w:tcPr>
          <w:p w14:paraId="23785366" w14:textId="77777777" w:rsidR="00CE14CC" w:rsidRPr="009575DB" w:rsidRDefault="00CE14CC" w:rsidP="00C54EE3">
            <w:pPr>
              <w:pStyle w:val="NormalWeb"/>
              <w:jc w:val="center"/>
              <w:rPr>
                <w:sz w:val="20"/>
                <w:szCs w:val="20"/>
              </w:rPr>
            </w:pPr>
            <w:r w:rsidRPr="009575DB">
              <w:rPr>
                <w:sz w:val="20"/>
                <w:szCs w:val="20"/>
              </w:rPr>
              <w:t>6%</w:t>
            </w:r>
          </w:p>
        </w:tc>
        <w:tc>
          <w:tcPr>
            <w:tcW w:w="992" w:type="dxa"/>
            <w:shd w:val="clear" w:color="auto" w:fill="FFFFFF" w:themeFill="background1"/>
            <w:hideMark/>
          </w:tcPr>
          <w:p w14:paraId="5A243DFB" w14:textId="77777777" w:rsidR="00CE14CC" w:rsidRPr="009575DB" w:rsidRDefault="00CE14CC" w:rsidP="00C54EE3">
            <w:pPr>
              <w:pStyle w:val="NormalWeb"/>
              <w:jc w:val="center"/>
              <w:rPr>
                <w:sz w:val="20"/>
                <w:szCs w:val="20"/>
              </w:rPr>
            </w:pPr>
            <w:r w:rsidRPr="009575DB">
              <w:rPr>
                <w:sz w:val="20"/>
                <w:szCs w:val="20"/>
              </w:rPr>
              <w:t>68</w:t>
            </w:r>
          </w:p>
        </w:tc>
        <w:tc>
          <w:tcPr>
            <w:tcW w:w="1092" w:type="dxa"/>
            <w:shd w:val="clear" w:color="auto" w:fill="FFFFFF" w:themeFill="background1"/>
            <w:hideMark/>
          </w:tcPr>
          <w:p w14:paraId="3B6A9C6D" w14:textId="77777777" w:rsidR="00CE14CC" w:rsidRPr="009575DB" w:rsidRDefault="00CE14CC" w:rsidP="00C54EE3">
            <w:pPr>
              <w:pStyle w:val="NormalWeb"/>
              <w:jc w:val="center"/>
              <w:rPr>
                <w:sz w:val="20"/>
                <w:szCs w:val="20"/>
              </w:rPr>
            </w:pPr>
            <w:r w:rsidRPr="009575DB">
              <w:rPr>
                <w:sz w:val="20"/>
                <w:szCs w:val="20"/>
              </w:rPr>
              <w:t>2.8%</w:t>
            </w:r>
          </w:p>
        </w:tc>
      </w:tr>
      <w:tr w:rsidR="00614426" w:rsidRPr="009575DB" w14:paraId="743C951F" w14:textId="77777777" w:rsidTr="00B06A5B">
        <w:tc>
          <w:tcPr>
            <w:tcW w:w="2268" w:type="dxa"/>
            <w:shd w:val="clear" w:color="auto" w:fill="FFFFFF" w:themeFill="background1"/>
            <w:hideMark/>
          </w:tcPr>
          <w:p w14:paraId="09F6C4D6" w14:textId="77777777" w:rsidR="00CE14CC" w:rsidRPr="009575DB" w:rsidRDefault="00CE14CC">
            <w:pPr>
              <w:pStyle w:val="NormalWeb"/>
              <w:rPr>
                <w:sz w:val="20"/>
                <w:szCs w:val="20"/>
              </w:rPr>
            </w:pPr>
            <w:proofErr w:type="spellStart"/>
            <w:r w:rsidRPr="009575DB">
              <w:rPr>
                <w:sz w:val="20"/>
                <w:szCs w:val="20"/>
                <w:lang w:val="en-US"/>
              </w:rPr>
              <w:t>Diarrhoea</w:t>
            </w:r>
            <w:proofErr w:type="spellEnd"/>
          </w:p>
        </w:tc>
        <w:tc>
          <w:tcPr>
            <w:tcW w:w="709" w:type="dxa"/>
            <w:shd w:val="clear" w:color="auto" w:fill="F2F2F2" w:themeFill="background1" w:themeFillShade="F2"/>
            <w:hideMark/>
          </w:tcPr>
          <w:p w14:paraId="5AEA01FC" w14:textId="77777777" w:rsidR="00CE14CC" w:rsidRPr="009575DB" w:rsidRDefault="00CE14CC" w:rsidP="00C54EE3">
            <w:pPr>
              <w:pStyle w:val="NormalWeb"/>
              <w:jc w:val="center"/>
              <w:rPr>
                <w:sz w:val="20"/>
                <w:szCs w:val="20"/>
              </w:rPr>
            </w:pPr>
            <w:r w:rsidRPr="009575DB">
              <w:rPr>
                <w:sz w:val="20"/>
                <w:szCs w:val="20"/>
              </w:rPr>
              <w:t>34</w:t>
            </w:r>
          </w:p>
        </w:tc>
        <w:tc>
          <w:tcPr>
            <w:tcW w:w="1134" w:type="dxa"/>
            <w:shd w:val="clear" w:color="auto" w:fill="F2F2F2" w:themeFill="background1" w:themeFillShade="F2"/>
            <w:hideMark/>
          </w:tcPr>
          <w:p w14:paraId="5E5AFBE2" w14:textId="77777777" w:rsidR="00CE14CC" w:rsidRPr="009575DB" w:rsidRDefault="00CE14CC" w:rsidP="00C54EE3">
            <w:pPr>
              <w:pStyle w:val="NormalWeb"/>
              <w:jc w:val="center"/>
              <w:rPr>
                <w:sz w:val="20"/>
                <w:szCs w:val="20"/>
              </w:rPr>
            </w:pPr>
            <w:r w:rsidRPr="009575DB">
              <w:rPr>
                <w:sz w:val="20"/>
                <w:szCs w:val="20"/>
              </w:rPr>
              <w:t>7%</w:t>
            </w:r>
          </w:p>
        </w:tc>
        <w:tc>
          <w:tcPr>
            <w:tcW w:w="709" w:type="dxa"/>
            <w:shd w:val="clear" w:color="auto" w:fill="FFFFFF" w:themeFill="background1"/>
            <w:hideMark/>
          </w:tcPr>
          <w:p w14:paraId="637DF70C" w14:textId="77777777" w:rsidR="00CE14CC" w:rsidRPr="009575DB" w:rsidRDefault="00CE14CC" w:rsidP="00C54EE3">
            <w:pPr>
              <w:pStyle w:val="NormalWeb"/>
              <w:jc w:val="center"/>
              <w:rPr>
                <w:sz w:val="20"/>
                <w:szCs w:val="20"/>
              </w:rPr>
            </w:pPr>
            <w:r w:rsidRPr="009575DB">
              <w:rPr>
                <w:sz w:val="20"/>
                <w:szCs w:val="20"/>
              </w:rPr>
              <w:t>16</w:t>
            </w:r>
          </w:p>
        </w:tc>
        <w:tc>
          <w:tcPr>
            <w:tcW w:w="1134" w:type="dxa"/>
            <w:shd w:val="clear" w:color="auto" w:fill="FFFFFF" w:themeFill="background1"/>
            <w:hideMark/>
          </w:tcPr>
          <w:p w14:paraId="727B816A" w14:textId="77777777" w:rsidR="00CE14CC" w:rsidRPr="009575DB" w:rsidRDefault="00CE14CC" w:rsidP="00C54EE3">
            <w:pPr>
              <w:pStyle w:val="NormalWeb"/>
              <w:jc w:val="center"/>
              <w:rPr>
                <w:sz w:val="20"/>
                <w:szCs w:val="20"/>
              </w:rPr>
            </w:pPr>
            <w:r w:rsidRPr="009575DB">
              <w:rPr>
                <w:sz w:val="20"/>
                <w:szCs w:val="20"/>
              </w:rPr>
              <w:t>2%</w:t>
            </w:r>
          </w:p>
        </w:tc>
        <w:tc>
          <w:tcPr>
            <w:tcW w:w="1276" w:type="dxa"/>
            <w:shd w:val="clear" w:color="auto" w:fill="F2F2F2" w:themeFill="background1" w:themeFillShade="F2"/>
            <w:hideMark/>
          </w:tcPr>
          <w:p w14:paraId="0720BB98" w14:textId="77777777" w:rsidR="00CE14CC" w:rsidRPr="009575DB" w:rsidRDefault="00CE14CC" w:rsidP="00C54EE3">
            <w:pPr>
              <w:pStyle w:val="NormalWeb"/>
              <w:jc w:val="center"/>
              <w:rPr>
                <w:sz w:val="20"/>
                <w:szCs w:val="20"/>
              </w:rPr>
            </w:pPr>
            <w:r w:rsidRPr="009575DB">
              <w:rPr>
                <w:sz w:val="20"/>
                <w:szCs w:val="20"/>
              </w:rPr>
              <w:t>5</w:t>
            </w:r>
          </w:p>
        </w:tc>
        <w:tc>
          <w:tcPr>
            <w:tcW w:w="1417" w:type="dxa"/>
            <w:shd w:val="clear" w:color="auto" w:fill="F2F2F2" w:themeFill="background1" w:themeFillShade="F2"/>
            <w:hideMark/>
          </w:tcPr>
          <w:p w14:paraId="0DC961E8"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01BDB0CA" w14:textId="77777777" w:rsidR="00CE14CC" w:rsidRPr="009575DB" w:rsidRDefault="00CE14CC" w:rsidP="00C54EE3">
            <w:pPr>
              <w:pStyle w:val="NormalWeb"/>
              <w:jc w:val="center"/>
              <w:rPr>
                <w:sz w:val="20"/>
                <w:szCs w:val="20"/>
              </w:rPr>
            </w:pPr>
            <w:r w:rsidRPr="009575DB">
              <w:rPr>
                <w:sz w:val="20"/>
                <w:szCs w:val="20"/>
              </w:rPr>
              <w:t>4</w:t>
            </w:r>
          </w:p>
        </w:tc>
        <w:tc>
          <w:tcPr>
            <w:tcW w:w="1134" w:type="dxa"/>
            <w:shd w:val="clear" w:color="auto" w:fill="FFFFFF" w:themeFill="background1"/>
            <w:hideMark/>
          </w:tcPr>
          <w:p w14:paraId="6533EF00" w14:textId="77777777" w:rsidR="00CE14CC" w:rsidRPr="009575DB" w:rsidRDefault="00CE14CC" w:rsidP="00C54EE3">
            <w:pPr>
              <w:pStyle w:val="NormalWeb"/>
              <w:jc w:val="center"/>
              <w:rPr>
                <w:sz w:val="20"/>
                <w:szCs w:val="20"/>
              </w:rPr>
            </w:pPr>
            <w:r w:rsidRPr="009575DB">
              <w:rPr>
                <w:sz w:val="20"/>
                <w:szCs w:val="20"/>
              </w:rPr>
              <w:t>1%</w:t>
            </w:r>
          </w:p>
        </w:tc>
        <w:tc>
          <w:tcPr>
            <w:tcW w:w="850" w:type="dxa"/>
            <w:shd w:val="clear" w:color="auto" w:fill="F2F2F2" w:themeFill="background1" w:themeFillShade="F2"/>
            <w:hideMark/>
          </w:tcPr>
          <w:p w14:paraId="1464C6FF" w14:textId="77777777" w:rsidR="00CE14CC" w:rsidRPr="009575DB" w:rsidRDefault="00CE14CC" w:rsidP="00C54EE3">
            <w:pPr>
              <w:pStyle w:val="NormalWeb"/>
              <w:jc w:val="center"/>
              <w:rPr>
                <w:sz w:val="20"/>
                <w:szCs w:val="20"/>
              </w:rPr>
            </w:pPr>
            <w:r w:rsidRPr="009575DB">
              <w:rPr>
                <w:sz w:val="20"/>
                <w:szCs w:val="20"/>
              </w:rPr>
              <w:t>5</w:t>
            </w:r>
          </w:p>
        </w:tc>
        <w:tc>
          <w:tcPr>
            <w:tcW w:w="1560" w:type="dxa"/>
            <w:shd w:val="clear" w:color="auto" w:fill="F2F2F2" w:themeFill="background1" w:themeFillShade="F2"/>
            <w:hideMark/>
          </w:tcPr>
          <w:p w14:paraId="7932CFA4" w14:textId="77777777" w:rsidR="00CE14CC" w:rsidRPr="009575DB" w:rsidRDefault="00CE14CC" w:rsidP="00C54EE3">
            <w:pPr>
              <w:pStyle w:val="NormalWeb"/>
              <w:jc w:val="center"/>
              <w:rPr>
                <w:sz w:val="20"/>
                <w:szCs w:val="20"/>
              </w:rPr>
            </w:pPr>
            <w:r w:rsidRPr="009575DB">
              <w:rPr>
                <w:sz w:val="20"/>
                <w:szCs w:val="20"/>
              </w:rPr>
              <w:t>2%</w:t>
            </w:r>
          </w:p>
        </w:tc>
        <w:tc>
          <w:tcPr>
            <w:tcW w:w="992" w:type="dxa"/>
            <w:shd w:val="clear" w:color="auto" w:fill="FFFFFF" w:themeFill="background1"/>
            <w:hideMark/>
          </w:tcPr>
          <w:p w14:paraId="2D54D0D3" w14:textId="77777777" w:rsidR="00CE14CC" w:rsidRPr="009575DB" w:rsidRDefault="00CE14CC" w:rsidP="00C54EE3">
            <w:pPr>
              <w:pStyle w:val="NormalWeb"/>
              <w:jc w:val="center"/>
              <w:rPr>
                <w:sz w:val="20"/>
                <w:szCs w:val="20"/>
              </w:rPr>
            </w:pPr>
            <w:r w:rsidRPr="009575DB">
              <w:rPr>
                <w:sz w:val="20"/>
                <w:szCs w:val="20"/>
              </w:rPr>
              <w:t>64</w:t>
            </w:r>
          </w:p>
        </w:tc>
        <w:tc>
          <w:tcPr>
            <w:tcW w:w="1092" w:type="dxa"/>
            <w:shd w:val="clear" w:color="auto" w:fill="FFFFFF" w:themeFill="background1"/>
            <w:hideMark/>
          </w:tcPr>
          <w:p w14:paraId="29DBE713" w14:textId="77777777" w:rsidR="00CE14CC" w:rsidRPr="009575DB" w:rsidRDefault="00CE14CC" w:rsidP="00C54EE3">
            <w:pPr>
              <w:pStyle w:val="NormalWeb"/>
              <w:jc w:val="center"/>
              <w:rPr>
                <w:sz w:val="20"/>
                <w:szCs w:val="20"/>
              </w:rPr>
            </w:pPr>
            <w:r w:rsidRPr="009575DB">
              <w:rPr>
                <w:sz w:val="20"/>
                <w:szCs w:val="20"/>
              </w:rPr>
              <w:t>2.6%</w:t>
            </w:r>
          </w:p>
        </w:tc>
      </w:tr>
      <w:tr w:rsidR="00614426" w:rsidRPr="009575DB" w14:paraId="0204D55D"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5331C291" w14:textId="77777777" w:rsidR="00CE14CC" w:rsidRPr="009575DB" w:rsidRDefault="00CE14CC">
            <w:pPr>
              <w:pStyle w:val="NormalWeb"/>
              <w:rPr>
                <w:sz w:val="20"/>
                <w:szCs w:val="20"/>
              </w:rPr>
            </w:pPr>
            <w:r w:rsidRPr="009575DB">
              <w:rPr>
                <w:sz w:val="20"/>
                <w:szCs w:val="20"/>
                <w:lang w:val="en-US"/>
              </w:rPr>
              <w:t>Vasovagal episode</w:t>
            </w:r>
          </w:p>
        </w:tc>
        <w:tc>
          <w:tcPr>
            <w:tcW w:w="709" w:type="dxa"/>
            <w:hideMark/>
          </w:tcPr>
          <w:p w14:paraId="37021BB4" w14:textId="77777777" w:rsidR="00CE14CC" w:rsidRPr="009575DB" w:rsidRDefault="00CE14CC" w:rsidP="00C54EE3">
            <w:pPr>
              <w:pStyle w:val="NormalWeb"/>
              <w:jc w:val="center"/>
              <w:rPr>
                <w:sz w:val="20"/>
                <w:szCs w:val="20"/>
              </w:rPr>
            </w:pPr>
            <w:r w:rsidRPr="009575DB">
              <w:rPr>
                <w:sz w:val="20"/>
                <w:szCs w:val="20"/>
              </w:rPr>
              <w:t>0</w:t>
            </w:r>
          </w:p>
        </w:tc>
        <w:tc>
          <w:tcPr>
            <w:tcW w:w="1134" w:type="dxa"/>
            <w:hideMark/>
          </w:tcPr>
          <w:p w14:paraId="66ED98DD"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440E3345" w14:textId="77777777" w:rsidR="00CE14CC" w:rsidRPr="009575DB" w:rsidRDefault="00CE14CC" w:rsidP="00C54EE3">
            <w:pPr>
              <w:pStyle w:val="NormalWeb"/>
              <w:jc w:val="center"/>
              <w:rPr>
                <w:sz w:val="20"/>
                <w:szCs w:val="20"/>
              </w:rPr>
            </w:pPr>
            <w:r w:rsidRPr="009575DB">
              <w:rPr>
                <w:sz w:val="20"/>
                <w:szCs w:val="20"/>
              </w:rPr>
              <w:t>14</w:t>
            </w:r>
          </w:p>
        </w:tc>
        <w:tc>
          <w:tcPr>
            <w:tcW w:w="1134" w:type="dxa"/>
            <w:shd w:val="clear" w:color="auto" w:fill="FFFFFF" w:themeFill="background1"/>
            <w:hideMark/>
          </w:tcPr>
          <w:p w14:paraId="6FD1C7DD" w14:textId="77777777" w:rsidR="00CE14CC" w:rsidRPr="009575DB" w:rsidRDefault="00CE14CC" w:rsidP="00C54EE3">
            <w:pPr>
              <w:pStyle w:val="NormalWeb"/>
              <w:jc w:val="center"/>
              <w:rPr>
                <w:sz w:val="20"/>
                <w:szCs w:val="20"/>
              </w:rPr>
            </w:pPr>
            <w:r w:rsidRPr="009575DB">
              <w:rPr>
                <w:sz w:val="20"/>
                <w:szCs w:val="20"/>
              </w:rPr>
              <w:t>2%</w:t>
            </w:r>
          </w:p>
        </w:tc>
        <w:tc>
          <w:tcPr>
            <w:tcW w:w="1276" w:type="dxa"/>
            <w:shd w:val="clear" w:color="auto" w:fill="C6D9F1" w:themeFill="text2" w:themeFillTint="33"/>
            <w:hideMark/>
          </w:tcPr>
          <w:p w14:paraId="5DED5568" w14:textId="77777777" w:rsidR="00CE14CC" w:rsidRPr="00B06A5B" w:rsidRDefault="00CE14CC" w:rsidP="00C54EE3">
            <w:pPr>
              <w:pStyle w:val="NormalWeb"/>
              <w:jc w:val="center"/>
              <w:rPr>
                <w:b/>
                <w:sz w:val="20"/>
                <w:szCs w:val="20"/>
              </w:rPr>
            </w:pPr>
            <w:r w:rsidRPr="00B06A5B">
              <w:rPr>
                <w:b/>
                <w:sz w:val="20"/>
                <w:szCs w:val="20"/>
              </w:rPr>
              <w:t>43</w:t>
            </w:r>
          </w:p>
        </w:tc>
        <w:tc>
          <w:tcPr>
            <w:tcW w:w="1417" w:type="dxa"/>
            <w:shd w:val="clear" w:color="auto" w:fill="C6D9F1" w:themeFill="text2" w:themeFillTint="33"/>
            <w:hideMark/>
          </w:tcPr>
          <w:p w14:paraId="74F254D0" w14:textId="77777777" w:rsidR="00CE14CC" w:rsidRPr="00B06A5B" w:rsidRDefault="00CE14CC" w:rsidP="00C54EE3">
            <w:pPr>
              <w:pStyle w:val="NormalWeb"/>
              <w:jc w:val="center"/>
              <w:rPr>
                <w:b/>
                <w:sz w:val="20"/>
                <w:szCs w:val="20"/>
              </w:rPr>
            </w:pPr>
            <w:r w:rsidRPr="00B06A5B">
              <w:rPr>
                <w:b/>
                <w:sz w:val="20"/>
                <w:szCs w:val="20"/>
              </w:rPr>
              <w:t>11%</w:t>
            </w:r>
          </w:p>
        </w:tc>
        <w:tc>
          <w:tcPr>
            <w:tcW w:w="709" w:type="dxa"/>
            <w:shd w:val="clear" w:color="auto" w:fill="FFFFFF" w:themeFill="background1"/>
            <w:hideMark/>
          </w:tcPr>
          <w:p w14:paraId="0FACAE32" w14:textId="77777777" w:rsidR="00CE14CC" w:rsidRPr="009575DB" w:rsidRDefault="00CE14CC" w:rsidP="00C54EE3">
            <w:pPr>
              <w:pStyle w:val="NormalWeb"/>
              <w:jc w:val="center"/>
              <w:rPr>
                <w:sz w:val="20"/>
                <w:szCs w:val="20"/>
              </w:rPr>
            </w:pPr>
            <w:r w:rsidRPr="009575DB">
              <w:rPr>
                <w:sz w:val="20"/>
                <w:szCs w:val="20"/>
              </w:rPr>
              <w:t>6</w:t>
            </w:r>
          </w:p>
        </w:tc>
        <w:tc>
          <w:tcPr>
            <w:tcW w:w="1134" w:type="dxa"/>
            <w:shd w:val="clear" w:color="auto" w:fill="FFFFFF" w:themeFill="background1"/>
            <w:hideMark/>
          </w:tcPr>
          <w:p w14:paraId="6EA366BD" w14:textId="77777777" w:rsidR="00CE14CC" w:rsidRPr="009575DB" w:rsidRDefault="00CE14CC" w:rsidP="00C54EE3">
            <w:pPr>
              <w:pStyle w:val="NormalWeb"/>
              <w:jc w:val="center"/>
              <w:rPr>
                <w:sz w:val="20"/>
                <w:szCs w:val="20"/>
              </w:rPr>
            </w:pPr>
            <w:r w:rsidRPr="009575DB">
              <w:rPr>
                <w:sz w:val="20"/>
                <w:szCs w:val="20"/>
              </w:rPr>
              <w:t>1%</w:t>
            </w:r>
          </w:p>
        </w:tc>
        <w:tc>
          <w:tcPr>
            <w:tcW w:w="850" w:type="dxa"/>
            <w:hideMark/>
          </w:tcPr>
          <w:p w14:paraId="0DA951CE" w14:textId="77777777" w:rsidR="00CE14CC" w:rsidRPr="009575DB" w:rsidRDefault="00CE14CC" w:rsidP="00C54EE3">
            <w:pPr>
              <w:pStyle w:val="NormalWeb"/>
              <w:jc w:val="center"/>
              <w:rPr>
                <w:sz w:val="20"/>
                <w:szCs w:val="20"/>
              </w:rPr>
            </w:pPr>
            <w:r w:rsidRPr="009575DB">
              <w:rPr>
                <w:sz w:val="20"/>
                <w:szCs w:val="20"/>
              </w:rPr>
              <w:t>0</w:t>
            </w:r>
          </w:p>
        </w:tc>
        <w:tc>
          <w:tcPr>
            <w:tcW w:w="1560" w:type="dxa"/>
            <w:hideMark/>
          </w:tcPr>
          <w:p w14:paraId="33B40A1A"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FFFFFF" w:themeFill="background1"/>
            <w:hideMark/>
          </w:tcPr>
          <w:p w14:paraId="1CF45F1D" w14:textId="77777777" w:rsidR="00CE14CC" w:rsidRPr="009575DB" w:rsidRDefault="00CE14CC" w:rsidP="00C54EE3">
            <w:pPr>
              <w:pStyle w:val="NormalWeb"/>
              <w:jc w:val="center"/>
              <w:rPr>
                <w:sz w:val="20"/>
                <w:szCs w:val="20"/>
              </w:rPr>
            </w:pPr>
            <w:r w:rsidRPr="009575DB">
              <w:rPr>
                <w:sz w:val="20"/>
                <w:szCs w:val="20"/>
              </w:rPr>
              <w:t>62</w:t>
            </w:r>
          </w:p>
        </w:tc>
        <w:tc>
          <w:tcPr>
            <w:tcW w:w="1092" w:type="dxa"/>
            <w:shd w:val="clear" w:color="auto" w:fill="FFFFFF" w:themeFill="background1"/>
            <w:hideMark/>
          </w:tcPr>
          <w:p w14:paraId="65F1A2F1" w14:textId="77777777" w:rsidR="00CE14CC" w:rsidRPr="009575DB" w:rsidRDefault="00CE14CC" w:rsidP="00C54EE3">
            <w:pPr>
              <w:pStyle w:val="NormalWeb"/>
              <w:jc w:val="center"/>
              <w:rPr>
                <w:sz w:val="20"/>
                <w:szCs w:val="20"/>
              </w:rPr>
            </w:pPr>
            <w:r w:rsidRPr="009575DB">
              <w:rPr>
                <w:sz w:val="20"/>
                <w:szCs w:val="20"/>
              </w:rPr>
              <w:t>2.6%</w:t>
            </w:r>
          </w:p>
        </w:tc>
      </w:tr>
      <w:tr w:rsidR="00614426" w:rsidRPr="009575DB" w14:paraId="79C670D1" w14:textId="77777777" w:rsidTr="00B06A5B">
        <w:tc>
          <w:tcPr>
            <w:tcW w:w="2268" w:type="dxa"/>
            <w:shd w:val="clear" w:color="auto" w:fill="FFFFFF" w:themeFill="background1"/>
            <w:hideMark/>
          </w:tcPr>
          <w:p w14:paraId="0E7A1426" w14:textId="77777777" w:rsidR="00CE14CC" w:rsidRPr="009575DB" w:rsidRDefault="00CE14CC">
            <w:pPr>
              <w:pStyle w:val="NormalWeb"/>
              <w:rPr>
                <w:sz w:val="20"/>
                <w:szCs w:val="20"/>
              </w:rPr>
            </w:pPr>
            <w:r w:rsidRPr="009575DB">
              <w:rPr>
                <w:sz w:val="20"/>
                <w:szCs w:val="20"/>
                <w:lang w:val="en-US"/>
              </w:rPr>
              <w:t>Irritable</w:t>
            </w:r>
          </w:p>
        </w:tc>
        <w:tc>
          <w:tcPr>
            <w:tcW w:w="709" w:type="dxa"/>
            <w:shd w:val="clear" w:color="auto" w:fill="F2F2F2" w:themeFill="background1" w:themeFillShade="F2"/>
            <w:hideMark/>
          </w:tcPr>
          <w:p w14:paraId="7C63B498" w14:textId="77777777" w:rsidR="00CE14CC" w:rsidRPr="009575DB" w:rsidRDefault="00CE14CC" w:rsidP="00C54EE3">
            <w:pPr>
              <w:pStyle w:val="NormalWeb"/>
              <w:jc w:val="center"/>
              <w:rPr>
                <w:sz w:val="20"/>
                <w:szCs w:val="20"/>
              </w:rPr>
            </w:pPr>
            <w:r w:rsidRPr="009575DB">
              <w:rPr>
                <w:sz w:val="20"/>
                <w:szCs w:val="20"/>
              </w:rPr>
              <w:t>41</w:t>
            </w:r>
          </w:p>
        </w:tc>
        <w:tc>
          <w:tcPr>
            <w:tcW w:w="1134" w:type="dxa"/>
            <w:shd w:val="clear" w:color="auto" w:fill="F2F2F2" w:themeFill="background1" w:themeFillShade="F2"/>
            <w:hideMark/>
          </w:tcPr>
          <w:p w14:paraId="1814244E" w14:textId="77777777" w:rsidR="00CE14CC" w:rsidRPr="009575DB" w:rsidRDefault="00CE14CC" w:rsidP="00C54EE3">
            <w:pPr>
              <w:pStyle w:val="NormalWeb"/>
              <w:jc w:val="center"/>
              <w:rPr>
                <w:sz w:val="20"/>
                <w:szCs w:val="20"/>
              </w:rPr>
            </w:pPr>
            <w:r w:rsidRPr="009575DB">
              <w:rPr>
                <w:sz w:val="20"/>
                <w:szCs w:val="20"/>
              </w:rPr>
              <w:t>9%</w:t>
            </w:r>
          </w:p>
        </w:tc>
        <w:tc>
          <w:tcPr>
            <w:tcW w:w="709" w:type="dxa"/>
            <w:shd w:val="clear" w:color="auto" w:fill="FFFFFF" w:themeFill="background1"/>
            <w:hideMark/>
          </w:tcPr>
          <w:p w14:paraId="57C18C31" w14:textId="77777777" w:rsidR="00CE14CC" w:rsidRPr="009575DB" w:rsidRDefault="00CE14CC" w:rsidP="00C54EE3">
            <w:pPr>
              <w:pStyle w:val="NormalWeb"/>
              <w:jc w:val="center"/>
              <w:rPr>
                <w:sz w:val="20"/>
                <w:szCs w:val="20"/>
              </w:rPr>
            </w:pPr>
            <w:r w:rsidRPr="009575DB">
              <w:rPr>
                <w:sz w:val="20"/>
                <w:szCs w:val="20"/>
              </w:rPr>
              <w:t>18</w:t>
            </w:r>
          </w:p>
        </w:tc>
        <w:tc>
          <w:tcPr>
            <w:tcW w:w="1134" w:type="dxa"/>
            <w:shd w:val="clear" w:color="auto" w:fill="FFFFFF" w:themeFill="background1"/>
            <w:hideMark/>
          </w:tcPr>
          <w:p w14:paraId="372C150F" w14:textId="77777777" w:rsidR="00CE14CC" w:rsidRPr="009575DB" w:rsidRDefault="00CE14CC" w:rsidP="00C54EE3">
            <w:pPr>
              <w:pStyle w:val="NormalWeb"/>
              <w:jc w:val="center"/>
              <w:rPr>
                <w:sz w:val="20"/>
                <w:szCs w:val="20"/>
              </w:rPr>
            </w:pPr>
            <w:r w:rsidRPr="009575DB">
              <w:rPr>
                <w:sz w:val="20"/>
                <w:szCs w:val="20"/>
              </w:rPr>
              <w:t>2%</w:t>
            </w:r>
          </w:p>
        </w:tc>
        <w:tc>
          <w:tcPr>
            <w:tcW w:w="1276" w:type="dxa"/>
            <w:shd w:val="clear" w:color="auto" w:fill="F2F2F2" w:themeFill="background1" w:themeFillShade="F2"/>
            <w:hideMark/>
          </w:tcPr>
          <w:p w14:paraId="3130B173" w14:textId="77777777" w:rsidR="00CE14CC" w:rsidRPr="009575DB" w:rsidRDefault="00CE14CC" w:rsidP="00C54EE3">
            <w:pPr>
              <w:pStyle w:val="NormalWeb"/>
              <w:jc w:val="center"/>
              <w:rPr>
                <w:sz w:val="20"/>
                <w:szCs w:val="20"/>
              </w:rPr>
            </w:pPr>
            <w:r w:rsidRPr="009575DB">
              <w:rPr>
                <w:sz w:val="20"/>
                <w:szCs w:val="20"/>
              </w:rPr>
              <w:t>1</w:t>
            </w:r>
          </w:p>
        </w:tc>
        <w:tc>
          <w:tcPr>
            <w:tcW w:w="1417" w:type="dxa"/>
            <w:shd w:val="clear" w:color="auto" w:fill="F2F2F2" w:themeFill="background1" w:themeFillShade="F2"/>
            <w:hideMark/>
          </w:tcPr>
          <w:p w14:paraId="341449D1"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0960A3E1"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FFFFFF" w:themeFill="background1"/>
            <w:hideMark/>
          </w:tcPr>
          <w:p w14:paraId="5B7BB71E" w14:textId="77777777" w:rsidR="00CE14CC" w:rsidRPr="009575DB" w:rsidRDefault="00CE14CC" w:rsidP="00C54EE3">
            <w:pPr>
              <w:pStyle w:val="NormalWeb"/>
              <w:jc w:val="center"/>
              <w:rPr>
                <w:sz w:val="20"/>
                <w:szCs w:val="20"/>
              </w:rPr>
            </w:pPr>
            <w:r w:rsidRPr="009575DB">
              <w:rPr>
                <w:sz w:val="20"/>
                <w:szCs w:val="20"/>
              </w:rPr>
              <w:t>0%</w:t>
            </w:r>
          </w:p>
        </w:tc>
        <w:tc>
          <w:tcPr>
            <w:tcW w:w="850" w:type="dxa"/>
            <w:shd w:val="clear" w:color="auto" w:fill="F2F2F2" w:themeFill="background1" w:themeFillShade="F2"/>
            <w:hideMark/>
          </w:tcPr>
          <w:p w14:paraId="342CE592" w14:textId="77777777" w:rsidR="00CE14CC" w:rsidRPr="009575DB" w:rsidRDefault="00CE14CC" w:rsidP="00C54EE3">
            <w:pPr>
              <w:pStyle w:val="NormalWeb"/>
              <w:jc w:val="center"/>
              <w:rPr>
                <w:sz w:val="20"/>
                <w:szCs w:val="20"/>
              </w:rPr>
            </w:pPr>
            <w:r w:rsidRPr="009575DB">
              <w:rPr>
                <w:sz w:val="20"/>
                <w:szCs w:val="20"/>
              </w:rPr>
              <w:t>0</w:t>
            </w:r>
          </w:p>
        </w:tc>
        <w:tc>
          <w:tcPr>
            <w:tcW w:w="1560" w:type="dxa"/>
            <w:shd w:val="clear" w:color="auto" w:fill="F2F2F2" w:themeFill="background1" w:themeFillShade="F2"/>
            <w:hideMark/>
          </w:tcPr>
          <w:p w14:paraId="396FEC8E"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FFFFFF" w:themeFill="background1"/>
            <w:hideMark/>
          </w:tcPr>
          <w:p w14:paraId="15D2C740" w14:textId="77777777" w:rsidR="00CE14CC" w:rsidRPr="009575DB" w:rsidRDefault="00CE14CC" w:rsidP="00C54EE3">
            <w:pPr>
              <w:pStyle w:val="NormalWeb"/>
              <w:jc w:val="center"/>
              <w:rPr>
                <w:sz w:val="20"/>
                <w:szCs w:val="20"/>
              </w:rPr>
            </w:pPr>
            <w:r w:rsidRPr="009575DB">
              <w:rPr>
                <w:sz w:val="20"/>
                <w:szCs w:val="20"/>
              </w:rPr>
              <w:t>61</w:t>
            </w:r>
          </w:p>
        </w:tc>
        <w:tc>
          <w:tcPr>
            <w:tcW w:w="1092" w:type="dxa"/>
            <w:shd w:val="clear" w:color="auto" w:fill="FFFFFF" w:themeFill="background1"/>
            <w:hideMark/>
          </w:tcPr>
          <w:p w14:paraId="5232968D" w14:textId="77777777" w:rsidR="00CE14CC" w:rsidRPr="009575DB" w:rsidRDefault="00CE14CC" w:rsidP="00C54EE3">
            <w:pPr>
              <w:pStyle w:val="NormalWeb"/>
              <w:jc w:val="center"/>
              <w:rPr>
                <w:sz w:val="20"/>
                <w:szCs w:val="20"/>
              </w:rPr>
            </w:pPr>
            <w:r w:rsidRPr="009575DB">
              <w:rPr>
                <w:sz w:val="20"/>
                <w:szCs w:val="20"/>
              </w:rPr>
              <w:t>2.5%</w:t>
            </w:r>
          </w:p>
        </w:tc>
      </w:tr>
      <w:tr w:rsidR="00614426" w:rsidRPr="009575DB" w14:paraId="768A613D"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4CE2FAB6" w14:textId="77777777" w:rsidR="00CE14CC" w:rsidRPr="009575DB" w:rsidRDefault="00CE14CC">
            <w:pPr>
              <w:pStyle w:val="NormalWeb"/>
              <w:rPr>
                <w:sz w:val="20"/>
                <w:szCs w:val="20"/>
              </w:rPr>
            </w:pPr>
            <w:r w:rsidRPr="009575DB">
              <w:rPr>
                <w:sz w:val="20"/>
                <w:szCs w:val="20"/>
                <w:lang w:val="en-US"/>
              </w:rPr>
              <w:t>Nausea</w:t>
            </w:r>
          </w:p>
        </w:tc>
        <w:tc>
          <w:tcPr>
            <w:tcW w:w="709" w:type="dxa"/>
            <w:hideMark/>
          </w:tcPr>
          <w:p w14:paraId="3AB8EA77" w14:textId="77777777" w:rsidR="00CE14CC" w:rsidRPr="009575DB" w:rsidRDefault="00CE14CC" w:rsidP="00C54EE3">
            <w:pPr>
              <w:pStyle w:val="NormalWeb"/>
              <w:jc w:val="center"/>
              <w:rPr>
                <w:sz w:val="20"/>
                <w:szCs w:val="20"/>
              </w:rPr>
            </w:pPr>
            <w:r w:rsidRPr="009575DB">
              <w:rPr>
                <w:sz w:val="20"/>
                <w:szCs w:val="20"/>
              </w:rPr>
              <w:t>1</w:t>
            </w:r>
          </w:p>
        </w:tc>
        <w:tc>
          <w:tcPr>
            <w:tcW w:w="1134" w:type="dxa"/>
            <w:hideMark/>
          </w:tcPr>
          <w:p w14:paraId="6307A29B"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36F60A2C" w14:textId="77777777" w:rsidR="00CE14CC" w:rsidRPr="009575DB" w:rsidRDefault="00CE14CC" w:rsidP="00C54EE3">
            <w:pPr>
              <w:pStyle w:val="NormalWeb"/>
              <w:jc w:val="center"/>
              <w:rPr>
                <w:sz w:val="20"/>
                <w:szCs w:val="20"/>
              </w:rPr>
            </w:pPr>
            <w:r w:rsidRPr="009575DB">
              <w:rPr>
                <w:sz w:val="20"/>
                <w:szCs w:val="20"/>
              </w:rPr>
              <w:t>3</w:t>
            </w:r>
          </w:p>
        </w:tc>
        <w:tc>
          <w:tcPr>
            <w:tcW w:w="1134" w:type="dxa"/>
            <w:shd w:val="clear" w:color="auto" w:fill="FFFFFF" w:themeFill="background1"/>
            <w:hideMark/>
          </w:tcPr>
          <w:p w14:paraId="17F1091D" w14:textId="77777777" w:rsidR="00CE14CC" w:rsidRPr="009575DB" w:rsidRDefault="00CE14CC" w:rsidP="00C54EE3">
            <w:pPr>
              <w:pStyle w:val="NormalWeb"/>
              <w:jc w:val="center"/>
              <w:rPr>
                <w:sz w:val="20"/>
                <w:szCs w:val="20"/>
              </w:rPr>
            </w:pPr>
            <w:r w:rsidRPr="009575DB">
              <w:rPr>
                <w:sz w:val="20"/>
                <w:szCs w:val="20"/>
              </w:rPr>
              <w:t>0%</w:t>
            </w:r>
          </w:p>
        </w:tc>
        <w:tc>
          <w:tcPr>
            <w:tcW w:w="1276" w:type="dxa"/>
            <w:hideMark/>
          </w:tcPr>
          <w:p w14:paraId="14F749D2" w14:textId="77777777" w:rsidR="00CE14CC" w:rsidRPr="009575DB" w:rsidRDefault="00CE14CC" w:rsidP="00C54EE3">
            <w:pPr>
              <w:pStyle w:val="NormalWeb"/>
              <w:jc w:val="center"/>
              <w:rPr>
                <w:sz w:val="20"/>
                <w:szCs w:val="20"/>
              </w:rPr>
            </w:pPr>
            <w:r w:rsidRPr="009575DB">
              <w:rPr>
                <w:sz w:val="20"/>
                <w:szCs w:val="20"/>
              </w:rPr>
              <w:t>17</w:t>
            </w:r>
          </w:p>
        </w:tc>
        <w:tc>
          <w:tcPr>
            <w:tcW w:w="1417" w:type="dxa"/>
            <w:hideMark/>
          </w:tcPr>
          <w:p w14:paraId="6DD7BE2D" w14:textId="77777777" w:rsidR="00CE14CC" w:rsidRPr="009575DB" w:rsidRDefault="00CE14CC" w:rsidP="00C54EE3">
            <w:pPr>
              <w:pStyle w:val="NormalWeb"/>
              <w:jc w:val="center"/>
              <w:rPr>
                <w:sz w:val="20"/>
                <w:szCs w:val="20"/>
              </w:rPr>
            </w:pPr>
            <w:r w:rsidRPr="009575DB">
              <w:rPr>
                <w:sz w:val="20"/>
                <w:szCs w:val="20"/>
              </w:rPr>
              <w:t>4%</w:t>
            </w:r>
          </w:p>
        </w:tc>
        <w:tc>
          <w:tcPr>
            <w:tcW w:w="709" w:type="dxa"/>
            <w:shd w:val="clear" w:color="auto" w:fill="FFFFFF" w:themeFill="background1"/>
            <w:hideMark/>
          </w:tcPr>
          <w:p w14:paraId="08A7A9BB" w14:textId="77777777" w:rsidR="00CE14CC" w:rsidRPr="009575DB" w:rsidRDefault="00CE14CC" w:rsidP="00C54EE3">
            <w:pPr>
              <w:pStyle w:val="NormalWeb"/>
              <w:jc w:val="center"/>
              <w:rPr>
                <w:sz w:val="20"/>
                <w:szCs w:val="20"/>
              </w:rPr>
            </w:pPr>
            <w:r w:rsidRPr="009575DB">
              <w:rPr>
                <w:sz w:val="20"/>
                <w:szCs w:val="20"/>
              </w:rPr>
              <w:t>19</w:t>
            </w:r>
          </w:p>
        </w:tc>
        <w:tc>
          <w:tcPr>
            <w:tcW w:w="1134" w:type="dxa"/>
            <w:shd w:val="clear" w:color="auto" w:fill="FFFFFF" w:themeFill="background1"/>
            <w:hideMark/>
          </w:tcPr>
          <w:p w14:paraId="23271545" w14:textId="77777777" w:rsidR="00CE14CC" w:rsidRPr="009575DB" w:rsidRDefault="00CE14CC" w:rsidP="00C54EE3">
            <w:pPr>
              <w:pStyle w:val="NormalWeb"/>
              <w:jc w:val="center"/>
              <w:rPr>
                <w:sz w:val="20"/>
                <w:szCs w:val="20"/>
              </w:rPr>
            </w:pPr>
            <w:r w:rsidRPr="009575DB">
              <w:rPr>
                <w:sz w:val="20"/>
                <w:szCs w:val="20"/>
              </w:rPr>
              <w:t>4%</w:t>
            </w:r>
          </w:p>
        </w:tc>
        <w:tc>
          <w:tcPr>
            <w:tcW w:w="850" w:type="dxa"/>
            <w:hideMark/>
          </w:tcPr>
          <w:p w14:paraId="2D67C398" w14:textId="77777777" w:rsidR="00CE14CC" w:rsidRPr="009575DB" w:rsidRDefault="00CE14CC" w:rsidP="00C54EE3">
            <w:pPr>
              <w:pStyle w:val="NormalWeb"/>
              <w:jc w:val="center"/>
              <w:rPr>
                <w:sz w:val="20"/>
                <w:szCs w:val="20"/>
              </w:rPr>
            </w:pPr>
            <w:r w:rsidRPr="009575DB">
              <w:rPr>
                <w:sz w:val="20"/>
                <w:szCs w:val="20"/>
              </w:rPr>
              <w:t>14</w:t>
            </w:r>
          </w:p>
        </w:tc>
        <w:tc>
          <w:tcPr>
            <w:tcW w:w="1560" w:type="dxa"/>
            <w:hideMark/>
          </w:tcPr>
          <w:p w14:paraId="00C77BA9" w14:textId="77777777" w:rsidR="00CE14CC" w:rsidRPr="009575DB" w:rsidRDefault="00CE14CC" w:rsidP="00C54EE3">
            <w:pPr>
              <w:pStyle w:val="NormalWeb"/>
              <w:jc w:val="center"/>
              <w:rPr>
                <w:sz w:val="20"/>
                <w:szCs w:val="20"/>
              </w:rPr>
            </w:pPr>
            <w:r w:rsidRPr="009575DB">
              <w:rPr>
                <w:sz w:val="20"/>
                <w:szCs w:val="20"/>
              </w:rPr>
              <w:t>5%</w:t>
            </w:r>
          </w:p>
        </w:tc>
        <w:tc>
          <w:tcPr>
            <w:tcW w:w="992" w:type="dxa"/>
            <w:shd w:val="clear" w:color="auto" w:fill="FFFFFF" w:themeFill="background1"/>
            <w:hideMark/>
          </w:tcPr>
          <w:p w14:paraId="7FDFA2E9" w14:textId="77777777" w:rsidR="00CE14CC" w:rsidRPr="009575DB" w:rsidRDefault="00CE14CC" w:rsidP="00C54EE3">
            <w:pPr>
              <w:pStyle w:val="NormalWeb"/>
              <w:jc w:val="center"/>
              <w:rPr>
                <w:sz w:val="20"/>
                <w:szCs w:val="20"/>
              </w:rPr>
            </w:pPr>
            <w:r w:rsidRPr="009575DB">
              <w:rPr>
                <w:sz w:val="20"/>
                <w:szCs w:val="20"/>
              </w:rPr>
              <w:t>54</w:t>
            </w:r>
          </w:p>
        </w:tc>
        <w:tc>
          <w:tcPr>
            <w:tcW w:w="1092" w:type="dxa"/>
            <w:shd w:val="clear" w:color="auto" w:fill="FFFFFF" w:themeFill="background1"/>
            <w:hideMark/>
          </w:tcPr>
          <w:p w14:paraId="4179BE68" w14:textId="77777777" w:rsidR="00CE14CC" w:rsidRPr="009575DB" w:rsidRDefault="00CE14CC" w:rsidP="00C54EE3">
            <w:pPr>
              <w:pStyle w:val="NormalWeb"/>
              <w:jc w:val="center"/>
              <w:rPr>
                <w:sz w:val="20"/>
                <w:szCs w:val="20"/>
              </w:rPr>
            </w:pPr>
            <w:r w:rsidRPr="009575DB">
              <w:rPr>
                <w:sz w:val="20"/>
                <w:szCs w:val="20"/>
              </w:rPr>
              <w:t>2.2%</w:t>
            </w:r>
          </w:p>
        </w:tc>
      </w:tr>
      <w:tr w:rsidR="00614426" w:rsidRPr="009575DB" w14:paraId="72DC7E0A" w14:textId="77777777" w:rsidTr="00B06A5B">
        <w:tc>
          <w:tcPr>
            <w:tcW w:w="2268" w:type="dxa"/>
            <w:shd w:val="clear" w:color="auto" w:fill="FFFFFF" w:themeFill="background1"/>
            <w:hideMark/>
          </w:tcPr>
          <w:p w14:paraId="35C1499C" w14:textId="77777777" w:rsidR="00CE14CC" w:rsidRPr="009575DB" w:rsidRDefault="00CE14CC">
            <w:pPr>
              <w:pStyle w:val="NormalWeb"/>
              <w:rPr>
                <w:sz w:val="20"/>
                <w:szCs w:val="20"/>
              </w:rPr>
            </w:pPr>
            <w:r w:rsidRPr="009575DB">
              <w:rPr>
                <w:sz w:val="20"/>
                <w:szCs w:val="20"/>
                <w:lang w:val="en-US"/>
              </w:rPr>
              <w:t>Headache</w:t>
            </w:r>
          </w:p>
        </w:tc>
        <w:tc>
          <w:tcPr>
            <w:tcW w:w="709" w:type="dxa"/>
            <w:shd w:val="clear" w:color="auto" w:fill="F2F2F2" w:themeFill="background1" w:themeFillShade="F2"/>
            <w:hideMark/>
          </w:tcPr>
          <w:p w14:paraId="5331C79A" w14:textId="77777777" w:rsidR="00CE14CC" w:rsidRPr="009575DB" w:rsidRDefault="00CE14CC" w:rsidP="00C54EE3">
            <w:pPr>
              <w:pStyle w:val="NormalWeb"/>
              <w:jc w:val="center"/>
              <w:rPr>
                <w:sz w:val="20"/>
                <w:szCs w:val="20"/>
              </w:rPr>
            </w:pPr>
            <w:r w:rsidRPr="009575DB">
              <w:rPr>
                <w:sz w:val="20"/>
                <w:szCs w:val="20"/>
              </w:rPr>
              <w:t>2</w:t>
            </w:r>
          </w:p>
        </w:tc>
        <w:tc>
          <w:tcPr>
            <w:tcW w:w="1134" w:type="dxa"/>
            <w:shd w:val="clear" w:color="auto" w:fill="F2F2F2" w:themeFill="background1" w:themeFillShade="F2"/>
            <w:hideMark/>
          </w:tcPr>
          <w:p w14:paraId="37C3484C"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59B94DEB"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FFFFFF" w:themeFill="background1"/>
            <w:hideMark/>
          </w:tcPr>
          <w:p w14:paraId="34EF270F" w14:textId="77777777" w:rsidR="00CE14CC" w:rsidRPr="009575DB" w:rsidRDefault="00CE14CC" w:rsidP="00C54EE3">
            <w:pPr>
              <w:pStyle w:val="NormalWeb"/>
              <w:jc w:val="center"/>
              <w:rPr>
                <w:sz w:val="20"/>
                <w:szCs w:val="20"/>
              </w:rPr>
            </w:pPr>
            <w:r w:rsidRPr="009575DB">
              <w:rPr>
                <w:sz w:val="20"/>
                <w:szCs w:val="20"/>
              </w:rPr>
              <w:t>0%</w:t>
            </w:r>
          </w:p>
        </w:tc>
        <w:tc>
          <w:tcPr>
            <w:tcW w:w="1276" w:type="dxa"/>
            <w:shd w:val="clear" w:color="auto" w:fill="F2F2F2" w:themeFill="background1" w:themeFillShade="F2"/>
            <w:hideMark/>
          </w:tcPr>
          <w:p w14:paraId="55BA397F" w14:textId="77777777" w:rsidR="00CE14CC" w:rsidRPr="009575DB" w:rsidRDefault="00CE14CC" w:rsidP="00C54EE3">
            <w:pPr>
              <w:pStyle w:val="NormalWeb"/>
              <w:jc w:val="center"/>
              <w:rPr>
                <w:sz w:val="20"/>
                <w:szCs w:val="20"/>
              </w:rPr>
            </w:pPr>
            <w:r w:rsidRPr="009575DB">
              <w:rPr>
                <w:sz w:val="20"/>
                <w:szCs w:val="20"/>
              </w:rPr>
              <w:t>14</w:t>
            </w:r>
          </w:p>
        </w:tc>
        <w:tc>
          <w:tcPr>
            <w:tcW w:w="1417" w:type="dxa"/>
            <w:shd w:val="clear" w:color="auto" w:fill="F2F2F2" w:themeFill="background1" w:themeFillShade="F2"/>
            <w:hideMark/>
          </w:tcPr>
          <w:p w14:paraId="643CAF2D" w14:textId="77777777" w:rsidR="00CE14CC" w:rsidRPr="009575DB" w:rsidRDefault="00CE14CC" w:rsidP="00C54EE3">
            <w:pPr>
              <w:pStyle w:val="NormalWeb"/>
              <w:jc w:val="center"/>
              <w:rPr>
                <w:sz w:val="20"/>
                <w:szCs w:val="20"/>
              </w:rPr>
            </w:pPr>
            <w:r w:rsidRPr="009575DB">
              <w:rPr>
                <w:sz w:val="20"/>
                <w:szCs w:val="20"/>
              </w:rPr>
              <w:t>4%</w:t>
            </w:r>
          </w:p>
        </w:tc>
        <w:tc>
          <w:tcPr>
            <w:tcW w:w="709" w:type="dxa"/>
            <w:shd w:val="clear" w:color="auto" w:fill="FFFFFF" w:themeFill="background1"/>
            <w:hideMark/>
          </w:tcPr>
          <w:p w14:paraId="07193CB9" w14:textId="77777777" w:rsidR="00CE14CC" w:rsidRPr="009575DB" w:rsidRDefault="00CE14CC" w:rsidP="00C54EE3">
            <w:pPr>
              <w:pStyle w:val="NormalWeb"/>
              <w:jc w:val="center"/>
              <w:rPr>
                <w:sz w:val="20"/>
                <w:szCs w:val="20"/>
              </w:rPr>
            </w:pPr>
            <w:r w:rsidRPr="009575DB">
              <w:rPr>
                <w:sz w:val="20"/>
                <w:szCs w:val="20"/>
              </w:rPr>
              <w:t>12</w:t>
            </w:r>
          </w:p>
        </w:tc>
        <w:tc>
          <w:tcPr>
            <w:tcW w:w="1134" w:type="dxa"/>
            <w:shd w:val="clear" w:color="auto" w:fill="FFFFFF" w:themeFill="background1"/>
            <w:hideMark/>
          </w:tcPr>
          <w:p w14:paraId="6E3B43D8" w14:textId="77777777" w:rsidR="00CE14CC" w:rsidRPr="009575DB" w:rsidRDefault="00CE14CC" w:rsidP="00C54EE3">
            <w:pPr>
              <w:pStyle w:val="NormalWeb"/>
              <w:jc w:val="center"/>
              <w:rPr>
                <w:sz w:val="20"/>
                <w:szCs w:val="20"/>
              </w:rPr>
            </w:pPr>
            <w:r w:rsidRPr="009575DB">
              <w:rPr>
                <w:sz w:val="20"/>
                <w:szCs w:val="20"/>
              </w:rPr>
              <w:t>3%</w:t>
            </w:r>
          </w:p>
        </w:tc>
        <w:tc>
          <w:tcPr>
            <w:tcW w:w="850" w:type="dxa"/>
            <w:shd w:val="clear" w:color="auto" w:fill="F2F2F2" w:themeFill="background1" w:themeFillShade="F2"/>
            <w:hideMark/>
          </w:tcPr>
          <w:p w14:paraId="72A6AFF9" w14:textId="77777777" w:rsidR="00CE14CC" w:rsidRPr="009575DB" w:rsidRDefault="00CE14CC" w:rsidP="00C54EE3">
            <w:pPr>
              <w:pStyle w:val="NormalWeb"/>
              <w:jc w:val="center"/>
              <w:rPr>
                <w:sz w:val="20"/>
                <w:szCs w:val="20"/>
              </w:rPr>
            </w:pPr>
            <w:r w:rsidRPr="009575DB">
              <w:rPr>
                <w:sz w:val="20"/>
                <w:szCs w:val="20"/>
              </w:rPr>
              <w:t>9</w:t>
            </w:r>
          </w:p>
        </w:tc>
        <w:tc>
          <w:tcPr>
            <w:tcW w:w="1560" w:type="dxa"/>
            <w:shd w:val="clear" w:color="auto" w:fill="F2F2F2" w:themeFill="background1" w:themeFillShade="F2"/>
            <w:hideMark/>
          </w:tcPr>
          <w:p w14:paraId="7FB9E30E" w14:textId="77777777" w:rsidR="00CE14CC" w:rsidRPr="009575DB" w:rsidRDefault="00CE14CC" w:rsidP="00C54EE3">
            <w:pPr>
              <w:pStyle w:val="NormalWeb"/>
              <w:jc w:val="center"/>
              <w:rPr>
                <w:sz w:val="20"/>
                <w:szCs w:val="20"/>
              </w:rPr>
            </w:pPr>
            <w:r w:rsidRPr="009575DB">
              <w:rPr>
                <w:sz w:val="20"/>
                <w:szCs w:val="20"/>
              </w:rPr>
              <w:t>3%</w:t>
            </w:r>
          </w:p>
        </w:tc>
        <w:tc>
          <w:tcPr>
            <w:tcW w:w="992" w:type="dxa"/>
            <w:shd w:val="clear" w:color="auto" w:fill="FFFFFF" w:themeFill="background1"/>
            <w:hideMark/>
          </w:tcPr>
          <w:p w14:paraId="19489D2E" w14:textId="77777777" w:rsidR="00CE14CC" w:rsidRPr="009575DB" w:rsidRDefault="00CE14CC" w:rsidP="00C54EE3">
            <w:pPr>
              <w:pStyle w:val="NormalWeb"/>
              <w:jc w:val="center"/>
              <w:rPr>
                <w:sz w:val="20"/>
                <w:szCs w:val="20"/>
              </w:rPr>
            </w:pPr>
            <w:r w:rsidRPr="009575DB">
              <w:rPr>
                <w:sz w:val="20"/>
                <w:szCs w:val="20"/>
              </w:rPr>
              <w:t>38</w:t>
            </w:r>
          </w:p>
        </w:tc>
        <w:tc>
          <w:tcPr>
            <w:tcW w:w="1092" w:type="dxa"/>
            <w:shd w:val="clear" w:color="auto" w:fill="FFFFFF" w:themeFill="background1"/>
            <w:hideMark/>
          </w:tcPr>
          <w:p w14:paraId="11C2A264" w14:textId="77777777" w:rsidR="00CE14CC" w:rsidRPr="009575DB" w:rsidRDefault="00CE14CC" w:rsidP="00C54EE3">
            <w:pPr>
              <w:pStyle w:val="NormalWeb"/>
              <w:jc w:val="center"/>
              <w:rPr>
                <w:sz w:val="20"/>
                <w:szCs w:val="20"/>
              </w:rPr>
            </w:pPr>
            <w:r w:rsidRPr="009575DB">
              <w:rPr>
                <w:sz w:val="20"/>
                <w:szCs w:val="20"/>
              </w:rPr>
              <w:t>1.6%</w:t>
            </w:r>
          </w:p>
        </w:tc>
      </w:tr>
      <w:tr w:rsidR="00614426" w:rsidRPr="009575DB" w14:paraId="13FF8794"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0FDC29D1" w14:textId="77777777" w:rsidR="00CE14CC" w:rsidRPr="009575DB" w:rsidRDefault="00CE14CC">
            <w:pPr>
              <w:pStyle w:val="NormalWeb"/>
              <w:rPr>
                <w:sz w:val="20"/>
                <w:szCs w:val="20"/>
              </w:rPr>
            </w:pPr>
            <w:r w:rsidRPr="009575DB">
              <w:rPr>
                <w:sz w:val="20"/>
                <w:szCs w:val="20"/>
                <w:lang w:val="en-US"/>
              </w:rPr>
              <w:t>Angioedema</w:t>
            </w:r>
          </w:p>
        </w:tc>
        <w:tc>
          <w:tcPr>
            <w:tcW w:w="709" w:type="dxa"/>
            <w:hideMark/>
          </w:tcPr>
          <w:p w14:paraId="0C3CE4DC" w14:textId="77777777" w:rsidR="00CE14CC" w:rsidRPr="009575DB" w:rsidRDefault="00CE14CC" w:rsidP="00C54EE3">
            <w:pPr>
              <w:pStyle w:val="NormalWeb"/>
              <w:jc w:val="center"/>
              <w:rPr>
                <w:sz w:val="20"/>
                <w:szCs w:val="20"/>
              </w:rPr>
            </w:pPr>
            <w:r w:rsidRPr="009575DB">
              <w:rPr>
                <w:sz w:val="20"/>
                <w:szCs w:val="20"/>
              </w:rPr>
              <w:t>6</w:t>
            </w:r>
          </w:p>
        </w:tc>
        <w:tc>
          <w:tcPr>
            <w:tcW w:w="1134" w:type="dxa"/>
            <w:hideMark/>
          </w:tcPr>
          <w:p w14:paraId="17248CAA"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703506D5" w14:textId="77777777" w:rsidR="00CE14CC" w:rsidRPr="009575DB" w:rsidRDefault="00CE14CC" w:rsidP="00C54EE3">
            <w:pPr>
              <w:pStyle w:val="NormalWeb"/>
              <w:jc w:val="center"/>
              <w:rPr>
                <w:sz w:val="20"/>
                <w:szCs w:val="20"/>
              </w:rPr>
            </w:pPr>
            <w:r w:rsidRPr="009575DB">
              <w:rPr>
                <w:sz w:val="20"/>
                <w:szCs w:val="20"/>
              </w:rPr>
              <w:t>6</w:t>
            </w:r>
          </w:p>
        </w:tc>
        <w:tc>
          <w:tcPr>
            <w:tcW w:w="1134" w:type="dxa"/>
            <w:shd w:val="clear" w:color="auto" w:fill="FFFFFF" w:themeFill="background1"/>
            <w:hideMark/>
          </w:tcPr>
          <w:p w14:paraId="3D54189C" w14:textId="77777777" w:rsidR="00CE14CC" w:rsidRPr="009575DB" w:rsidRDefault="00CE14CC" w:rsidP="00C54EE3">
            <w:pPr>
              <w:pStyle w:val="NormalWeb"/>
              <w:jc w:val="center"/>
              <w:rPr>
                <w:sz w:val="20"/>
                <w:szCs w:val="20"/>
              </w:rPr>
            </w:pPr>
            <w:r w:rsidRPr="009575DB">
              <w:rPr>
                <w:sz w:val="20"/>
                <w:szCs w:val="20"/>
              </w:rPr>
              <w:t>1%</w:t>
            </w:r>
          </w:p>
        </w:tc>
        <w:tc>
          <w:tcPr>
            <w:tcW w:w="1276" w:type="dxa"/>
            <w:hideMark/>
          </w:tcPr>
          <w:p w14:paraId="5E40DCA1" w14:textId="77777777" w:rsidR="00CE14CC" w:rsidRPr="009575DB" w:rsidRDefault="00CE14CC" w:rsidP="00C54EE3">
            <w:pPr>
              <w:pStyle w:val="NormalWeb"/>
              <w:jc w:val="center"/>
              <w:rPr>
                <w:sz w:val="20"/>
                <w:szCs w:val="20"/>
              </w:rPr>
            </w:pPr>
            <w:r w:rsidRPr="009575DB">
              <w:rPr>
                <w:sz w:val="20"/>
                <w:szCs w:val="20"/>
              </w:rPr>
              <w:t>4</w:t>
            </w:r>
          </w:p>
        </w:tc>
        <w:tc>
          <w:tcPr>
            <w:tcW w:w="1417" w:type="dxa"/>
            <w:hideMark/>
          </w:tcPr>
          <w:p w14:paraId="795D0306"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0049E4A9" w14:textId="77777777" w:rsidR="00CE14CC" w:rsidRPr="009575DB" w:rsidRDefault="00CE14CC" w:rsidP="00C54EE3">
            <w:pPr>
              <w:pStyle w:val="NormalWeb"/>
              <w:jc w:val="center"/>
              <w:rPr>
                <w:sz w:val="20"/>
                <w:szCs w:val="20"/>
              </w:rPr>
            </w:pPr>
            <w:r w:rsidRPr="009575DB">
              <w:rPr>
                <w:sz w:val="20"/>
                <w:szCs w:val="20"/>
              </w:rPr>
              <w:t>14</w:t>
            </w:r>
          </w:p>
        </w:tc>
        <w:tc>
          <w:tcPr>
            <w:tcW w:w="1134" w:type="dxa"/>
            <w:shd w:val="clear" w:color="auto" w:fill="FFFFFF" w:themeFill="background1"/>
            <w:hideMark/>
          </w:tcPr>
          <w:p w14:paraId="2DD5D507" w14:textId="77777777" w:rsidR="00CE14CC" w:rsidRPr="009575DB" w:rsidRDefault="00CE14CC" w:rsidP="00C54EE3">
            <w:pPr>
              <w:pStyle w:val="NormalWeb"/>
              <w:jc w:val="center"/>
              <w:rPr>
                <w:sz w:val="20"/>
                <w:szCs w:val="20"/>
              </w:rPr>
            </w:pPr>
            <w:r w:rsidRPr="009575DB">
              <w:rPr>
                <w:sz w:val="20"/>
                <w:szCs w:val="20"/>
              </w:rPr>
              <w:t>3%</w:t>
            </w:r>
          </w:p>
        </w:tc>
        <w:tc>
          <w:tcPr>
            <w:tcW w:w="850" w:type="dxa"/>
            <w:hideMark/>
          </w:tcPr>
          <w:p w14:paraId="7F5A38C5" w14:textId="77777777" w:rsidR="00CE14CC" w:rsidRPr="009575DB" w:rsidRDefault="00CE14CC" w:rsidP="00C54EE3">
            <w:pPr>
              <w:pStyle w:val="NormalWeb"/>
              <w:jc w:val="center"/>
              <w:rPr>
                <w:sz w:val="20"/>
                <w:szCs w:val="20"/>
              </w:rPr>
            </w:pPr>
            <w:r w:rsidRPr="009575DB">
              <w:rPr>
                <w:sz w:val="20"/>
                <w:szCs w:val="20"/>
              </w:rPr>
              <w:t>5</w:t>
            </w:r>
          </w:p>
        </w:tc>
        <w:tc>
          <w:tcPr>
            <w:tcW w:w="1560" w:type="dxa"/>
            <w:hideMark/>
          </w:tcPr>
          <w:p w14:paraId="4340D3E1" w14:textId="77777777" w:rsidR="00CE14CC" w:rsidRPr="009575DB" w:rsidRDefault="00CE14CC" w:rsidP="00C54EE3">
            <w:pPr>
              <w:pStyle w:val="NormalWeb"/>
              <w:jc w:val="center"/>
              <w:rPr>
                <w:sz w:val="20"/>
                <w:szCs w:val="20"/>
              </w:rPr>
            </w:pPr>
            <w:r w:rsidRPr="009575DB">
              <w:rPr>
                <w:sz w:val="20"/>
                <w:szCs w:val="20"/>
              </w:rPr>
              <w:t>2%</w:t>
            </w:r>
          </w:p>
        </w:tc>
        <w:tc>
          <w:tcPr>
            <w:tcW w:w="992" w:type="dxa"/>
            <w:shd w:val="clear" w:color="auto" w:fill="FFFFFF" w:themeFill="background1"/>
            <w:hideMark/>
          </w:tcPr>
          <w:p w14:paraId="290D3163" w14:textId="77777777" w:rsidR="00CE14CC" w:rsidRPr="009575DB" w:rsidRDefault="00CE14CC" w:rsidP="00C54EE3">
            <w:pPr>
              <w:pStyle w:val="NormalWeb"/>
              <w:jc w:val="center"/>
              <w:rPr>
                <w:sz w:val="20"/>
                <w:szCs w:val="20"/>
              </w:rPr>
            </w:pPr>
            <w:r w:rsidRPr="009575DB">
              <w:rPr>
                <w:sz w:val="20"/>
                <w:szCs w:val="20"/>
              </w:rPr>
              <w:t>35</w:t>
            </w:r>
          </w:p>
        </w:tc>
        <w:tc>
          <w:tcPr>
            <w:tcW w:w="1092" w:type="dxa"/>
            <w:shd w:val="clear" w:color="auto" w:fill="FFFFFF" w:themeFill="background1"/>
            <w:hideMark/>
          </w:tcPr>
          <w:p w14:paraId="7A2C63D9" w14:textId="77777777" w:rsidR="00CE14CC" w:rsidRPr="009575DB" w:rsidRDefault="00CE14CC" w:rsidP="00C54EE3">
            <w:pPr>
              <w:pStyle w:val="NormalWeb"/>
              <w:jc w:val="center"/>
              <w:rPr>
                <w:sz w:val="20"/>
                <w:szCs w:val="20"/>
              </w:rPr>
            </w:pPr>
            <w:r w:rsidRPr="009575DB">
              <w:rPr>
                <w:sz w:val="20"/>
                <w:szCs w:val="20"/>
              </w:rPr>
              <w:t>1.4%</w:t>
            </w:r>
          </w:p>
        </w:tc>
      </w:tr>
      <w:tr w:rsidR="00614426" w:rsidRPr="009575DB" w14:paraId="1F6DD061" w14:textId="77777777" w:rsidTr="00B06A5B">
        <w:tc>
          <w:tcPr>
            <w:tcW w:w="2268" w:type="dxa"/>
            <w:shd w:val="clear" w:color="auto" w:fill="FFFFFF" w:themeFill="background1"/>
            <w:hideMark/>
          </w:tcPr>
          <w:p w14:paraId="4D00E31A" w14:textId="77777777" w:rsidR="00CE14CC" w:rsidRPr="009575DB" w:rsidRDefault="00CE14CC">
            <w:pPr>
              <w:pStyle w:val="NormalWeb"/>
              <w:rPr>
                <w:sz w:val="20"/>
                <w:szCs w:val="20"/>
              </w:rPr>
            </w:pPr>
            <w:r w:rsidRPr="009575DB">
              <w:rPr>
                <w:sz w:val="20"/>
                <w:szCs w:val="20"/>
                <w:lang w:val="en-US"/>
              </w:rPr>
              <w:t>Respiratory symptoms</w:t>
            </w:r>
          </w:p>
        </w:tc>
        <w:tc>
          <w:tcPr>
            <w:tcW w:w="709" w:type="dxa"/>
            <w:shd w:val="clear" w:color="auto" w:fill="F2F2F2" w:themeFill="background1" w:themeFillShade="F2"/>
            <w:hideMark/>
          </w:tcPr>
          <w:p w14:paraId="361527F9" w14:textId="77777777" w:rsidR="00CE14CC" w:rsidRPr="009575DB" w:rsidRDefault="00CE14CC" w:rsidP="00C54EE3">
            <w:pPr>
              <w:pStyle w:val="NormalWeb"/>
              <w:jc w:val="center"/>
              <w:rPr>
                <w:sz w:val="20"/>
                <w:szCs w:val="20"/>
              </w:rPr>
            </w:pPr>
            <w:r w:rsidRPr="009575DB">
              <w:rPr>
                <w:sz w:val="20"/>
                <w:szCs w:val="20"/>
              </w:rPr>
              <w:t>5</w:t>
            </w:r>
          </w:p>
        </w:tc>
        <w:tc>
          <w:tcPr>
            <w:tcW w:w="1134" w:type="dxa"/>
            <w:shd w:val="clear" w:color="auto" w:fill="F2F2F2" w:themeFill="background1" w:themeFillShade="F2"/>
            <w:hideMark/>
          </w:tcPr>
          <w:p w14:paraId="64AB58E4"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1C7E1013" w14:textId="77777777" w:rsidR="00CE14CC" w:rsidRPr="009575DB" w:rsidRDefault="00CE14CC" w:rsidP="00C54EE3">
            <w:pPr>
              <w:pStyle w:val="NormalWeb"/>
              <w:jc w:val="center"/>
              <w:rPr>
                <w:sz w:val="20"/>
                <w:szCs w:val="20"/>
              </w:rPr>
            </w:pPr>
            <w:r w:rsidRPr="009575DB">
              <w:rPr>
                <w:sz w:val="20"/>
                <w:szCs w:val="20"/>
              </w:rPr>
              <w:t>8</w:t>
            </w:r>
          </w:p>
        </w:tc>
        <w:tc>
          <w:tcPr>
            <w:tcW w:w="1134" w:type="dxa"/>
            <w:shd w:val="clear" w:color="auto" w:fill="FFFFFF" w:themeFill="background1"/>
            <w:hideMark/>
          </w:tcPr>
          <w:p w14:paraId="2B3B7C4D" w14:textId="77777777" w:rsidR="00CE14CC" w:rsidRPr="009575DB" w:rsidRDefault="00CE14CC" w:rsidP="00C54EE3">
            <w:pPr>
              <w:pStyle w:val="NormalWeb"/>
              <w:jc w:val="center"/>
              <w:rPr>
                <w:sz w:val="20"/>
                <w:szCs w:val="20"/>
              </w:rPr>
            </w:pPr>
            <w:r w:rsidRPr="009575DB">
              <w:rPr>
                <w:sz w:val="20"/>
                <w:szCs w:val="20"/>
              </w:rPr>
              <w:t>1%</w:t>
            </w:r>
          </w:p>
        </w:tc>
        <w:tc>
          <w:tcPr>
            <w:tcW w:w="1276" w:type="dxa"/>
            <w:shd w:val="clear" w:color="auto" w:fill="F2F2F2" w:themeFill="background1" w:themeFillShade="F2"/>
            <w:hideMark/>
          </w:tcPr>
          <w:p w14:paraId="241C4FD2" w14:textId="77777777" w:rsidR="00CE14CC" w:rsidRPr="009575DB" w:rsidRDefault="00CE14CC" w:rsidP="00C54EE3">
            <w:pPr>
              <w:pStyle w:val="NormalWeb"/>
              <w:jc w:val="center"/>
              <w:rPr>
                <w:sz w:val="20"/>
                <w:szCs w:val="20"/>
              </w:rPr>
            </w:pPr>
            <w:r w:rsidRPr="009575DB">
              <w:rPr>
                <w:sz w:val="20"/>
                <w:szCs w:val="20"/>
              </w:rPr>
              <w:t>1</w:t>
            </w:r>
          </w:p>
        </w:tc>
        <w:tc>
          <w:tcPr>
            <w:tcW w:w="1417" w:type="dxa"/>
            <w:shd w:val="clear" w:color="auto" w:fill="F2F2F2" w:themeFill="background1" w:themeFillShade="F2"/>
            <w:hideMark/>
          </w:tcPr>
          <w:p w14:paraId="6D2EE774"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3B7247E0" w14:textId="77777777" w:rsidR="00CE14CC" w:rsidRPr="009575DB" w:rsidRDefault="00CE14CC" w:rsidP="00C54EE3">
            <w:pPr>
              <w:pStyle w:val="NormalWeb"/>
              <w:jc w:val="center"/>
              <w:rPr>
                <w:sz w:val="20"/>
                <w:szCs w:val="20"/>
              </w:rPr>
            </w:pPr>
            <w:r w:rsidRPr="009575DB">
              <w:rPr>
                <w:sz w:val="20"/>
                <w:szCs w:val="20"/>
              </w:rPr>
              <w:t>14</w:t>
            </w:r>
          </w:p>
        </w:tc>
        <w:tc>
          <w:tcPr>
            <w:tcW w:w="1134" w:type="dxa"/>
            <w:shd w:val="clear" w:color="auto" w:fill="FFFFFF" w:themeFill="background1"/>
            <w:hideMark/>
          </w:tcPr>
          <w:p w14:paraId="2A3C243C" w14:textId="77777777" w:rsidR="00CE14CC" w:rsidRPr="009575DB" w:rsidRDefault="00CE14CC" w:rsidP="00C54EE3">
            <w:pPr>
              <w:pStyle w:val="NormalWeb"/>
              <w:jc w:val="center"/>
              <w:rPr>
                <w:sz w:val="20"/>
                <w:szCs w:val="20"/>
              </w:rPr>
            </w:pPr>
            <w:r w:rsidRPr="009575DB">
              <w:rPr>
                <w:sz w:val="20"/>
                <w:szCs w:val="20"/>
              </w:rPr>
              <w:t>3%</w:t>
            </w:r>
          </w:p>
        </w:tc>
        <w:tc>
          <w:tcPr>
            <w:tcW w:w="850" w:type="dxa"/>
            <w:shd w:val="clear" w:color="auto" w:fill="F2F2F2" w:themeFill="background1" w:themeFillShade="F2"/>
            <w:hideMark/>
          </w:tcPr>
          <w:p w14:paraId="6046CCB0" w14:textId="77777777" w:rsidR="00CE14CC" w:rsidRPr="009575DB" w:rsidRDefault="00CE14CC" w:rsidP="00C54EE3">
            <w:pPr>
              <w:pStyle w:val="NormalWeb"/>
              <w:jc w:val="center"/>
              <w:rPr>
                <w:sz w:val="20"/>
                <w:szCs w:val="20"/>
              </w:rPr>
            </w:pPr>
            <w:r w:rsidRPr="009575DB">
              <w:rPr>
                <w:sz w:val="20"/>
                <w:szCs w:val="20"/>
              </w:rPr>
              <w:t>7</w:t>
            </w:r>
          </w:p>
        </w:tc>
        <w:tc>
          <w:tcPr>
            <w:tcW w:w="1560" w:type="dxa"/>
            <w:shd w:val="clear" w:color="auto" w:fill="F2F2F2" w:themeFill="background1" w:themeFillShade="F2"/>
            <w:hideMark/>
          </w:tcPr>
          <w:p w14:paraId="1727734D" w14:textId="77777777" w:rsidR="00CE14CC" w:rsidRPr="009575DB" w:rsidRDefault="00CE14CC" w:rsidP="00C54EE3">
            <w:pPr>
              <w:pStyle w:val="NormalWeb"/>
              <w:jc w:val="center"/>
              <w:rPr>
                <w:sz w:val="20"/>
                <w:szCs w:val="20"/>
              </w:rPr>
            </w:pPr>
            <w:r w:rsidRPr="009575DB">
              <w:rPr>
                <w:sz w:val="20"/>
                <w:szCs w:val="20"/>
              </w:rPr>
              <w:t>3%</w:t>
            </w:r>
          </w:p>
        </w:tc>
        <w:tc>
          <w:tcPr>
            <w:tcW w:w="992" w:type="dxa"/>
            <w:shd w:val="clear" w:color="auto" w:fill="FFFFFF" w:themeFill="background1"/>
            <w:hideMark/>
          </w:tcPr>
          <w:p w14:paraId="5F7F1202" w14:textId="77777777" w:rsidR="00CE14CC" w:rsidRPr="009575DB" w:rsidRDefault="00CE14CC" w:rsidP="00C54EE3">
            <w:pPr>
              <w:pStyle w:val="NormalWeb"/>
              <w:jc w:val="center"/>
              <w:rPr>
                <w:sz w:val="20"/>
                <w:szCs w:val="20"/>
              </w:rPr>
            </w:pPr>
            <w:r w:rsidRPr="009575DB">
              <w:rPr>
                <w:sz w:val="20"/>
                <w:szCs w:val="20"/>
              </w:rPr>
              <w:t>35</w:t>
            </w:r>
          </w:p>
        </w:tc>
        <w:tc>
          <w:tcPr>
            <w:tcW w:w="1092" w:type="dxa"/>
            <w:shd w:val="clear" w:color="auto" w:fill="FFFFFF" w:themeFill="background1"/>
            <w:hideMark/>
          </w:tcPr>
          <w:p w14:paraId="28E2CA0B" w14:textId="77777777" w:rsidR="00CE14CC" w:rsidRPr="009575DB" w:rsidRDefault="00CE14CC" w:rsidP="00C54EE3">
            <w:pPr>
              <w:pStyle w:val="NormalWeb"/>
              <w:jc w:val="center"/>
              <w:rPr>
                <w:sz w:val="20"/>
                <w:szCs w:val="20"/>
              </w:rPr>
            </w:pPr>
            <w:r w:rsidRPr="009575DB">
              <w:rPr>
                <w:sz w:val="20"/>
                <w:szCs w:val="20"/>
              </w:rPr>
              <w:t>1.4%</w:t>
            </w:r>
          </w:p>
        </w:tc>
      </w:tr>
      <w:tr w:rsidR="00614426" w:rsidRPr="009575DB" w14:paraId="6DA3295E"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52DFDE8C" w14:textId="77777777" w:rsidR="00CE14CC" w:rsidRPr="009575DB" w:rsidRDefault="00CE14CC">
            <w:pPr>
              <w:pStyle w:val="NormalWeb"/>
              <w:rPr>
                <w:sz w:val="20"/>
                <w:szCs w:val="20"/>
              </w:rPr>
            </w:pPr>
            <w:proofErr w:type="spellStart"/>
            <w:r w:rsidRPr="009575DB">
              <w:rPr>
                <w:sz w:val="20"/>
                <w:szCs w:val="20"/>
              </w:rPr>
              <w:t>HHE</w:t>
            </w:r>
            <w:r w:rsidRPr="00DD2018">
              <w:rPr>
                <w:sz w:val="20"/>
                <w:szCs w:val="20"/>
                <w:vertAlign w:val="superscript"/>
              </w:rPr>
              <w:t>c</w:t>
            </w:r>
            <w:proofErr w:type="spellEnd"/>
          </w:p>
        </w:tc>
        <w:tc>
          <w:tcPr>
            <w:tcW w:w="709" w:type="dxa"/>
            <w:shd w:val="clear" w:color="auto" w:fill="C6D9F1" w:themeFill="text2" w:themeFillTint="33"/>
            <w:hideMark/>
          </w:tcPr>
          <w:p w14:paraId="71697B5F" w14:textId="77777777" w:rsidR="00CE14CC" w:rsidRPr="00B06A5B" w:rsidRDefault="00CE14CC" w:rsidP="00C54EE3">
            <w:pPr>
              <w:pStyle w:val="NormalWeb"/>
              <w:jc w:val="center"/>
              <w:rPr>
                <w:b/>
                <w:sz w:val="20"/>
                <w:szCs w:val="20"/>
              </w:rPr>
            </w:pPr>
            <w:r w:rsidRPr="00B06A5B">
              <w:rPr>
                <w:b/>
                <w:sz w:val="20"/>
                <w:szCs w:val="20"/>
              </w:rPr>
              <w:t>31</w:t>
            </w:r>
          </w:p>
        </w:tc>
        <w:tc>
          <w:tcPr>
            <w:tcW w:w="1134" w:type="dxa"/>
            <w:shd w:val="clear" w:color="auto" w:fill="C6D9F1" w:themeFill="text2" w:themeFillTint="33"/>
            <w:hideMark/>
          </w:tcPr>
          <w:p w14:paraId="76AED588" w14:textId="77777777" w:rsidR="00CE14CC" w:rsidRPr="00B06A5B" w:rsidRDefault="00CE14CC" w:rsidP="00C54EE3">
            <w:pPr>
              <w:pStyle w:val="NormalWeb"/>
              <w:jc w:val="center"/>
              <w:rPr>
                <w:b/>
                <w:sz w:val="20"/>
                <w:szCs w:val="20"/>
              </w:rPr>
            </w:pPr>
            <w:r w:rsidRPr="00B06A5B">
              <w:rPr>
                <w:b/>
                <w:sz w:val="20"/>
                <w:szCs w:val="20"/>
              </w:rPr>
              <w:t>7%</w:t>
            </w:r>
          </w:p>
        </w:tc>
        <w:tc>
          <w:tcPr>
            <w:tcW w:w="709" w:type="dxa"/>
            <w:shd w:val="clear" w:color="auto" w:fill="FFFFFF" w:themeFill="background1"/>
            <w:hideMark/>
          </w:tcPr>
          <w:p w14:paraId="2C42C382" w14:textId="77777777" w:rsidR="00CE14CC" w:rsidRPr="009575DB" w:rsidRDefault="00CE14CC" w:rsidP="00C54EE3">
            <w:pPr>
              <w:pStyle w:val="NormalWeb"/>
              <w:jc w:val="center"/>
              <w:rPr>
                <w:sz w:val="20"/>
                <w:szCs w:val="20"/>
              </w:rPr>
            </w:pPr>
            <w:r w:rsidRPr="009575DB">
              <w:rPr>
                <w:sz w:val="20"/>
                <w:szCs w:val="20"/>
              </w:rPr>
              <w:t>3</w:t>
            </w:r>
          </w:p>
        </w:tc>
        <w:tc>
          <w:tcPr>
            <w:tcW w:w="1134" w:type="dxa"/>
            <w:shd w:val="clear" w:color="auto" w:fill="FFFFFF" w:themeFill="background1"/>
            <w:hideMark/>
          </w:tcPr>
          <w:p w14:paraId="18532ADF" w14:textId="77777777" w:rsidR="00CE14CC" w:rsidRPr="009575DB" w:rsidRDefault="00CE14CC" w:rsidP="00C54EE3">
            <w:pPr>
              <w:pStyle w:val="NormalWeb"/>
              <w:jc w:val="center"/>
              <w:rPr>
                <w:sz w:val="20"/>
                <w:szCs w:val="20"/>
              </w:rPr>
            </w:pPr>
            <w:r w:rsidRPr="009575DB">
              <w:rPr>
                <w:sz w:val="20"/>
                <w:szCs w:val="20"/>
              </w:rPr>
              <w:t>0%</w:t>
            </w:r>
          </w:p>
        </w:tc>
        <w:tc>
          <w:tcPr>
            <w:tcW w:w="1276" w:type="dxa"/>
            <w:hideMark/>
          </w:tcPr>
          <w:p w14:paraId="49A05BEB" w14:textId="77777777" w:rsidR="00CE14CC" w:rsidRPr="009575DB" w:rsidRDefault="00CE14CC" w:rsidP="00C54EE3">
            <w:pPr>
              <w:pStyle w:val="NormalWeb"/>
              <w:jc w:val="center"/>
              <w:rPr>
                <w:sz w:val="20"/>
                <w:szCs w:val="20"/>
              </w:rPr>
            </w:pPr>
            <w:r w:rsidRPr="009575DB">
              <w:rPr>
                <w:sz w:val="20"/>
                <w:szCs w:val="20"/>
              </w:rPr>
              <w:t>0</w:t>
            </w:r>
          </w:p>
        </w:tc>
        <w:tc>
          <w:tcPr>
            <w:tcW w:w="1417" w:type="dxa"/>
            <w:hideMark/>
          </w:tcPr>
          <w:p w14:paraId="27F314F9"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33785CB0" w14:textId="77777777" w:rsidR="00CE14CC" w:rsidRPr="009575DB" w:rsidRDefault="00CE14CC" w:rsidP="00C54EE3">
            <w:pPr>
              <w:pStyle w:val="NormalWeb"/>
              <w:jc w:val="center"/>
              <w:rPr>
                <w:sz w:val="20"/>
                <w:szCs w:val="20"/>
              </w:rPr>
            </w:pPr>
            <w:r w:rsidRPr="009575DB">
              <w:rPr>
                <w:sz w:val="20"/>
                <w:szCs w:val="20"/>
              </w:rPr>
              <w:t>0</w:t>
            </w:r>
          </w:p>
        </w:tc>
        <w:tc>
          <w:tcPr>
            <w:tcW w:w="1134" w:type="dxa"/>
            <w:shd w:val="clear" w:color="auto" w:fill="FFFFFF" w:themeFill="background1"/>
            <w:hideMark/>
          </w:tcPr>
          <w:p w14:paraId="2B88A9AD" w14:textId="77777777" w:rsidR="00CE14CC" w:rsidRPr="009575DB" w:rsidRDefault="00CE14CC" w:rsidP="00C54EE3">
            <w:pPr>
              <w:pStyle w:val="NormalWeb"/>
              <w:jc w:val="center"/>
              <w:rPr>
                <w:sz w:val="20"/>
                <w:szCs w:val="20"/>
              </w:rPr>
            </w:pPr>
            <w:r w:rsidRPr="009575DB">
              <w:rPr>
                <w:sz w:val="20"/>
                <w:szCs w:val="20"/>
              </w:rPr>
              <w:t>0%</w:t>
            </w:r>
          </w:p>
        </w:tc>
        <w:tc>
          <w:tcPr>
            <w:tcW w:w="850" w:type="dxa"/>
            <w:hideMark/>
          </w:tcPr>
          <w:p w14:paraId="34E20E3E" w14:textId="77777777" w:rsidR="00CE14CC" w:rsidRPr="009575DB" w:rsidRDefault="00CE14CC" w:rsidP="00C54EE3">
            <w:pPr>
              <w:pStyle w:val="NormalWeb"/>
              <w:jc w:val="center"/>
              <w:rPr>
                <w:sz w:val="20"/>
                <w:szCs w:val="20"/>
              </w:rPr>
            </w:pPr>
            <w:r w:rsidRPr="009575DB">
              <w:rPr>
                <w:sz w:val="20"/>
                <w:szCs w:val="20"/>
              </w:rPr>
              <w:t>0</w:t>
            </w:r>
          </w:p>
        </w:tc>
        <w:tc>
          <w:tcPr>
            <w:tcW w:w="1560" w:type="dxa"/>
            <w:hideMark/>
          </w:tcPr>
          <w:p w14:paraId="5F49236F"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FFFFFF" w:themeFill="background1"/>
            <w:hideMark/>
          </w:tcPr>
          <w:p w14:paraId="13E13B09" w14:textId="77777777" w:rsidR="00CE14CC" w:rsidRPr="009575DB" w:rsidRDefault="00CE14CC" w:rsidP="00C54EE3">
            <w:pPr>
              <w:pStyle w:val="NormalWeb"/>
              <w:jc w:val="center"/>
              <w:rPr>
                <w:sz w:val="20"/>
                <w:szCs w:val="20"/>
              </w:rPr>
            </w:pPr>
            <w:r w:rsidRPr="009575DB">
              <w:rPr>
                <w:sz w:val="20"/>
                <w:szCs w:val="20"/>
              </w:rPr>
              <w:t>34</w:t>
            </w:r>
          </w:p>
        </w:tc>
        <w:tc>
          <w:tcPr>
            <w:tcW w:w="1092" w:type="dxa"/>
            <w:shd w:val="clear" w:color="auto" w:fill="FFFFFF" w:themeFill="background1"/>
            <w:hideMark/>
          </w:tcPr>
          <w:p w14:paraId="42A2765A" w14:textId="77777777" w:rsidR="00CE14CC" w:rsidRPr="009575DB" w:rsidRDefault="00CE14CC" w:rsidP="00C54EE3">
            <w:pPr>
              <w:pStyle w:val="NormalWeb"/>
              <w:jc w:val="center"/>
              <w:rPr>
                <w:sz w:val="20"/>
                <w:szCs w:val="20"/>
              </w:rPr>
            </w:pPr>
            <w:r w:rsidRPr="009575DB">
              <w:rPr>
                <w:sz w:val="20"/>
                <w:szCs w:val="20"/>
              </w:rPr>
              <w:t>1.4%</w:t>
            </w:r>
          </w:p>
        </w:tc>
      </w:tr>
      <w:tr w:rsidR="00614426" w:rsidRPr="009575DB" w14:paraId="42C69E3A" w14:textId="77777777" w:rsidTr="00B06A5B">
        <w:tc>
          <w:tcPr>
            <w:tcW w:w="2268" w:type="dxa"/>
            <w:shd w:val="clear" w:color="auto" w:fill="FFFFFF" w:themeFill="background1"/>
            <w:hideMark/>
          </w:tcPr>
          <w:p w14:paraId="2776F0B6" w14:textId="77777777" w:rsidR="00CE14CC" w:rsidRPr="009575DB" w:rsidRDefault="00CE14CC">
            <w:pPr>
              <w:pStyle w:val="NormalWeb"/>
              <w:rPr>
                <w:sz w:val="20"/>
                <w:szCs w:val="20"/>
              </w:rPr>
            </w:pPr>
            <w:r w:rsidRPr="009575DB">
              <w:rPr>
                <w:sz w:val="20"/>
                <w:szCs w:val="20"/>
                <w:lang w:val="en-US"/>
              </w:rPr>
              <w:t>Dizziness</w:t>
            </w:r>
          </w:p>
        </w:tc>
        <w:tc>
          <w:tcPr>
            <w:tcW w:w="709" w:type="dxa"/>
            <w:shd w:val="clear" w:color="auto" w:fill="F2F2F2" w:themeFill="background1" w:themeFillShade="F2"/>
            <w:hideMark/>
          </w:tcPr>
          <w:p w14:paraId="18FD4FCF"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F2F2F2" w:themeFill="background1" w:themeFillShade="F2"/>
            <w:hideMark/>
          </w:tcPr>
          <w:p w14:paraId="48EB7BEF"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0CFE6176"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FFFFFF" w:themeFill="background1"/>
            <w:hideMark/>
          </w:tcPr>
          <w:p w14:paraId="15ED92FC" w14:textId="77777777" w:rsidR="00CE14CC" w:rsidRPr="009575DB" w:rsidRDefault="00CE14CC" w:rsidP="00C54EE3">
            <w:pPr>
              <w:pStyle w:val="NormalWeb"/>
              <w:jc w:val="center"/>
              <w:rPr>
                <w:sz w:val="20"/>
                <w:szCs w:val="20"/>
              </w:rPr>
            </w:pPr>
            <w:r w:rsidRPr="009575DB">
              <w:rPr>
                <w:sz w:val="20"/>
                <w:szCs w:val="20"/>
              </w:rPr>
              <w:t>0%</w:t>
            </w:r>
          </w:p>
        </w:tc>
        <w:tc>
          <w:tcPr>
            <w:tcW w:w="1276" w:type="dxa"/>
            <w:shd w:val="clear" w:color="auto" w:fill="F2F2F2" w:themeFill="background1" w:themeFillShade="F2"/>
            <w:hideMark/>
          </w:tcPr>
          <w:p w14:paraId="562C79FA" w14:textId="77777777" w:rsidR="00CE14CC" w:rsidRPr="009575DB" w:rsidRDefault="00CE14CC" w:rsidP="00C54EE3">
            <w:pPr>
              <w:pStyle w:val="NormalWeb"/>
              <w:jc w:val="center"/>
              <w:rPr>
                <w:sz w:val="20"/>
                <w:szCs w:val="20"/>
              </w:rPr>
            </w:pPr>
            <w:r w:rsidRPr="009575DB">
              <w:rPr>
                <w:sz w:val="20"/>
                <w:szCs w:val="20"/>
              </w:rPr>
              <w:t>11</w:t>
            </w:r>
          </w:p>
        </w:tc>
        <w:tc>
          <w:tcPr>
            <w:tcW w:w="1417" w:type="dxa"/>
            <w:shd w:val="clear" w:color="auto" w:fill="F2F2F2" w:themeFill="background1" w:themeFillShade="F2"/>
            <w:hideMark/>
          </w:tcPr>
          <w:p w14:paraId="03506103" w14:textId="77777777" w:rsidR="00CE14CC" w:rsidRPr="009575DB" w:rsidRDefault="00CE14CC" w:rsidP="00C54EE3">
            <w:pPr>
              <w:pStyle w:val="NormalWeb"/>
              <w:jc w:val="center"/>
              <w:rPr>
                <w:sz w:val="20"/>
                <w:szCs w:val="20"/>
              </w:rPr>
            </w:pPr>
            <w:r w:rsidRPr="009575DB">
              <w:rPr>
                <w:sz w:val="20"/>
                <w:szCs w:val="20"/>
              </w:rPr>
              <w:t>3%</w:t>
            </w:r>
          </w:p>
        </w:tc>
        <w:tc>
          <w:tcPr>
            <w:tcW w:w="709" w:type="dxa"/>
            <w:shd w:val="clear" w:color="auto" w:fill="FFFFFF" w:themeFill="background1"/>
            <w:hideMark/>
          </w:tcPr>
          <w:p w14:paraId="3DA666DD" w14:textId="77777777" w:rsidR="00CE14CC" w:rsidRPr="009575DB" w:rsidRDefault="00CE14CC" w:rsidP="00C54EE3">
            <w:pPr>
              <w:pStyle w:val="NormalWeb"/>
              <w:jc w:val="center"/>
              <w:rPr>
                <w:sz w:val="20"/>
                <w:szCs w:val="20"/>
              </w:rPr>
            </w:pPr>
            <w:r w:rsidRPr="009575DB">
              <w:rPr>
                <w:sz w:val="20"/>
                <w:szCs w:val="20"/>
              </w:rPr>
              <w:t>15</w:t>
            </w:r>
          </w:p>
        </w:tc>
        <w:tc>
          <w:tcPr>
            <w:tcW w:w="1134" w:type="dxa"/>
            <w:shd w:val="clear" w:color="auto" w:fill="FFFFFF" w:themeFill="background1"/>
            <w:hideMark/>
          </w:tcPr>
          <w:p w14:paraId="33C4FDA9" w14:textId="77777777" w:rsidR="00CE14CC" w:rsidRPr="009575DB" w:rsidRDefault="00CE14CC" w:rsidP="00C54EE3">
            <w:pPr>
              <w:pStyle w:val="NormalWeb"/>
              <w:jc w:val="center"/>
              <w:rPr>
                <w:sz w:val="20"/>
                <w:szCs w:val="20"/>
              </w:rPr>
            </w:pPr>
            <w:r w:rsidRPr="009575DB">
              <w:rPr>
                <w:sz w:val="20"/>
                <w:szCs w:val="20"/>
              </w:rPr>
              <w:t>3%</w:t>
            </w:r>
          </w:p>
        </w:tc>
        <w:tc>
          <w:tcPr>
            <w:tcW w:w="850" w:type="dxa"/>
            <w:shd w:val="clear" w:color="auto" w:fill="F2F2F2" w:themeFill="background1" w:themeFillShade="F2"/>
            <w:hideMark/>
          </w:tcPr>
          <w:p w14:paraId="274410EA" w14:textId="77777777" w:rsidR="00CE14CC" w:rsidRPr="009575DB" w:rsidRDefault="00CE14CC" w:rsidP="00C54EE3">
            <w:pPr>
              <w:pStyle w:val="NormalWeb"/>
              <w:jc w:val="center"/>
              <w:rPr>
                <w:sz w:val="20"/>
                <w:szCs w:val="20"/>
              </w:rPr>
            </w:pPr>
            <w:r w:rsidRPr="009575DB">
              <w:rPr>
                <w:sz w:val="20"/>
                <w:szCs w:val="20"/>
              </w:rPr>
              <w:t>5</w:t>
            </w:r>
          </w:p>
        </w:tc>
        <w:tc>
          <w:tcPr>
            <w:tcW w:w="1560" w:type="dxa"/>
            <w:shd w:val="clear" w:color="auto" w:fill="F2F2F2" w:themeFill="background1" w:themeFillShade="F2"/>
            <w:hideMark/>
          </w:tcPr>
          <w:p w14:paraId="7949B6A6" w14:textId="77777777" w:rsidR="00CE14CC" w:rsidRPr="009575DB" w:rsidRDefault="00CE14CC" w:rsidP="00C54EE3">
            <w:pPr>
              <w:pStyle w:val="NormalWeb"/>
              <w:jc w:val="center"/>
              <w:rPr>
                <w:sz w:val="20"/>
                <w:szCs w:val="20"/>
              </w:rPr>
            </w:pPr>
            <w:r w:rsidRPr="009575DB">
              <w:rPr>
                <w:sz w:val="20"/>
                <w:szCs w:val="20"/>
              </w:rPr>
              <w:t>2%</w:t>
            </w:r>
          </w:p>
        </w:tc>
        <w:tc>
          <w:tcPr>
            <w:tcW w:w="992" w:type="dxa"/>
            <w:shd w:val="clear" w:color="auto" w:fill="FFFFFF" w:themeFill="background1"/>
            <w:hideMark/>
          </w:tcPr>
          <w:p w14:paraId="1BF0EFC0" w14:textId="77777777" w:rsidR="00CE14CC" w:rsidRPr="009575DB" w:rsidRDefault="00CE14CC" w:rsidP="00C54EE3">
            <w:pPr>
              <w:pStyle w:val="NormalWeb"/>
              <w:jc w:val="center"/>
              <w:rPr>
                <w:sz w:val="20"/>
                <w:szCs w:val="20"/>
              </w:rPr>
            </w:pPr>
            <w:r w:rsidRPr="009575DB">
              <w:rPr>
                <w:sz w:val="20"/>
                <w:szCs w:val="20"/>
              </w:rPr>
              <w:t>33</w:t>
            </w:r>
          </w:p>
        </w:tc>
        <w:tc>
          <w:tcPr>
            <w:tcW w:w="1092" w:type="dxa"/>
            <w:shd w:val="clear" w:color="auto" w:fill="FFFFFF" w:themeFill="background1"/>
            <w:hideMark/>
          </w:tcPr>
          <w:p w14:paraId="052A4C88" w14:textId="77777777" w:rsidR="00CE14CC" w:rsidRPr="009575DB" w:rsidRDefault="00CE14CC" w:rsidP="00C54EE3">
            <w:pPr>
              <w:pStyle w:val="NormalWeb"/>
              <w:jc w:val="center"/>
              <w:rPr>
                <w:sz w:val="20"/>
                <w:szCs w:val="20"/>
              </w:rPr>
            </w:pPr>
            <w:r w:rsidRPr="009575DB">
              <w:rPr>
                <w:sz w:val="20"/>
                <w:szCs w:val="20"/>
              </w:rPr>
              <w:t>1.4%</w:t>
            </w:r>
          </w:p>
        </w:tc>
      </w:tr>
      <w:tr w:rsidR="00614426" w:rsidRPr="009575DB" w14:paraId="4E7473EE"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58B0DFF9" w14:textId="77777777" w:rsidR="00CE14CC" w:rsidRPr="009575DB" w:rsidRDefault="00CE14CC">
            <w:pPr>
              <w:pStyle w:val="NormalWeb"/>
              <w:rPr>
                <w:sz w:val="20"/>
                <w:szCs w:val="20"/>
              </w:rPr>
            </w:pPr>
            <w:proofErr w:type="spellStart"/>
            <w:r w:rsidRPr="009575DB">
              <w:rPr>
                <w:sz w:val="20"/>
                <w:szCs w:val="20"/>
                <w:lang w:val="en-US"/>
              </w:rPr>
              <w:t>Paraesthesia</w:t>
            </w:r>
            <w:proofErr w:type="spellEnd"/>
          </w:p>
        </w:tc>
        <w:tc>
          <w:tcPr>
            <w:tcW w:w="709" w:type="dxa"/>
            <w:hideMark/>
          </w:tcPr>
          <w:p w14:paraId="148D498C" w14:textId="77777777" w:rsidR="00CE14CC" w:rsidRPr="009575DB" w:rsidRDefault="00CE14CC" w:rsidP="00C54EE3">
            <w:pPr>
              <w:pStyle w:val="NormalWeb"/>
              <w:jc w:val="center"/>
              <w:rPr>
                <w:sz w:val="20"/>
                <w:szCs w:val="20"/>
              </w:rPr>
            </w:pPr>
            <w:r w:rsidRPr="009575DB">
              <w:rPr>
                <w:sz w:val="20"/>
                <w:szCs w:val="20"/>
              </w:rPr>
              <w:t>0</w:t>
            </w:r>
          </w:p>
        </w:tc>
        <w:tc>
          <w:tcPr>
            <w:tcW w:w="1134" w:type="dxa"/>
            <w:hideMark/>
          </w:tcPr>
          <w:p w14:paraId="0B4B3D87"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60842A53" w14:textId="77777777" w:rsidR="00CE14CC" w:rsidRPr="009575DB" w:rsidRDefault="00CE14CC" w:rsidP="00C54EE3">
            <w:pPr>
              <w:pStyle w:val="NormalWeb"/>
              <w:jc w:val="center"/>
              <w:rPr>
                <w:sz w:val="20"/>
                <w:szCs w:val="20"/>
              </w:rPr>
            </w:pPr>
            <w:r w:rsidRPr="009575DB">
              <w:rPr>
                <w:sz w:val="20"/>
                <w:szCs w:val="20"/>
              </w:rPr>
              <w:t>2</w:t>
            </w:r>
          </w:p>
        </w:tc>
        <w:tc>
          <w:tcPr>
            <w:tcW w:w="1134" w:type="dxa"/>
            <w:shd w:val="clear" w:color="auto" w:fill="FFFFFF" w:themeFill="background1"/>
            <w:hideMark/>
          </w:tcPr>
          <w:p w14:paraId="49589A87" w14:textId="77777777" w:rsidR="00CE14CC" w:rsidRPr="009575DB" w:rsidRDefault="00CE14CC" w:rsidP="00C54EE3">
            <w:pPr>
              <w:pStyle w:val="NormalWeb"/>
              <w:jc w:val="center"/>
              <w:rPr>
                <w:sz w:val="20"/>
                <w:szCs w:val="20"/>
              </w:rPr>
            </w:pPr>
            <w:r w:rsidRPr="009575DB">
              <w:rPr>
                <w:sz w:val="20"/>
                <w:szCs w:val="20"/>
              </w:rPr>
              <w:t>0%</w:t>
            </w:r>
          </w:p>
        </w:tc>
        <w:tc>
          <w:tcPr>
            <w:tcW w:w="1276" w:type="dxa"/>
            <w:hideMark/>
          </w:tcPr>
          <w:p w14:paraId="672D07DB" w14:textId="77777777" w:rsidR="00CE14CC" w:rsidRPr="009575DB" w:rsidRDefault="00CE14CC" w:rsidP="00C54EE3">
            <w:pPr>
              <w:pStyle w:val="NormalWeb"/>
              <w:jc w:val="center"/>
              <w:rPr>
                <w:sz w:val="20"/>
                <w:szCs w:val="20"/>
              </w:rPr>
            </w:pPr>
            <w:r w:rsidRPr="009575DB">
              <w:rPr>
                <w:sz w:val="20"/>
                <w:szCs w:val="20"/>
              </w:rPr>
              <w:t>4</w:t>
            </w:r>
          </w:p>
        </w:tc>
        <w:tc>
          <w:tcPr>
            <w:tcW w:w="1417" w:type="dxa"/>
            <w:hideMark/>
          </w:tcPr>
          <w:p w14:paraId="45933C18"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3C752EE6" w14:textId="77777777" w:rsidR="00CE14CC" w:rsidRPr="009575DB" w:rsidRDefault="00CE14CC" w:rsidP="00C54EE3">
            <w:pPr>
              <w:pStyle w:val="NormalWeb"/>
              <w:jc w:val="center"/>
              <w:rPr>
                <w:sz w:val="20"/>
                <w:szCs w:val="20"/>
              </w:rPr>
            </w:pPr>
            <w:r w:rsidRPr="009575DB">
              <w:rPr>
                <w:sz w:val="20"/>
                <w:szCs w:val="20"/>
              </w:rPr>
              <w:t>17</w:t>
            </w:r>
          </w:p>
        </w:tc>
        <w:tc>
          <w:tcPr>
            <w:tcW w:w="1134" w:type="dxa"/>
            <w:shd w:val="clear" w:color="auto" w:fill="FFFFFF" w:themeFill="background1"/>
            <w:hideMark/>
          </w:tcPr>
          <w:p w14:paraId="769500A6" w14:textId="77777777" w:rsidR="00CE14CC" w:rsidRPr="009575DB" w:rsidRDefault="00CE14CC" w:rsidP="00C54EE3">
            <w:pPr>
              <w:pStyle w:val="NormalWeb"/>
              <w:jc w:val="center"/>
              <w:rPr>
                <w:sz w:val="20"/>
                <w:szCs w:val="20"/>
              </w:rPr>
            </w:pPr>
            <w:r w:rsidRPr="009575DB">
              <w:rPr>
                <w:sz w:val="20"/>
                <w:szCs w:val="20"/>
              </w:rPr>
              <w:t>4%</w:t>
            </w:r>
          </w:p>
        </w:tc>
        <w:tc>
          <w:tcPr>
            <w:tcW w:w="850" w:type="dxa"/>
            <w:hideMark/>
          </w:tcPr>
          <w:p w14:paraId="4D46CB01" w14:textId="77777777" w:rsidR="00CE14CC" w:rsidRPr="009575DB" w:rsidRDefault="00CE14CC" w:rsidP="00C54EE3">
            <w:pPr>
              <w:pStyle w:val="NormalWeb"/>
              <w:jc w:val="center"/>
              <w:rPr>
                <w:sz w:val="20"/>
                <w:szCs w:val="20"/>
              </w:rPr>
            </w:pPr>
            <w:r w:rsidRPr="009575DB">
              <w:rPr>
                <w:sz w:val="20"/>
                <w:szCs w:val="20"/>
              </w:rPr>
              <w:t>6</w:t>
            </w:r>
          </w:p>
        </w:tc>
        <w:tc>
          <w:tcPr>
            <w:tcW w:w="1560" w:type="dxa"/>
            <w:hideMark/>
          </w:tcPr>
          <w:p w14:paraId="2FE6B204" w14:textId="77777777" w:rsidR="00CE14CC" w:rsidRPr="009575DB" w:rsidRDefault="00CE14CC" w:rsidP="00C54EE3">
            <w:pPr>
              <w:pStyle w:val="NormalWeb"/>
              <w:jc w:val="center"/>
              <w:rPr>
                <w:sz w:val="20"/>
                <w:szCs w:val="20"/>
              </w:rPr>
            </w:pPr>
            <w:r w:rsidRPr="009575DB">
              <w:rPr>
                <w:sz w:val="20"/>
                <w:szCs w:val="20"/>
              </w:rPr>
              <w:t>2%</w:t>
            </w:r>
          </w:p>
        </w:tc>
        <w:tc>
          <w:tcPr>
            <w:tcW w:w="992" w:type="dxa"/>
            <w:shd w:val="clear" w:color="auto" w:fill="FFFFFF" w:themeFill="background1"/>
            <w:hideMark/>
          </w:tcPr>
          <w:p w14:paraId="40481653" w14:textId="77777777" w:rsidR="00CE14CC" w:rsidRPr="009575DB" w:rsidRDefault="00CE14CC" w:rsidP="00C54EE3">
            <w:pPr>
              <w:pStyle w:val="NormalWeb"/>
              <w:jc w:val="center"/>
              <w:rPr>
                <w:sz w:val="20"/>
                <w:szCs w:val="20"/>
              </w:rPr>
            </w:pPr>
            <w:r w:rsidRPr="009575DB">
              <w:rPr>
                <w:sz w:val="20"/>
                <w:szCs w:val="20"/>
              </w:rPr>
              <w:t>29</w:t>
            </w:r>
          </w:p>
        </w:tc>
        <w:tc>
          <w:tcPr>
            <w:tcW w:w="1092" w:type="dxa"/>
            <w:shd w:val="clear" w:color="auto" w:fill="FFFFFF" w:themeFill="background1"/>
            <w:hideMark/>
          </w:tcPr>
          <w:p w14:paraId="288D43F2" w14:textId="77777777" w:rsidR="00CE14CC" w:rsidRPr="009575DB" w:rsidRDefault="00CE14CC" w:rsidP="00C54EE3">
            <w:pPr>
              <w:pStyle w:val="NormalWeb"/>
              <w:jc w:val="center"/>
              <w:rPr>
                <w:sz w:val="20"/>
                <w:szCs w:val="20"/>
              </w:rPr>
            </w:pPr>
            <w:r w:rsidRPr="009575DB">
              <w:rPr>
                <w:sz w:val="20"/>
                <w:szCs w:val="20"/>
              </w:rPr>
              <w:t>1.2%</w:t>
            </w:r>
          </w:p>
        </w:tc>
      </w:tr>
      <w:tr w:rsidR="00614426" w:rsidRPr="009575DB" w14:paraId="62DFBE77" w14:textId="77777777" w:rsidTr="00B06A5B">
        <w:tc>
          <w:tcPr>
            <w:tcW w:w="2268" w:type="dxa"/>
            <w:shd w:val="clear" w:color="auto" w:fill="FFFFFF" w:themeFill="background1"/>
            <w:hideMark/>
          </w:tcPr>
          <w:p w14:paraId="64904335" w14:textId="77777777" w:rsidR="00CE14CC" w:rsidRPr="009575DB" w:rsidRDefault="00CE14CC">
            <w:pPr>
              <w:pStyle w:val="NormalWeb"/>
              <w:rPr>
                <w:sz w:val="20"/>
                <w:szCs w:val="20"/>
              </w:rPr>
            </w:pPr>
            <w:r w:rsidRPr="009575DB">
              <w:rPr>
                <w:sz w:val="20"/>
                <w:szCs w:val="20"/>
                <w:lang w:val="en-US"/>
              </w:rPr>
              <w:t>Myalgia</w:t>
            </w:r>
          </w:p>
        </w:tc>
        <w:tc>
          <w:tcPr>
            <w:tcW w:w="709" w:type="dxa"/>
            <w:shd w:val="clear" w:color="auto" w:fill="F2F2F2" w:themeFill="background1" w:themeFillShade="F2"/>
            <w:hideMark/>
          </w:tcPr>
          <w:p w14:paraId="0D6F289D" w14:textId="77777777" w:rsidR="00CE14CC" w:rsidRPr="009575DB" w:rsidRDefault="00CE14CC" w:rsidP="00C54EE3">
            <w:pPr>
              <w:pStyle w:val="NormalWeb"/>
              <w:jc w:val="center"/>
              <w:rPr>
                <w:sz w:val="20"/>
                <w:szCs w:val="20"/>
              </w:rPr>
            </w:pPr>
            <w:r w:rsidRPr="009575DB">
              <w:rPr>
                <w:sz w:val="20"/>
                <w:szCs w:val="20"/>
              </w:rPr>
              <w:t>3</w:t>
            </w:r>
          </w:p>
        </w:tc>
        <w:tc>
          <w:tcPr>
            <w:tcW w:w="1134" w:type="dxa"/>
            <w:shd w:val="clear" w:color="auto" w:fill="F2F2F2" w:themeFill="background1" w:themeFillShade="F2"/>
            <w:hideMark/>
          </w:tcPr>
          <w:p w14:paraId="7C75D923"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50180634" w14:textId="77777777" w:rsidR="00CE14CC" w:rsidRPr="009575DB" w:rsidRDefault="00CE14CC" w:rsidP="00C54EE3">
            <w:pPr>
              <w:pStyle w:val="NormalWeb"/>
              <w:jc w:val="center"/>
              <w:rPr>
                <w:sz w:val="20"/>
                <w:szCs w:val="20"/>
              </w:rPr>
            </w:pPr>
            <w:r w:rsidRPr="009575DB">
              <w:rPr>
                <w:sz w:val="20"/>
                <w:szCs w:val="20"/>
              </w:rPr>
              <w:t>0</w:t>
            </w:r>
          </w:p>
        </w:tc>
        <w:tc>
          <w:tcPr>
            <w:tcW w:w="1134" w:type="dxa"/>
            <w:shd w:val="clear" w:color="auto" w:fill="FFFFFF" w:themeFill="background1"/>
            <w:hideMark/>
          </w:tcPr>
          <w:p w14:paraId="44B2E7B6" w14:textId="77777777" w:rsidR="00CE14CC" w:rsidRPr="009575DB" w:rsidRDefault="00CE14CC" w:rsidP="00C54EE3">
            <w:pPr>
              <w:pStyle w:val="NormalWeb"/>
              <w:jc w:val="center"/>
              <w:rPr>
                <w:sz w:val="20"/>
                <w:szCs w:val="20"/>
              </w:rPr>
            </w:pPr>
            <w:r w:rsidRPr="009575DB">
              <w:rPr>
                <w:sz w:val="20"/>
                <w:szCs w:val="20"/>
              </w:rPr>
              <w:t>0%</w:t>
            </w:r>
          </w:p>
        </w:tc>
        <w:tc>
          <w:tcPr>
            <w:tcW w:w="1276" w:type="dxa"/>
            <w:shd w:val="clear" w:color="auto" w:fill="F2F2F2" w:themeFill="background1" w:themeFillShade="F2"/>
            <w:hideMark/>
          </w:tcPr>
          <w:p w14:paraId="1E6FFD66" w14:textId="77777777" w:rsidR="00CE14CC" w:rsidRPr="009575DB" w:rsidRDefault="00CE14CC" w:rsidP="00C54EE3">
            <w:pPr>
              <w:pStyle w:val="NormalWeb"/>
              <w:jc w:val="center"/>
              <w:rPr>
                <w:sz w:val="20"/>
                <w:szCs w:val="20"/>
              </w:rPr>
            </w:pPr>
            <w:r w:rsidRPr="009575DB">
              <w:rPr>
                <w:sz w:val="20"/>
                <w:szCs w:val="20"/>
              </w:rPr>
              <w:t>5</w:t>
            </w:r>
          </w:p>
        </w:tc>
        <w:tc>
          <w:tcPr>
            <w:tcW w:w="1417" w:type="dxa"/>
            <w:shd w:val="clear" w:color="auto" w:fill="F2F2F2" w:themeFill="background1" w:themeFillShade="F2"/>
            <w:hideMark/>
          </w:tcPr>
          <w:p w14:paraId="4958E215"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71E62A06" w14:textId="77777777" w:rsidR="00CE14CC" w:rsidRPr="009575DB" w:rsidRDefault="00CE14CC" w:rsidP="00C54EE3">
            <w:pPr>
              <w:pStyle w:val="NormalWeb"/>
              <w:jc w:val="center"/>
              <w:rPr>
                <w:sz w:val="20"/>
                <w:szCs w:val="20"/>
              </w:rPr>
            </w:pPr>
            <w:r w:rsidRPr="009575DB">
              <w:rPr>
                <w:sz w:val="20"/>
                <w:szCs w:val="20"/>
              </w:rPr>
              <w:t>9</w:t>
            </w:r>
          </w:p>
        </w:tc>
        <w:tc>
          <w:tcPr>
            <w:tcW w:w="1134" w:type="dxa"/>
            <w:shd w:val="clear" w:color="auto" w:fill="FFFFFF" w:themeFill="background1"/>
            <w:hideMark/>
          </w:tcPr>
          <w:p w14:paraId="25E725B0" w14:textId="77777777" w:rsidR="00CE14CC" w:rsidRPr="009575DB" w:rsidRDefault="00CE14CC" w:rsidP="00C54EE3">
            <w:pPr>
              <w:pStyle w:val="NormalWeb"/>
              <w:jc w:val="center"/>
              <w:rPr>
                <w:sz w:val="20"/>
                <w:szCs w:val="20"/>
              </w:rPr>
            </w:pPr>
            <w:r w:rsidRPr="009575DB">
              <w:rPr>
                <w:sz w:val="20"/>
                <w:szCs w:val="20"/>
              </w:rPr>
              <w:t>2%</w:t>
            </w:r>
          </w:p>
        </w:tc>
        <w:tc>
          <w:tcPr>
            <w:tcW w:w="850" w:type="dxa"/>
            <w:shd w:val="clear" w:color="auto" w:fill="F2F2F2" w:themeFill="background1" w:themeFillShade="F2"/>
            <w:hideMark/>
          </w:tcPr>
          <w:p w14:paraId="2F9D8E01" w14:textId="77777777" w:rsidR="00CE14CC" w:rsidRPr="009575DB" w:rsidRDefault="00CE14CC" w:rsidP="00C54EE3">
            <w:pPr>
              <w:pStyle w:val="NormalWeb"/>
              <w:jc w:val="center"/>
              <w:rPr>
                <w:sz w:val="20"/>
                <w:szCs w:val="20"/>
              </w:rPr>
            </w:pPr>
            <w:r w:rsidRPr="009575DB">
              <w:rPr>
                <w:sz w:val="20"/>
                <w:szCs w:val="20"/>
              </w:rPr>
              <w:t>7</w:t>
            </w:r>
          </w:p>
        </w:tc>
        <w:tc>
          <w:tcPr>
            <w:tcW w:w="1560" w:type="dxa"/>
            <w:shd w:val="clear" w:color="auto" w:fill="F2F2F2" w:themeFill="background1" w:themeFillShade="F2"/>
            <w:hideMark/>
          </w:tcPr>
          <w:p w14:paraId="4A5D97A0" w14:textId="77777777" w:rsidR="00CE14CC" w:rsidRPr="009575DB" w:rsidRDefault="00CE14CC" w:rsidP="00C54EE3">
            <w:pPr>
              <w:pStyle w:val="NormalWeb"/>
              <w:jc w:val="center"/>
              <w:rPr>
                <w:sz w:val="20"/>
                <w:szCs w:val="20"/>
              </w:rPr>
            </w:pPr>
            <w:r w:rsidRPr="009575DB">
              <w:rPr>
                <w:sz w:val="20"/>
                <w:szCs w:val="20"/>
              </w:rPr>
              <w:t>3%</w:t>
            </w:r>
          </w:p>
        </w:tc>
        <w:tc>
          <w:tcPr>
            <w:tcW w:w="992" w:type="dxa"/>
            <w:shd w:val="clear" w:color="auto" w:fill="FFFFFF" w:themeFill="background1"/>
            <w:hideMark/>
          </w:tcPr>
          <w:p w14:paraId="038EB81C" w14:textId="77777777" w:rsidR="00CE14CC" w:rsidRPr="009575DB" w:rsidRDefault="00CE14CC" w:rsidP="00C54EE3">
            <w:pPr>
              <w:pStyle w:val="NormalWeb"/>
              <w:jc w:val="center"/>
              <w:rPr>
                <w:sz w:val="20"/>
                <w:szCs w:val="20"/>
              </w:rPr>
            </w:pPr>
            <w:r w:rsidRPr="009575DB">
              <w:rPr>
                <w:sz w:val="20"/>
                <w:szCs w:val="20"/>
              </w:rPr>
              <w:t>24</w:t>
            </w:r>
          </w:p>
        </w:tc>
        <w:tc>
          <w:tcPr>
            <w:tcW w:w="1092" w:type="dxa"/>
            <w:shd w:val="clear" w:color="auto" w:fill="FFFFFF" w:themeFill="background1"/>
            <w:hideMark/>
          </w:tcPr>
          <w:p w14:paraId="1539BBA1" w14:textId="77777777" w:rsidR="00CE14CC" w:rsidRPr="009575DB" w:rsidRDefault="00CE14CC" w:rsidP="00C54EE3">
            <w:pPr>
              <w:pStyle w:val="NormalWeb"/>
              <w:jc w:val="center"/>
              <w:rPr>
                <w:sz w:val="20"/>
                <w:szCs w:val="20"/>
              </w:rPr>
            </w:pPr>
            <w:r w:rsidRPr="009575DB">
              <w:rPr>
                <w:sz w:val="20"/>
                <w:szCs w:val="20"/>
              </w:rPr>
              <w:t>1.0%</w:t>
            </w:r>
          </w:p>
        </w:tc>
      </w:tr>
      <w:tr w:rsidR="00614426" w:rsidRPr="009575DB" w14:paraId="22F1165F"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3C9AD72A" w14:textId="77777777" w:rsidR="00CE14CC" w:rsidRPr="009575DB" w:rsidRDefault="00CE14CC">
            <w:pPr>
              <w:pStyle w:val="NormalWeb"/>
              <w:rPr>
                <w:sz w:val="20"/>
                <w:szCs w:val="20"/>
              </w:rPr>
            </w:pPr>
            <w:r w:rsidRPr="009575DB">
              <w:rPr>
                <w:sz w:val="20"/>
                <w:szCs w:val="20"/>
                <w:lang w:val="en-US"/>
              </w:rPr>
              <w:t>Fever (&gt;40)</w:t>
            </w:r>
          </w:p>
        </w:tc>
        <w:tc>
          <w:tcPr>
            <w:tcW w:w="709" w:type="dxa"/>
            <w:hideMark/>
          </w:tcPr>
          <w:p w14:paraId="1B3D2A5F" w14:textId="77777777" w:rsidR="00CE14CC" w:rsidRPr="009575DB" w:rsidRDefault="00CE14CC" w:rsidP="00C54EE3">
            <w:pPr>
              <w:pStyle w:val="NormalWeb"/>
              <w:jc w:val="center"/>
              <w:rPr>
                <w:sz w:val="20"/>
                <w:szCs w:val="20"/>
              </w:rPr>
            </w:pPr>
            <w:r w:rsidRPr="009575DB">
              <w:rPr>
                <w:sz w:val="20"/>
                <w:szCs w:val="20"/>
              </w:rPr>
              <w:t>2</w:t>
            </w:r>
          </w:p>
        </w:tc>
        <w:tc>
          <w:tcPr>
            <w:tcW w:w="1134" w:type="dxa"/>
            <w:hideMark/>
          </w:tcPr>
          <w:p w14:paraId="148F3643"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C6D9F1" w:themeFill="text2" w:themeFillTint="33"/>
            <w:hideMark/>
          </w:tcPr>
          <w:p w14:paraId="55216136" w14:textId="77777777" w:rsidR="00CE14CC" w:rsidRPr="00B06A5B" w:rsidRDefault="00CE14CC" w:rsidP="00C54EE3">
            <w:pPr>
              <w:pStyle w:val="NormalWeb"/>
              <w:jc w:val="center"/>
              <w:rPr>
                <w:b/>
                <w:sz w:val="20"/>
                <w:szCs w:val="20"/>
              </w:rPr>
            </w:pPr>
            <w:r w:rsidRPr="00B06A5B">
              <w:rPr>
                <w:b/>
                <w:sz w:val="20"/>
                <w:szCs w:val="20"/>
              </w:rPr>
              <w:t>19</w:t>
            </w:r>
          </w:p>
        </w:tc>
        <w:tc>
          <w:tcPr>
            <w:tcW w:w="1134" w:type="dxa"/>
            <w:shd w:val="clear" w:color="auto" w:fill="C6D9F1" w:themeFill="text2" w:themeFillTint="33"/>
            <w:hideMark/>
          </w:tcPr>
          <w:p w14:paraId="7C9B2948" w14:textId="77777777" w:rsidR="00CE14CC" w:rsidRPr="00B06A5B" w:rsidRDefault="00CE14CC" w:rsidP="00C54EE3">
            <w:pPr>
              <w:pStyle w:val="NormalWeb"/>
              <w:jc w:val="center"/>
              <w:rPr>
                <w:b/>
                <w:sz w:val="20"/>
                <w:szCs w:val="20"/>
              </w:rPr>
            </w:pPr>
            <w:r w:rsidRPr="00B06A5B">
              <w:rPr>
                <w:b/>
                <w:sz w:val="20"/>
                <w:szCs w:val="20"/>
              </w:rPr>
              <w:t>2%</w:t>
            </w:r>
          </w:p>
        </w:tc>
        <w:tc>
          <w:tcPr>
            <w:tcW w:w="1276" w:type="dxa"/>
            <w:hideMark/>
          </w:tcPr>
          <w:p w14:paraId="678BB919" w14:textId="77777777" w:rsidR="00CE14CC" w:rsidRPr="009575DB" w:rsidRDefault="00CE14CC" w:rsidP="00C54EE3">
            <w:pPr>
              <w:pStyle w:val="NormalWeb"/>
              <w:jc w:val="center"/>
              <w:rPr>
                <w:sz w:val="20"/>
                <w:szCs w:val="20"/>
              </w:rPr>
            </w:pPr>
            <w:r w:rsidRPr="009575DB">
              <w:rPr>
                <w:sz w:val="20"/>
                <w:szCs w:val="20"/>
              </w:rPr>
              <w:t>1</w:t>
            </w:r>
          </w:p>
        </w:tc>
        <w:tc>
          <w:tcPr>
            <w:tcW w:w="1417" w:type="dxa"/>
            <w:hideMark/>
          </w:tcPr>
          <w:p w14:paraId="7648DD5A"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6460CDC3" w14:textId="77777777" w:rsidR="00CE14CC" w:rsidRPr="009575DB" w:rsidRDefault="00CE14CC" w:rsidP="00C54EE3">
            <w:pPr>
              <w:pStyle w:val="NormalWeb"/>
              <w:jc w:val="center"/>
              <w:rPr>
                <w:sz w:val="20"/>
                <w:szCs w:val="20"/>
              </w:rPr>
            </w:pPr>
            <w:r w:rsidRPr="009575DB">
              <w:rPr>
                <w:sz w:val="20"/>
                <w:szCs w:val="20"/>
              </w:rPr>
              <w:t>0</w:t>
            </w:r>
          </w:p>
        </w:tc>
        <w:tc>
          <w:tcPr>
            <w:tcW w:w="1134" w:type="dxa"/>
            <w:shd w:val="clear" w:color="auto" w:fill="FFFFFF" w:themeFill="background1"/>
            <w:hideMark/>
          </w:tcPr>
          <w:p w14:paraId="70C2ACA5" w14:textId="77777777" w:rsidR="00CE14CC" w:rsidRPr="009575DB" w:rsidRDefault="00CE14CC" w:rsidP="00C54EE3">
            <w:pPr>
              <w:pStyle w:val="NormalWeb"/>
              <w:jc w:val="center"/>
              <w:rPr>
                <w:sz w:val="20"/>
                <w:szCs w:val="20"/>
              </w:rPr>
            </w:pPr>
            <w:r w:rsidRPr="009575DB">
              <w:rPr>
                <w:sz w:val="20"/>
                <w:szCs w:val="20"/>
              </w:rPr>
              <w:t>0%</w:t>
            </w:r>
          </w:p>
        </w:tc>
        <w:tc>
          <w:tcPr>
            <w:tcW w:w="850" w:type="dxa"/>
            <w:hideMark/>
          </w:tcPr>
          <w:p w14:paraId="77662AFA" w14:textId="77777777" w:rsidR="00CE14CC" w:rsidRPr="009575DB" w:rsidRDefault="00CE14CC" w:rsidP="00C54EE3">
            <w:pPr>
              <w:pStyle w:val="NormalWeb"/>
              <w:jc w:val="center"/>
              <w:rPr>
                <w:sz w:val="20"/>
                <w:szCs w:val="20"/>
              </w:rPr>
            </w:pPr>
            <w:r w:rsidRPr="009575DB">
              <w:rPr>
                <w:sz w:val="20"/>
                <w:szCs w:val="20"/>
              </w:rPr>
              <w:t>0</w:t>
            </w:r>
          </w:p>
        </w:tc>
        <w:tc>
          <w:tcPr>
            <w:tcW w:w="1560" w:type="dxa"/>
            <w:hideMark/>
          </w:tcPr>
          <w:p w14:paraId="258BAE89"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FFFFFF" w:themeFill="background1"/>
            <w:hideMark/>
          </w:tcPr>
          <w:p w14:paraId="7AB37F07" w14:textId="77777777" w:rsidR="00CE14CC" w:rsidRPr="009575DB" w:rsidRDefault="00CE14CC" w:rsidP="00C54EE3">
            <w:pPr>
              <w:pStyle w:val="NormalWeb"/>
              <w:jc w:val="center"/>
              <w:rPr>
                <w:sz w:val="20"/>
                <w:szCs w:val="20"/>
              </w:rPr>
            </w:pPr>
            <w:r w:rsidRPr="009575DB">
              <w:rPr>
                <w:sz w:val="20"/>
                <w:szCs w:val="20"/>
              </w:rPr>
              <w:t>22</w:t>
            </w:r>
          </w:p>
        </w:tc>
        <w:tc>
          <w:tcPr>
            <w:tcW w:w="1092" w:type="dxa"/>
            <w:shd w:val="clear" w:color="auto" w:fill="FFFFFF" w:themeFill="background1"/>
            <w:hideMark/>
          </w:tcPr>
          <w:p w14:paraId="531D37C3" w14:textId="77777777" w:rsidR="00CE14CC" w:rsidRPr="009575DB" w:rsidRDefault="00CE14CC" w:rsidP="00C54EE3">
            <w:pPr>
              <w:pStyle w:val="NormalWeb"/>
              <w:jc w:val="center"/>
              <w:rPr>
                <w:sz w:val="20"/>
                <w:szCs w:val="20"/>
              </w:rPr>
            </w:pPr>
            <w:r w:rsidRPr="009575DB">
              <w:rPr>
                <w:sz w:val="20"/>
                <w:szCs w:val="20"/>
              </w:rPr>
              <w:t>0.9%</w:t>
            </w:r>
          </w:p>
        </w:tc>
      </w:tr>
      <w:tr w:rsidR="00614426" w:rsidRPr="009575DB" w14:paraId="16260722" w14:textId="77777777" w:rsidTr="00B06A5B">
        <w:tc>
          <w:tcPr>
            <w:tcW w:w="2268" w:type="dxa"/>
            <w:shd w:val="clear" w:color="auto" w:fill="FFFFFF" w:themeFill="background1"/>
            <w:hideMark/>
          </w:tcPr>
          <w:p w14:paraId="15F40EE2" w14:textId="77777777" w:rsidR="00CE14CC" w:rsidRPr="009575DB" w:rsidRDefault="00CE14CC">
            <w:pPr>
              <w:pStyle w:val="NormalWeb"/>
              <w:rPr>
                <w:sz w:val="20"/>
                <w:szCs w:val="20"/>
              </w:rPr>
            </w:pPr>
            <w:r w:rsidRPr="009575DB">
              <w:rPr>
                <w:sz w:val="20"/>
                <w:szCs w:val="20"/>
                <w:lang w:val="en-US"/>
              </w:rPr>
              <w:t>Influenza-like-illness</w:t>
            </w:r>
          </w:p>
        </w:tc>
        <w:tc>
          <w:tcPr>
            <w:tcW w:w="709" w:type="dxa"/>
            <w:shd w:val="clear" w:color="auto" w:fill="F2F2F2" w:themeFill="background1" w:themeFillShade="F2"/>
            <w:hideMark/>
          </w:tcPr>
          <w:p w14:paraId="4EEBBBCF"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F2F2F2" w:themeFill="background1" w:themeFillShade="F2"/>
            <w:hideMark/>
          </w:tcPr>
          <w:p w14:paraId="4490C785"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FFFFFF" w:themeFill="background1"/>
            <w:hideMark/>
          </w:tcPr>
          <w:p w14:paraId="0143128F"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FFFFFF" w:themeFill="background1"/>
            <w:hideMark/>
          </w:tcPr>
          <w:p w14:paraId="052BB83E" w14:textId="77777777" w:rsidR="00CE14CC" w:rsidRPr="009575DB" w:rsidRDefault="00CE14CC" w:rsidP="00C54EE3">
            <w:pPr>
              <w:pStyle w:val="NormalWeb"/>
              <w:jc w:val="center"/>
              <w:rPr>
                <w:sz w:val="20"/>
                <w:szCs w:val="20"/>
              </w:rPr>
            </w:pPr>
            <w:r w:rsidRPr="009575DB">
              <w:rPr>
                <w:sz w:val="20"/>
                <w:szCs w:val="20"/>
              </w:rPr>
              <w:t>0%</w:t>
            </w:r>
          </w:p>
        </w:tc>
        <w:tc>
          <w:tcPr>
            <w:tcW w:w="1276" w:type="dxa"/>
            <w:shd w:val="clear" w:color="auto" w:fill="F2F2F2" w:themeFill="background1" w:themeFillShade="F2"/>
            <w:hideMark/>
          </w:tcPr>
          <w:p w14:paraId="7947D027" w14:textId="77777777" w:rsidR="00CE14CC" w:rsidRPr="009575DB" w:rsidRDefault="00CE14CC" w:rsidP="00C54EE3">
            <w:pPr>
              <w:pStyle w:val="NormalWeb"/>
              <w:jc w:val="center"/>
              <w:rPr>
                <w:sz w:val="20"/>
                <w:szCs w:val="20"/>
              </w:rPr>
            </w:pPr>
            <w:r w:rsidRPr="009575DB">
              <w:rPr>
                <w:sz w:val="20"/>
                <w:szCs w:val="20"/>
              </w:rPr>
              <w:t>2</w:t>
            </w:r>
          </w:p>
        </w:tc>
        <w:tc>
          <w:tcPr>
            <w:tcW w:w="1417" w:type="dxa"/>
            <w:shd w:val="clear" w:color="auto" w:fill="F2F2F2" w:themeFill="background1" w:themeFillShade="F2"/>
            <w:hideMark/>
          </w:tcPr>
          <w:p w14:paraId="53096541"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2A7E5D95" w14:textId="77777777" w:rsidR="00CE14CC" w:rsidRPr="009575DB" w:rsidRDefault="00CE14CC" w:rsidP="00C54EE3">
            <w:pPr>
              <w:pStyle w:val="NormalWeb"/>
              <w:jc w:val="center"/>
              <w:rPr>
                <w:sz w:val="20"/>
                <w:szCs w:val="20"/>
              </w:rPr>
            </w:pPr>
            <w:r w:rsidRPr="009575DB">
              <w:rPr>
                <w:sz w:val="20"/>
                <w:szCs w:val="20"/>
              </w:rPr>
              <w:t>12</w:t>
            </w:r>
          </w:p>
        </w:tc>
        <w:tc>
          <w:tcPr>
            <w:tcW w:w="1134" w:type="dxa"/>
            <w:shd w:val="clear" w:color="auto" w:fill="FFFFFF" w:themeFill="background1"/>
            <w:hideMark/>
          </w:tcPr>
          <w:p w14:paraId="4CD8F758" w14:textId="77777777" w:rsidR="00CE14CC" w:rsidRPr="009575DB" w:rsidRDefault="00CE14CC" w:rsidP="00C54EE3">
            <w:pPr>
              <w:pStyle w:val="NormalWeb"/>
              <w:jc w:val="center"/>
              <w:rPr>
                <w:sz w:val="20"/>
                <w:szCs w:val="20"/>
              </w:rPr>
            </w:pPr>
            <w:r w:rsidRPr="009575DB">
              <w:rPr>
                <w:sz w:val="20"/>
                <w:szCs w:val="20"/>
              </w:rPr>
              <w:t>3%</w:t>
            </w:r>
          </w:p>
        </w:tc>
        <w:tc>
          <w:tcPr>
            <w:tcW w:w="850" w:type="dxa"/>
            <w:shd w:val="clear" w:color="auto" w:fill="F2F2F2" w:themeFill="background1" w:themeFillShade="F2"/>
            <w:hideMark/>
          </w:tcPr>
          <w:p w14:paraId="3A95B91F" w14:textId="77777777" w:rsidR="00CE14CC" w:rsidRPr="009575DB" w:rsidRDefault="00CE14CC" w:rsidP="00C54EE3">
            <w:pPr>
              <w:pStyle w:val="NormalWeb"/>
              <w:jc w:val="center"/>
              <w:rPr>
                <w:sz w:val="20"/>
                <w:szCs w:val="20"/>
              </w:rPr>
            </w:pPr>
            <w:r w:rsidRPr="009575DB">
              <w:rPr>
                <w:sz w:val="20"/>
                <w:szCs w:val="20"/>
              </w:rPr>
              <w:t>6</w:t>
            </w:r>
          </w:p>
        </w:tc>
        <w:tc>
          <w:tcPr>
            <w:tcW w:w="1560" w:type="dxa"/>
            <w:shd w:val="clear" w:color="auto" w:fill="F2F2F2" w:themeFill="background1" w:themeFillShade="F2"/>
            <w:hideMark/>
          </w:tcPr>
          <w:p w14:paraId="1CEB9F0C" w14:textId="77777777" w:rsidR="00CE14CC" w:rsidRPr="009575DB" w:rsidRDefault="00CE14CC" w:rsidP="00C54EE3">
            <w:pPr>
              <w:pStyle w:val="NormalWeb"/>
              <w:jc w:val="center"/>
              <w:rPr>
                <w:sz w:val="20"/>
                <w:szCs w:val="20"/>
              </w:rPr>
            </w:pPr>
            <w:r w:rsidRPr="009575DB">
              <w:rPr>
                <w:sz w:val="20"/>
                <w:szCs w:val="20"/>
              </w:rPr>
              <w:t>2%</w:t>
            </w:r>
          </w:p>
        </w:tc>
        <w:tc>
          <w:tcPr>
            <w:tcW w:w="992" w:type="dxa"/>
            <w:shd w:val="clear" w:color="auto" w:fill="FFFFFF" w:themeFill="background1"/>
            <w:hideMark/>
          </w:tcPr>
          <w:p w14:paraId="16415F76" w14:textId="77777777" w:rsidR="00CE14CC" w:rsidRPr="009575DB" w:rsidRDefault="00CE14CC" w:rsidP="00C54EE3">
            <w:pPr>
              <w:pStyle w:val="NormalWeb"/>
              <w:jc w:val="center"/>
              <w:rPr>
                <w:sz w:val="20"/>
                <w:szCs w:val="20"/>
              </w:rPr>
            </w:pPr>
            <w:r w:rsidRPr="009575DB">
              <w:rPr>
                <w:sz w:val="20"/>
                <w:szCs w:val="20"/>
              </w:rPr>
              <w:t>22</w:t>
            </w:r>
          </w:p>
        </w:tc>
        <w:tc>
          <w:tcPr>
            <w:tcW w:w="1092" w:type="dxa"/>
            <w:shd w:val="clear" w:color="auto" w:fill="FFFFFF" w:themeFill="background1"/>
            <w:hideMark/>
          </w:tcPr>
          <w:p w14:paraId="64F7EC02" w14:textId="77777777" w:rsidR="00CE14CC" w:rsidRPr="009575DB" w:rsidRDefault="00CE14CC" w:rsidP="00C54EE3">
            <w:pPr>
              <w:pStyle w:val="NormalWeb"/>
              <w:jc w:val="center"/>
              <w:rPr>
                <w:sz w:val="20"/>
                <w:szCs w:val="20"/>
              </w:rPr>
            </w:pPr>
            <w:r w:rsidRPr="009575DB">
              <w:rPr>
                <w:sz w:val="20"/>
                <w:szCs w:val="20"/>
              </w:rPr>
              <w:t>0.9%</w:t>
            </w:r>
          </w:p>
        </w:tc>
      </w:tr>
      <w:tr w:rsidR="00614426" w:rsidRPr="009575DB" w14:paraId="6E421409" w14:textId="77777777" w:rsidTr="00B06A5B">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4BEC673C" w14:textId="77777777" w:rsidR="00CE14CC" w:rsidRPr="009575DB" w:rsidRDefault="00CE14CC">
            <w:pPr>
              <w:pStyle w:val="NormalWeb"/>
              <w:rPr>
                <w:sz w:val="20"/>
                <w:szCs w:val="20"/>
              </w:rPr>
            </w:pPr>
            <w:r w:rsidRPr="009575DB">
              <w:rPr>
                <w:sz w:val="20"/>
                <w:szCs w:val="20"/>
                <w:lang w:val="en-US"/>
              </w:rPr>
              <w:t>Pallor</w:t>
            </w:r>
          </w:p>
        </w:tc>
        <w:tc>
          <w:tcPr>
            <w:tcW w:w="709" w:type="dxa"/>
            <w:hideMark/>
          </w:tcPr>
          <w:p w14:paraId="4741585D" w14:textId="77777777" w:rsidR="00CE14CC" w:rsidRPr="009575DB" w:rsidRDefault="00CE14CC" w:rsidP="00C54EE3">
            <w:pPr>
              <w:pStyle w:val="NormalWeb"/>
              <w:jc w:val="center"/>
              <w:rPr>
                <w:sz w:val="20"/>
                <w:szCs w:val="20"/>
              </w:rPr>
            </w:pPr>
            <w:r w:rsidRPr="009575DB">
              <w:rPr>
                <w:sz w:val="20"/>
                <w:szCs w:val="20"/>
              </w:rPr>
              <w:t>8</w:t>
            </w:r>
          </w:p>
        </w:tc>
        <w:tc>
          <w:tcPr>
            <w:tcW w:w="1134" w:type="dxa"/>
            <w:hideMark/>
          </w:tcPr>
          <w:p w14:paraId="30E7D362" w14:textId="77777777" w:rsidR="00CE14CC" w:rsidRPr="009575DB" w:rsidRDefault="00CE14CC" w:rsidP="00C54EE3">
            <w:pPr>
              <w:pStyle w:val="NormalWeb"/>
              <w:jc w:val="center"/>
              <w:rPr>
                <w:sz w:val="20"/>
                <w:szCs w:val="20"/>
              </w:rPr>
            </w:pPr>
            <w:r w:rsidRPr="009575DB">
              <w:rPr>
                <w:sz w:val="20"/>
                <w:szCs w:val="20"/>
              </w:rPr>
              <w:t>2%</w:t>
            </w:r>
          </w:p>
        </w:tc>
        <w:tc>
          <w:tcPr>
            <w:tcW w:w="709" w:type="dxa"/>
            <w:shd w:val="clear" w:color="auto" w:fill="FFFFFF" w:themeFill="background1"/>
            <w:hideMark/>
          </w:tcPr>
          <w:p w14:paraId="48A52A25"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FFFFFF" w:themeFill="background1"/>
            <w:hideMark/>
          </w:tcPr>
          <w:p w14:paraId="034EBB97" w14:textId="77777777" w:rsidR="00CE14CC" w:rsidRPr="009575DB" w:rsidRDefault="00CE14CC" w:rsidP="00C54EE3">
            <w:pPr>
              <w:pStyle w:val="NormalWeb"/>
              <w:jc w:val="center"/>
              <w:rPr>
                <w:sz w:val="20"/>
                <w:szCs w:val="20"/>
              </w:rPr>
            </w:pPr>
            <w:r w:rsidRPr="009575DB">
              <w:rPr>
                <w:sz w:val="20"/>
                <w:szCs w:val="20"/>
              </w:rPr>
              <w:t>0%</w:t>
            </w:r>
          </w:p>
        </w:tc>
        <w:tc>
          <w:tcPr>
            <w:tcW w:w="1276" w:type="dxa"/>
            <w:hideMark/>
          </w:tcPr>
          <w:p w14:paraId="7E7F43C7" w14:textId="77777777" w:rsidR="00CE14CC" w:rsidRPr="009575DB" w:rsidRDefault="00CE14CC" w:rsidP="00C54EE3">
            <w:pPr>
              <w:pStyle w:val="NormalWeb"/>
              <w:jc w:val="center"/>
              <w:rPr>
                <w:sz w:val="20"/>
                <w:szCs w:val="20"/>
              </w:rPr>
            </w:pPr>
            <w:r w:rsidRPr="009575DB">
              <w:rPr>
                <w:sz w:val="20"/>
                <w:szCs w:val="20"/>
              </w:rPr>
              <w:t>3</w:t>
            </w:r>
          </w:p>
        </w:tc>
        <w:tc>
          <w:tcPr>
            <w:tcW w:w="1417" w:type="dxa"/>
            <w:hideMark/>
          </w:tcPr>
          <w:p w14:paraId="735824C6"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FFFFFF" w:themeFill="background1"/>
            <w:hideMark/>
          </w:tcPr>
          <w:p w14:paraId="1787BE09"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FFFFFF" w:themeFill="background1"/>
            <w:hideMark/>
          </w:tcPr>
          <w:p w14:paraId="4D922DB8" w14:textId="77777777" w:rsidR="00CE14CC" w:rsidRPr="009575DB" w:rsidRDefault="00CE14CC" w:rsidP="00C54EE3">
            <w:pPr>
              <w:pStyle w:val="NormalWeb"/>
              <w:jc w:val="center"/>
              <w:rPr>
                <w:sz w:val="20"/>
                <w:szCs w:val="20"/>
              </w:rPr>
            </w:pPr>
            <w:r w:rsidRPr="009575DB">
              <w:rPr>
                <w:sz w:val="20"/>
                <w:szCs w:val="20"/>
              </w:rPr>
              <w:t>0%</w:t>
            </w:r>
          </w:p>
        </w:tc>
        <w:tc>
          <w:tcPr>
            <w:tcW w:w="850" w:type="dxa"/>
            <w:hideMark/>
          </w:tcPr>
          <w:p w14:paraId="7BF0CC7F" w14:textId="77777777" w:rsidR="00CE14CC" w:rsidRPr="009575DB" w:rsidRDefault="00CE14CC" w:rsidP="00C54EE3">
            <w:pPr>
              <w:pStyle w:val="NormalWeb"/>
              <w:jc w:val="center"/>
              <w:rPr>
                <w:sz w:val="20"/>
                <w:szCs w:val="20"/>
              </w:rPr>
            </w:pPr>
            <w:r w:rsidRPr="009575DB">
              <w:rPr>
                <w:sz w:val="20"/>
                <w:szCs w:val="20"/>
              </w:rPr>
              <w:t>0</w:t>
            </w:r>
          </w:p>
        </w:tc>
        <w:tc>
          <w:tcPr>
            <w:tcW w:w="1560" w:type="dxa"/>
            <w:hideMark/>
          </w:tcPr>
          <w:p w14:paraId="5FE2307A"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FFFFFF" w:themeFill="background1"/>
            <w:hideMark/>
          </w:tcPr>
          <w:p w14:paraId="036A9A68" w14:textId="77777777" w:rsidR="00CE14CC" w:rsidRPr="009575DB" w:rsidRDefault="00CE14CC" w:rsidP="00C54EE3">
            <w:pPr>
              <w:pStyle w:val="NormalWeb"/>
              <w:jc w:val="center"/>
              <w:rPr>
                <w:sz w:val="20"/>
                <w:szCs w:val="20"/>
              </w:rPr>
            </w:pPr>
            <w:r w:rsidRPr="009575DB">
              <w:rPr>
                <w:sz w:val="20"/>
                <w:szCs w:val="20"/>
              </w:rPr>
              <w:t>21</w:t>
            </w:r>
          </w:p>
        </w:tc>
        <w:tc>
          <w:tcPr>
            <w:tcW w:w="1092" w:type="dxa"/>
            <w:shd w:val="clear" w:color="auto" w:fill="FFFFFF" w:themeFill="background1"/>
            <w:hideMark/>
          </w:tcPr>
          <w:p w14:paraId="2BB23258" w14:textId="77777777" w:rsidR="00CE14CC" w:rsidRPr="009575DB" w:rsidRDefault="00CE14CC" w:rsidP="00C54EE3">
            <w:pPr>
              <w:pStyle w:val="NormalWeb"/>
              <w:jc w:val="center"/>
              <w:rPr>
                <w:sz w:val="20"/>
                <w:szCs w:val="20"/>
              </w:rPr>
            </w:pPr>
            <w:r w:rsidRPr="009575DB">
              <w:rPr>
                <w:sz w:val="20"/>
                <w:szCs w:val="20"/>
                <w:lang w:val="en-US"/>
              </w:rPr>
              <w:t>0.9%</w:t>
            </w:r>
          </w:p>
        </w:tc>
      </w:tr>
      <w:tr w:rsidR="00614426" w:rsidRPr="009575DB" w14:paraId="63075961" w14:textId="77777777" w:rsidTr="00911212">
        <w:tc>
          <w:tcPr>
            <w:tcW w:w="2268" w:type="dxa"/>
            <w:shd w:val="clear" w:color="auto" w:fill="D9D9D9" w:themeFill="background1" w:themeFillShade="D9"/>
            <w:hideMark/>
          </w:tcPr>
          <w:p w14:paraId="780794B4" w14:textId="77777777" w:rsidR="00CE14CC" w:rsidRPr="009575DB" w:rsidRDefault="00CE14CC">
            <w:pPr>
              <w:pStyle w:val="NormalWeb"/>
              <w:rPr>
                <w:sz w:val="20"/>
                <w:szCs w:val="20"/>
              </w:rPr>
            </w:pPr>
            <w:r w:rsidRPr="009575DB">
              <w:rPr>
                <w:sz w:val="20"/>
                <w:szCs w:val="20"/>
              </w:rPr>
              <w:lastRenderedPageBreak/>
              <w:t>Anaphylaxis</w:t>
            </w:r>
          </w:p>
        </w:tc>
        <w:tc>
          <w:tcPr>
            <w:tcW w:w="709" w:type="dxa"/>
            <w:shd w:val="clear" w:color="auto" w:fill="D9D9D9" w:themeFill="background1" w:themeFillShade="D9"/>
            <w:hideMark/>
          </w:tcPr>
          <w:p w14:paraId="55E0ABE9" w14:textId="77777777" w:rsidR="00CE14CC" w:rsidRPr="009575DB" w:rsidRDefault="00CE14CC" w:rsidP="00C54EE3">
            <w:pPr>
              <w:pStyle w:val="NormalWeb"/>
              <w:jc w:val="center"/>
              <w:rPr>
                <w:sz w:val="20"/>
                <w:szCs w:val="20"/>
              </w:rPr>
            </w:pPr>
            <w:r w:rsidRPr="009575DB">
              <w:rPr>
                <w:sz w:val="20"/>
                <w:szCs w:val="20"/>
              </w:rPr>
              <w:t>2</w:t>
            </w:r>
          </w:p>
        </w:tc>
        <w:tc>
          <w:tcPr>
            <w:tcW w:w="1134" w:type="dxa"/>
            <w:shd w:val="clear" w:color="auto" w:fill="D9D9D9" w:themeFill="background1" w:themeFillShade="D9"/>
            <w:hideMark/>
          </w:tcPr>
          <w:p w14:paraId="272FE07D"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D9D9D9" w:themeFill="background1" w:themeFillShade="D9"/>
            <w:hideMark/>
          </w:tcPr>
          <w:p w14:paraId="72C3E2E4" w14:textId="77777777" w:rsidR="00CE14CC" w:rsidRPr="009575DB" w:rsidRDefault="00CE14CC" w:rsidP="00C54EE3">
            <w:pPr>
              <w:pStyle w:val="NormalWeb"/>
              <w:jc w:val="center"/>
              <w:rPr>
                <w:sz w:val="20"/>
                <w:szCs w:val="20"/>
              </w:rPr>
            </w:pPr>
            <w:r w:rsidRPr="009575DB">
              <w:rPr>
                <w:sz w:val="20"/>
                <w:szCs w:val="20"/>
              </w:rPr>
              <w:t>4</w:t>
            </w:r>
          </w:p>
        </w:tc>
        <w:tc>
          <w:tcPr>
            <w:tcW w:w="1134" w:type="dxa"/>
            <w:shd w:val="clear" w:color="auto" w:fill="D9D9D9" w:themeFill="background1" w:themeFillShade="D9"/>
            <w:hideMark/>
          </w:tcPr>
          <w:p w14:paraId="5FE4299B" w14:textId="77777777" w:rsidR="00CE14CC" w:rsidRPr="009575DB" w:rsidRDefault="00CE14CC" w:rsidP="00C54EE3">
            <w:pPr>
              <w:pStyle w:val="NormalWeb"/>
              <w:jc w:val="center"/>
              <w:rPr>
                <w:sz w:val="20"/>
                <w:szCs w:val="20"/>
              </w:rPr>
            </w:pPr>
            <w:r w:rsidRPr="009575DB">
              <w:rPr>
                <w:sz w:val="20"/>
                <w:szCs w:val="20"/>
              </w:rPr>
              <w:t>0%</w:t>
            </w:r>
          </w:p>
        </w:tc>
        <w:tc>
          <w:tcPr>
            <w:tcW w:w="1276" w:type="dxa"/>
            <w:shd w:val="clear" w:color="auto" w:fill="D9D9D9" w:themeFill="background1" w:themeFillShade="D9"/>
            <w:hideMark/>
          </w:tcPr>
          <w:p w14:paraId="4F1D04FC" w14:textId="77777777" w:rsidR="00CE14CC" w:rsidRPr="009575DB" w:rsidRDefault="00CE14CC" w:rsidP="00C54EE3">
            <w:pPr>
              <w:pStyle w:val="NormalWeb"/>
              <w:jc w:val="center"/>
              <w:rPr>
                <w:sz w:val="20"/>
                <w:szCs w:val="20"/>
              </w:rPr>
            </w:pPr>
            <w:r w:rsidRPr="009575DB">
              <w:rPr>
                <w:sz w:val="20"/>
                <w:szCs w:val="20"/>
              </w:rPr>
              <w:t>2</w:t>
            </w:r>
          </w:p>
        </w:tc>
        <w:tc>
          <w:tcPr>
            <w:tcW w:w="1417" w:type="dxa"/>
            <w:shd w:val="clear" w:color="auto" w:fill="D9D9D9" w:themeFill="background1" w:themeFillShade="D9"/>
            <w:hideMark/>
          </w:tcPr>
          <w:p w14:paraId="2755240B"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D9D9D9" w:themeFill="background1" w:themeFillShade="D9"/>
            <w:hideMark/>
          </w:tcPr>
          <w:p w14:paraId="08549470" w14:textId="77777777" w:rsidR="00CE14CC" w:rsidRPr="009575DB" w:rsidRDefault="00CE14CC" w:rsidP="00C54EE3">
            <w:pPr>
              <w:pStyle w:val="NormalWeb"/>
              <w:jc w:val="center"/>
              <w:rPr>
                <w:sz w:val="20"/>
                <w:szCs w:val="20"/>
              </w:rPr>
            </w:pPr>
            <w:r w:rsidRPr="009575DB">
              <w:rPr>
                <w:sz w:val="20"/>
                <w:szCs w:val="20"/>
              </w:rPr>
              <w:t>7</w:t>
            </w:r>
          </w:p>
        </w:tc>
        <w:tc>
          <w:tcPr>
            <w:tcW w:w="1134" w:type="dxa"/>
            <w:shd w:val="clear" w:color="auto" w:fill="D9D9D9" w:themeFill="background1" w:themeFillShade="D9"/>
            <w:hideMark/>
          </w:tcPr>
          <w:p w14:paraId="2FCF4961" w14:textId="77777777" w:rsidR="00CE14CC" w:rsidRPr="009575DB" w:rsidRDefault="00CE14CC" w:rsidP="00C54EE3">
            <w:pPr>
              <w:pStyle w:val="NormalWeb"/>
              <w:jc w:val="center"/>
              <w:rPr>
                <w:sz w:val="20"/>
                <w:szCs w:val="20"/>
              </w:rPr>
            </w:pPr>
            <w:r w:rsidRPr="009575DB">
              <w:rPr>
                <w:sz w:val="20"/>
                <w:szCs w:val="20"/>
              </w:rPr>
              <w:t>2%</w:t>
            </w:r>
          </w:p>
        </w:tc>
        <w:tc>
          <w:tcPr>
            <w:tcW w:w="850" w:type="dxa"/>
            <w:shd w:val="clear" w:color="auto" w:fill="D9D9D9" w:themeFill="background1" w:themeFillShade="D9"/>
            <w:hideMark/>
          </w:tcPr>
          <w:p w14:paraId="3E3EED06" w14:textId="77777777" w:rsidR="00CE14CC" w:rsidRPr="009575DB" w:rsidRDefault="00CE14CC" w:rsidP="00C54EE3">
            <w:pPr>
              <w:pStyle w:val="NormalWeb"/>
              <w:jc w:val="center"/>
              <w:rPr>
                <w:sz w:val="20"/>
                <w:szCs w:val="20"/>
              </w:rPr>
            </w:pPr>
            <w:r w:rsidRPr="009575DB">
              <w:rPr>
                <w:sz w:val="20"/>
                <w:szCs w:val="20"/>
              </w:rPr>
              <w:t>1</w:t>
            </w:r>
          </w:p>
        </w:tc>
        <w:tc>
          <w:tcPr>
            <w:tcW w:w="1560" w:type="dxa"/>
            <w:shd w:val="clear" w:color="auto" w:fill="D9D9D9" w:themeFill="background1" w:themeFillShade="D9"/>
            <w:hideMark/>
          </w:tcPr>
          <w:p w14:paraId="0F17D068"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D9D9D9" w:themeFill="background1" w:themeFillShade="D9"/>
            <w:hideMark/>
          </w:tcPr>
          <w:p w14:paraId="1FA2D55D" w14:textId="77777777" w:rsidR="00CE14CC" w:rsidRPr="009575DB" w:rsidRDefault="00CE14CC" w:rsidP="00C54EE3">
            <w:pPr>
              <w:pStyle w:val="NormalWeb"/>
              <w:jc w:val="center"/>
              <w:rPr>
                <w:sz w:val="20"/>
                <w:szCs w:val="20"/>
              </w:rPr>
            </w:pPr>
            <w:r w:rsidRPr="009575DB">
              <w:rPr>
                <w:sz w:val="20"/>
                <w:szCs w:val="20"/>
              </w:rPr>
              <w:t>16</w:t>
            </w:r>
          </w:p>
        </w:tc>
        <w:tc>
          <w:tcPr>
            <w:tcW w:w="1092" w:type="dxa"/>
            <w:shd w:val="clear" w:color="auto" w:fill="D9D9D9" w:themeFill="background1" w:themeFillShade="D9"/>
            <w:hideMark/>
          </w:tcPr>
          <w:p w14:paraId="44E01160" w14:textId="77777777" w:rsidR="00CE14CC" w:rsidRPr="009575DB" w:rsidRDefault="00CE14CC" w:rsidP="00C54EE3">
            <w:pPr>
              <w:pStyle w:val="NormalWeb"/>
              <w:jc w:val="center"/>
              <w:rPr>
                <w:sz w:val="20"/>
                <w:szCs w:val="20"/>
              </w:rPr>
            </w:pPr>
            <w:r w:rsidRPr="009575DB">
              <w:rPr>
                <w:sz w:val="20"/>
                <w:szCs w:val="20"/>
                <w:lang w:val="en-US"/>
              </w:rPr>
              <w:t>0.7%</w:t>
            </w:r>
          </w:p>
        </w:tc>
      </w:tr>
      <w:tr w:rsidR="00614426" w:rsidRPr="009575DB" w14:paraId="18C475B4" w14:textId="77777777" w:rsidTr="00911212">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D9D9D9" w:themeFill="background1" w:themeFillShade="D9"/>
            <w:hideMark/>
          </w:tcPr>
          <w:p w14:paraId="2BFCBF59" w14:textId="77777777" w:rsidR="00CE14CC" w:rsidRPr="009575DB" w:rsidRDefault="00CE14CC">
            <w:pPr>
              <w:pStyle w:val="NormalWeb"/>
              <w:rPr>
                <w:sz w:val="20"/>
                <w:szCs w:val="20"/>
              </w:rPr>
            </w:pPr>
            <w:r w:rsidRPr="009575DB">
              <w:rPr>
                <w:sz w:val="20"/>
                <w:szCs w:val="20"/>
              </w:rPr>
              <w:t>GBS</w:t>
            </w:r>
          </w:p>
        </w:tc>
        <w:tc>
          <w:tcPr>
            <w:tcW w:w="709" w:type="dxa"/>
            <w:shd w:val="clear" w:color="auto" w:fill="D9D9D9" w:themeFill="background1" w:themeFillShade="D9"/>
            <w:hideMark/>
          </w:tcPr>
          <w:p w14:paraId="1A457C65" w14:textId="77777777" w:rsidR="00CE14CC" w:rsidRPr="009575DB" w:rsidRDefault="00CE14CC" w:rsidP="00C54EE3">
            <w:pPr>
              <w:pStyle w:val="NormalWeb"/>
              <w:jc w:val="center"/>
              <w:rPr>
                <w:sz w:val="20"/>
                <w:szCs w:val="20"/>
              </w:rPr>
            </w:pPr>
            <w:r w:rsidRPr="009575DB">
              <w:rPr>
                <w:sz w:val="20"/>
                <w:szCs w:val="20"/>
              </w:rPr>
              <w:t>0</w:t>
            </w:r>
          </w:p>
        </w:tc>
        <w:tc>
          <w:tcPr>
            <w:tcW w:w="1134" w:type="dxa"/>
            <w:shd w:val="clear" w:color="auto" w:fill="D9D9D9" w:themeFill="background1" w:themeFillShade="D9"/>
            <w:hideMark/>
          </w:tcPr>
          <w:p w14:paraId="76C1F7F8"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D9D9D9" w:themeFill="background1" w:themeFillShade="D9"/>
            <w:hideMark/>
          </w:tcPr>
          <w:p w14:paraId="0A52D7AA" w14:textId="77777777" w:rsidR="00CE14CC" w:rsidRPr="009575DB" w:rsidRDefault="00CE14CC" w:rsidP="00C54EE3">
            <w:pPr>
              <w:pStyle w:val="NormalWeb"/>
              <w:jc w:val="center"/>
              <w:rPr>
                <w:sz w:val="20"/>
                <w:szCs w:val="20"/>
              </w:rPr>
            </w:pPr>
            <w:r w:rsidRPr="009575DB">
              <w:rPr>
                <w:sz w:val="20"/>
                <w:szCs w:val="20"/>
              </w:rPr>
              <w:t>3</w:t>
            </w:r>
          </w:p>
        </w:tc>
        <w:tc>
          <w:tcPr>
            <w:tcW w:w="1134" w:type="dxa"/>
            <w:shd w:val="clear" w:color="auto" w:fill="D9D9D9" w:themeFill="background1" w:themeFillShade="D9"/>
            <w:hideMark/>
          </w:tcPr>
          <w:p w14:paraId="27283DE5" w14:textId="77777777" w:rsidR="00CE14CC" w:rsidRPr="009575DB" w:rsidRDefault="00CE14CC" w:rsidP="00C54EE3">
            <w:pPr>
              <w:pStyle w:val="NormalWeb"/>
              <w:jc w:val="center"/>
              <w:rPr>
                <w:sz w:val="20"/>
                <w:szCs w:val="20"/>
              </w:rPr>
            </w:pPr>
            <w:r w:rsidRPr="009575DB">
              <w:rPr>
                <w:sz w:val="20"/>
                <w:szCs w:val="20"/>
              </w:rPr>
              <w:t>0%</w:t>
            </w:r>
          </w:p>
        </w:tc>
        <w:tc>
          <w:tcPr>
            <w:tcW w:w="1276" w:type="dxa"/>
            <w:shd w:val="clear" w:color="auto" w:fill="D9D9D9" w:themeFill="background1" w:themeFillShade="D9"/>
            <w:hideMark/>
          </w:tcPr>
          <w:p w14:paraId="4DDB4951" w14:textId="77777777" w:rsidR="00CE14CC" w:rsidRPr="009575DB" w:rsidRDefault="00CE14CC" w:rsidP="00C54EE3">
            <w:pPr>
              <w:pStyle w:val="NormalWeb"/>
              <w:jc w:val="center"/>
              <w:rPr>
                <w:sz w:val="20"/>
                <w:szCs w:val="20"/>
              </w:rPr>
            </w:pPr>
            <w:r w:rsidRPr="009575DB">
              <w:rPr>
                <w:sz w:val="20"/>
                <w:szCs w:val="20"/>
              </w:rPr>
              <w:t>1</w:t>
            </w:r>
          </w:p>
        </w:tc>
        <w:tc>
          <w:tcPr>
            <w:tcW w:w="1417" w:type="dxa"/>
            <w:shd w:val="clear" w:color="auto" w:fill="D9D9D9" w:themeFill="background1" w:themeFillShade="D9"/>
            <w:hideMark/>
          </w:tcPr>
          <w:p w14:paraId="70987B12"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D9D9D9" w:themeFill="background1" w:themeFillShade="D9"/>
            <w:hideMark/>
          </w:tcPr>
          <w:p w14:paraId="24B648CB"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D9D9D9" w:themeFill="background1" w:themeFillShade="D9"/>
            <w:hideMark/>
          </w:tcPr>
          <w:p w14:paraId="001352EA" w14:textId="77777777" w:rsidR="00CE14CC" w:rsidRPr="009575DB" w:rsidRDefault="00CE14CC" w:rsidP="00C54EE3">
            <w:pPr>
              <w:pStyle w:val="NormalWeb"/>
              <w:jc w:val="center"/>
              <w:rPr>
                <w:sz w:val="20"/>
                <w:szCs w:val="20"/>
              </w:rPr>
            </w:pPr>
            <w:r w:rsidRPr="009575DB">
              <w:rPr>
                <w:sz w:val="20"/>
                <w:szCs w:val="20"/>
              </w:rPr>
              <w:t>0%</w:t>
            </w:r>
          </w:p>
        </w:tc>
        <w:tc>
          <w:tcPr>
            <w:tcW w:w="850" w:type="dxa"/>
            <w:shd w:val="clear" w:color="auto" w:fill="D9D9D9" w:themeFill="background1" w:themeFillShade="D9"/>
            <w:hideMark/>
          </w:tcPr>
          <w:p w14:paraId="00609335" w14:textId="77777777" w:rsidR="00CE14CC" w:rsidRPr="009575DB" w:rsidRDefault="00CE14CC" w:rsidP="00C54EE3">
            <w:pPr>
              <w:pStyle w:val="NormalWeb"/>
              <w:jc w:val="center"/>
              <w:rPr>
                <w:sz w:val="20"/>
                <w:szCs w:val="20"/>
              </w:rPr>
            </w:pPr>
            <w:r w:rsidRPr="009575DB">
              <w:rPr>
                <w:sz w:val="20"/>
                <w:szCs w:val="20"/>
              </w:rPr>
              <w:t>1</w:t>
            </w:r>
          </w:p>
        </w:tc>
        <w:tc>
          <w:tcPr>
            <w:tcW w:w="1560" w:type="dxa"/>
            <w:shd w:val="clear" w:color="auto" w:fill="D9D9D9" w:themeFill="background1" w:themeFillShade="D9"/>
            <w:hideMark/>
          </w:tcPr>
          <w:p w14:paraId="13FC1493"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D9D9D9" w:themeFill="background1" w:themeFillShade="D9"/>
            <w:hideMark/>
          </w:tcPr>
          <w:p w14:paraId="48AE1500" w14:textId="77777777" w:rsidR="00CE14CC" w:rsidRPr="009575DB" w:rsidRDefault="00CE14CC" w:rsidP="00C54EE3">
            <w:pPr>
              <w:pStyle w:val="NormalWeb"/>
              <w:jc w:val="center"/>
              <w:rPr>
                <w:sz w:val="20"/>
                <w:szCs w:val="20"/>
              </w:rPr>
            </w:pPr>
            <w:r w:rsidRPr="009575DB">
              <w:rPr>
                <w:sz w:val="20"/>
                <w:szCs w:val="20"/>
              </w:rPr>
              <w:t>6</w:t>
            </w:r>
          </w:p>
        </w:tc>
        <w:tc>
          <w:tcPr>
            <w:tcW w:w="1092" w:type="dxa"/>
            <w:shd w:val="clear" w:color="auto" w:fill="D9D9D9" w:themeFill="background1" w:themeFillShade="D9"/>
            <w:hideMark/>
          </w:tcPr>
          <w:p w14:paraId="59687E5C" w14:textId="77777777" w:rsidR="00CE14CC" w:rsidRPr="009575DB" w:rsidRDefault="00CE14CC" w:rsidP="00C54EE3">
            <w:pPr>
              <w:pStyle w:val="NormalWeb"/>
              <w:jc w:val="center"/>
              <w:rPr>
                <w:sz w:val="20"/>
                <w:szCs w:val="20"/>
              </w:rPr>
            </w:pPr>
            <w:r w:rsidRPr="009575DB">
              <w:rPr>
                <w:sz w:val="20"/>
                <w:szCs w:val="20"/>
                <w:lang w:val="en-US"/>
              </w:rPr>
              <w:t>0.2%</w:t>
            </w:r>
          </w:p>
        </w:tc>
      </w:tr>
      <w:tr w:rsidR="00614426" w:rsidRPr="009575DB" w14:paraId="41F72B17" w14:textId="77777777" w:rsidTr="00911212">
        <w:tc>
          <w:tcPr>
            <w:tcW w:w="2268" w:type="dxa"/>
            <w:shd w:val="clear" w:color="auto" w:fill="D9D9D9" w:themeFill="background1" w:themeFillShade="D9"/>
            <w:hideMark/>
          </w:tcPr>
          <w:p w14:paraId="43E42B8B" w14:textId="77777777" w:rsidR="00CE14CC" w:rsidRPr="009575DB" w:rsidRDefault="00CE14CC">
            <w:pPr>
              <w:pStyle w:val="NormalWeb"/>
              <w:rPr>
                <w:sz w:val="20"/>
                <w:szCs w:val="20"/>
              </w:rPr>
            </w:pPr>
            <w:r w:rsidRPr="009575DB">
              <w:rPr>
                <w:sz w:val="20"/>
                <w:szCs w:val="20"/>
              </w:rPr>
              <w:t>Optic neuritis</w:t>
            </w:r>
          </w:p>
        </w:tc>
        <w:tc>
          <w:tcPr>
            <w:tcW w:w="709" w:type="dxa"/>
            <w:shd w:val="clear" w:color="auto" w:fill="D9D9D9" w:themeFill="background1" w:themeFillShade="D9"/>
            <w:hideMark/>
          </w:tcPr>
          <w:p w14:paraId="23675355" w14:textId="77777777" w:rsidR="00CE14CC" w:rsidRPr="009575DB" w:rsidRDefault="00CE14CC" w:rsidP="00C54EE3">
            <w:pPr>
              <w:pStyle w:val="NormalWeb"/>
              <w:jc w:val="center"/>
              <w:rPr>
                <w:sz w:val="20"/>
                <w:szCs w:val="20"/>
              </w:rPr>
            </w:pPr>
            <w:r w:rsidRPr="009575DB">
              <w:rPr>
                <w:sz w:val="20"/>
                <w:szCs w:val="20"/>
              </w:rPr>
              <w:t>0</w:t>
            </w:r>
          </w:p>
        </w:tc>
        <w:tc>
          <w:tcPr>
            <w:tcW w:w="1134" w:type="dxa"/>
            <w:shd w:val="clear" w:color="auto" w:fill="D9D9D9" w:themeFill="background1" w:themeFillShade="D9"/>
            <w:hideMark/>
          </w:tcPr>
          <w:p w14:paraId="4DF4A391"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D9D9D9" w:themeFill="background1" w:themeFillShade="D9"/>
            <w:hideMark/>
          </w:tcPr>
          <w:p w14:paraId="3D33DAA7" w14:textId="77777777" w:rsidR="00CE14CC" w:rsidRPr="009575DB" w:rsidRDefault="00CE14CC" w:rsidP="00C54EE3">
            <w:pPr>
              <w:pStyle w:val="NormalWeb"/>
              <w:jc w:val="center"/>
              <w:rPr>
                <w:sz w:val="20"/>
                <w:szCs w:val="20"/>
              </w:rPr>
            </w:pPr>
            <w:r w:rsidRPr="009575DB">
              <w:rPr>
                <w:sz w:val="20"/>
                <w:szCs w:val="20"/>
              </w:rPr>
              <w:t>0</w:t>
            </w:r>
          </w:p>
        </w:tc>
        <w:tc>
          <w:tcPr>
            <w:tcW w:w="1134" w:type="dxa"/>
            <w:shd w:val="clear" w:color="auto" w:fill="D9D9D9" w:themeFill="background1" w:themeFillShade="D9"/>
            <w:hideMark/>
          </w:tcPr>
          <w:p w14:paraId="0957FE81" w14:textId="77777777" w:rsidR="00CE14CC" w:rsidRPr="009575DB" w:rsidRDefault="00CE14CC" w:rsidP="00C54EE3">
            <w:pPr>
              <w:pStyle w:val="NormalWeb"/>
              <w:jc w:val="center"/>
              <w:rPr>
                <w:sz w:val="20"/>
                <w:szCs w:val="20"/>
              </w:rPr>
            </w:pPr>
            <w:r w:rsidRPr="009575DB">
              <w:rPr>
                <w:sz w:val="20"/>
                <w:szCs w:val="20"/>
              </w:rPr>
              <w:t>0%</w:t>
            </w:r>
          </w:p>
        </w:tc>
        <w:tc>
          <w:tcPr>
            <w:tcW w:w="1276" w:type="dxa"/>
            <w:shd w:val="clear" w:color="auto" w:fill="D9D9D9" w:themeFill="background1" w:themeFillShade="D9"/>
            <w:hideMark/>
          </w:tcPr>
          <w:p w14:paraId="0FCB596F" w14:textId="77777777" w:rsidR="00CE14CC" w:rsidRPr="009575DB" w:rsidRDefault="00CE14CC" w:rsidP="00C54EE3">
            <w:pPr>
              <w:pStyle w:val="NormalWeb"/>
              <w:jc w:val="center"/>
              <w:rPr>
                <w:sz w:val="20"/>
                <w:szCs w:val="20"/>
              </w:rPr>
            </w:pPr>
            <w:r w:rsidRPr="009575DB">
              <w:rPr>
                <w:sz w:val="20"/>
                <w:szCs w:val="20"/>
              </w:rPr>
              <w:t>3</w:t>
            </w:r>
          </w:p>
        </w:tc>
        <w:tc>
          <w:tcPr>
            <w:tcW w:w="1417" w:type="dxa"/>
            <w:shd w:val="clear" w:color="auto" w:fill="D9D9D9" w:themeFill="background1" w:themeFillShade="D9"/>
            <w:hideMark/>
          </w:tcPr>
          <w:p w14:paraId="07329E24" w14:textId="77777777" w:rsidR="00CE14CC" w:rsidRPr="009575DB" w:rsidRDefault="00CE14CC" w:rsidP="00C54EE3">
            <w:pPr>
              <w:pStyle w:val="NormalWeb"/>
              <w:jc w:val="center"/>
              <w:rPr>
                <w:sz w:val="20"/>
                <w:szCs w:val="20"/>
              </w:rPr>
            </w:pPr>
            <w:r w:rsidRPr="009575DB">
              <w:rPr>
                <w:sz w:val="20"/>
                <w:szCs w:val="20"/>
              </w:rPr>
              <w:t>1%</w:t>
            </w:r>
          </w:p>
        </w:tc>
        <w:tc>
          <w:tcPr>
            <w:tcW w:w="709" w:type="dxa"/>
            <w:shd w:val="clear" w:color="auto" w:fill="D9D9D9" w:themeFill="background1" w:themeFillShade="D9"/>
            <w:hideMark/>
          </w:tcPr>
          <w:p w14:paraId="3BE98200" w14:textId="77777777" w:rsidR="00CE14CC" w:rsidRPr="009575DB" w:rsidRDefault="00CE14CC" w:rsidP="00C54EE3">
            <w:pPr>
              <w:pStyle w:val="NormalWeb"/>
              <w:jc w:val="center"/>
              <w:rPr>
                <w:sz w:val="20"/>
                <w:szCs w:val="20"/>
              </w:rPr>
            </w:pPr>
            <w:r w:rsidRPr="009575DB">
              <w:rPr>
                <w:sz w:val="20"/>
                <w:szCs w:val="20"/>
              </w:rPr>
              <w:t>0</w:t>
            </w:r>
          </w:p>
        </w:tc>
        <w:tc>
          <w:tcPr>
            <w:tcW w:w="1134" w:type="dxa"/>
            <w:shd w:val="clear" w:color="auto" w:fill="D9D9D9" w:themeFill="background1" w:themeFillShade="D9"/>
            <w:hideMark/>
          </w:tcPr>
          <w:p w14:paraId="082D1950" w14:textId="77777777" w:rsidR="00CE14CC" w:rsidRPr="009575DB" w:rsidRDefault="00CE14CC" w:rsidP="00C54EE3">
            <w:pPr>
              <w:pStyle w:val="NormalWeb"/>
              <w:jc w:val="center"/>
              <w:rPr>
                <w:sz w:val="20"/>
                <w:szCs w:val="20"/>
              </w:rPr>
            </w:pPr>
            <w:r w:rsidRPr="009575DB">
              <w:rPr>
                <w:sz w:val="20"/>
                <w:szCs w:val="20"/>
              </w:rPr>
              <w:t>0%</w:t>
            </w:r>
          </w:p>
        </w:tc>
        <w:tc>
          <w:tcPr>
            <w:tcW w:w="850" w:type="dxa"/>
            <w:shd w:val="clear" w:color="auto" w:fill="D9D9D9" w:themeFill="background1" w:themeFillShade="D9"/>
            <w:hideMark/>
          </w:tcPr>
          <w:p w14:paraId="4530C756" w14:textId="77777777" w:rsidR="00CE14CC" w:rsidRPr="009575DB" w:rsidRDefault="00CE14CC" w:rsidP="00C54EE3">
            <w:pPr>
              <w:pStyle w:val="NormalWeb"/>
              <w:jc w:val="center"/>
              <w:rPr>
                <w:sz w:val="20"/>
                <w:szCs w:val="20"/>
              </w:rPr>
            </w:pPr>
            <w:r w:rsidRPr="009575DB">
              <w:rPr>
                <w:sz w:val="20"/>
                <w:szCs w:val="20"/>
              </w:rPr>
              <w:t>0</w:t>
            </w:r>
          </w:p>
        </w:tc>
        <w:tc>
          <w:tcPr>
            <w:tcW w:w="1560" w:type="dxa"/>
            <w:shd w:val="clear" w:color="auto" w:fill="D9D9D9" w:themeFill="background1" w:themeFillShade="D9"/>
            <w:hideMark/>
          </w:tcPr>
          <w:p w14:paraId="7B5C0DB3"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D9D9D9" w:themeFill="background1" w:themeFillShade="D9"/>
            <w:hideMark/>
          </w:tcPr>
          <w:p w14:paraId="1586759B" w14:textId="77777777" w:rsidR="00CE14CC" w:rsidRPr="009575DB" w:rsidRDefault="00CE14CC" w:rsidP="00C54EE3">
            <w:pPr>
              <w:pStyle w:val="NormalWeb"/>
              <w:jc w:val="center"/>
              <w:rPr>
                <w:sz w:val="20"/>
                <w:szCs w:val="20"/>
              </w:rPr>
            </w:pPr>
            <w:r w:rsidRPr="009575DB">
              <w:rPr>
                <w:sz w:val="20"/>
                <w:szCs w:val="20"/>
              </w:rPr>
              <w:t>3</w:t>
            </w:r>
          </w:p>
        </w:tc>
        <w:tc>
          <w:tcPr>
            <w:tcW w:w="1092" w:type="dxa"/>
            <w:shd w:val="clear" w:color="auto" w:fill="D9D9D9" w:themeFill="background1" w:themeFillShade="D9"/>
            <w:hideMark/>
          </w:tcPr>
          <w:p w14:paraId="625A6C3C" w14:textId="77777777" w:rsidR="00CE14CC" w:rsidRPr="009575DB" w:rsidRDefault="00CE14CC" w:rsidP="00C54EE3">
            <w:pPr>
              <w:pStyle w:val="NormalWeb"/>
              <w:jc w:val="center"/>
              <w:rPr>
                <w:sz w:val="20"/>
                <w:szCs w:val="20"/>
              </w:rPr>
            </w:pPr>
            <w:r w:rsidRPr="009575DB">
              <w:rPr>
                <w:sz w:val="20"/>
                <w:szCs w:val="20"/>
                <w:lang w:val="en-US"/>
              </w:rPr>
              <w:t>0.1%</w:t>
            </w:r>
          </w:p>
        </w:tc>
      </w:tr>
      <w:tr w:rsidR="00614426" w:rsidRPr="009575DB" w14:paraId="4A738BF4" w14:textId="77777777" w:rsidTr="00911212">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D9D9D9" w:themeFill="background1" w:themeFillShade="D9"/>
            <w:hideMark/>
          </w:tcPr>
          <w:p w14:paraId="423CDD68" w14:textId="77777777" w:rsidR="00CE14CC" w:rsidRPr="009575DB" w:rsidRDefault="00CE14CC">
            <w:pPr>
              <w:pStyle w:val="NormalWeb"/>
              <w:rPr>
                <w:sz w:val="20"/>
                <w:szCs w:val="20"/>
              </w:rPr>
            </w:pPr>
            <w:r w:rsidRPr="009575DB">
              <w:rPr>
                <w:sz w:val="20"/>
                <w:szCs w:val="20"/>
              </w:rPr>
              <w:t>Transverse myelitis</w:t>
            </w:r>
          </w:p>
        </w:tc>
        <w:tc>
          <w:tcPr>
            <w:tcW w:w="709" w:type="dxa"/>
            <w:shd w:val="clear" w:color="auto" w:fill="D9D9D9" w:themeFill="background1" w:themeFillShade="D9"/>
            <w:hideMark/>
          </w:tcPr>
          <w:p w14:paraId="3406C6A2" w14:textId="77777777" w:rsidR="00CE14CC" w:rsidRPr="009575DB" w:rsidRDefault="00CE14CC" w:rsidP="00C54EE3">
            <w:pPr>
              <w:pStyle w:val="NormalWeb"/>
              <w:jc w:val="center"/>
              <w:rPr>
                <w:sz w:val="20"/>
                <w:szCs w:val="20"/>
              </w:rPr>
            </w:pPr>
            <w:r w:rsidRPr="009575DB">
              <w:rPr>
                <w:sz w:val="20"/>
                <w:szCs w:val="20"/>
              </w:rPr>
              <w:t>1</w:t>
            </w:r>
          </w:p>
        </w:tc>
        <w:tc>
          <w:tcPr>
            <w:tcW w:w="1134" w:type="dxa"/>
            <w:shd w:val="clear" w:color="auto" w:fill="D9D9D9" w:themeFill="background1" w:themeFillShade="D9"/>
            <w:hideMark/>
          </w:tcPr>
          <w:p w14:paraId="02FF0541"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D9D9D9" w:themeFill="background1" w:themeFillShade="D9"/>
            <w:hideMark/>
          </w:tcPr>
          <w:p w14:paraId="0C793E45" w14:textId="77777777" w:rsidR="00CE14CC" w:rsidRPr="009575DB" w:rsidRDefault="00CE14CC" w:rsidP="00C54EE3">
            <w:pPr>
              <w:pStyle w:val="NormalWeb"/>
              <w:jc w:val="center"/>
              <w:rPr>
                <w:sz w:val="20"/>
                <w:szCs w:val="20"/>
              </w:rPr>
            </w:pPr>
            <w:r w:rsidRPr="009575DB">
              <w:rPr>
                <w:sz w:val="20"/>
                <w:szCs w:val="20"/>
              </w:rPr>
              <w:t>0</w:t>
            </w:r>
          </w:p>
        </w:tc>
        <w:tc>
          <w:tcPr>
            <w:tcW w:w="1134" w:type="dxa"/>
            <w:shd w:val="clear" w:color="auto" w:fill="D9D9D9" w:themeFill="background1" w:themeFillShade="D9"/>
            <w:hideMark/>
          </w:tcPr>
          <w:p w14:paraId="2256A4A1" w14:textId="77777777" w:rsidR="00CE14CC" w:rsidRPr="009575DB" w:rsidRDefault="00CE14CC" w:rsidP="00C54EE3">
            <w:pPr>
              <w:pStyle w:val="NormalWeb"/>
              <w:jc w:val="center"/>
              <w:rPr>
                <w:sz w:val="20"/>
                <w:szCs w:val="20"/>
              </w:rPr>
            </w:pPr>
            <w:r w:rsidRPr="009575DB">
              <w:rPr>
                <w:sz w:val="20"/>
                <w:szCs w:val="20"/>
              </w:rPr>
              <w:t>0%</w:t>
            </w:r>
          </w:p>
        </w:tc>
        <w:tc>
          <w:tcPr>
            <w:tcW w:w="1276" w:type="dxa"/>
            <w:shd w:val="clear" w:color="auto" w:fill="D9D9D9" w:themeFill="background1" w:themeFillShade="D9"/>
            <w:hideMark/>
          </w:tcPr>
          <w:p w14:paraId="70F66A80" w14:textId="77777777" w:rsidR="00CE14CC" w:rsidRPr="009575DB" w:rsidRDefault="00CE14CC" w:rsidP="00C54EE3">
            <w:pPr>
              <w:pStyle w:val="NormalWeb"/>
              <w:jc w:val="center"/>
              <w:rPr>
                <w:sz w:val="20"/>
                <w:szCs w:val="20"/>
              </w:rPr>
            </w:pPr>
            <w:r w:rsidRPr="009575DB">
              <w:rPr>
                <w:sz w:val="20"/>
                <w:szCs w:val="20"/>
              </w:rPr>
              <w:t>0</w:t>
            </w:r>
          </w:p>
        </w:tc>
        <w:tc>
          <w:tcPr>
            <w:tcW w:w="1417" w:type="dxa"/>
            <w:shd w:val="clear" w:color="auto" w:fill="D9D9D9" w:themeFill="background1" w:themeFillShade="D9"/>
            <w:hideMark/>
          </w:tcPr>
          <w:p w14:paraId="3860A008" w14:textId="77777777" w:rsidR="00CE14CC" w:rsidRPr="009575DB" w:rsidRDefault="00CE14CC" w:rsidP="00C54EE3">
            <w:pPr>
              <w:pStyle w:val="NormalWeb"/>
              <w:jc w:val="center"/>
              <w:rPr>
                <w:sz w:val="20"/>
                <w:szCs w:val="20"/>
              </w:rPr>
            </w:pPr>
            <w:r w:rsidRPr="009575DB">
              <w:rPr>
                <w:sz w:val="20"/>
                <w:szCs w:val="20"/>
              </w:rPr>
              <w:t>0%</w:t>
            </w:r>
          </w:p>
        </w:tc>
        <w:tc>
          <w:tcPr>
            <w:tcW w:w="709" w:type="dxa"/>
            <w:shd w:val="clear" w:color="auto" w:fill="D9D9D9" w:themeFill="background1" w:themeFillShade="D9"/>
            <w:hideMark/>
          </w:tcPr>
          <w:p w14:paraId="6DE827F3" w14:textId="77777777" w:rsidR="00CE14CC" w:rsidRPr="009575DB" w:rsidRDefault="00CE14CC" w:rsidP="00C54EE3">
            <w:pPr>
              <w:pStyle w:val="NormalWeb"/>
              <w:jc w:val="center"/>
              <w:rPr>
                <w:sz w:val="20"/>
                <w:szCs w:val="20"/>
              </w:rPr>
            </w:pPr>
            <w:r w:rsidRPr="009575DB">
              <w:rPr>
                <w:sz w:val="20"/>
                <w:szCs w:val="20"/>
              </w:rPr>
              <w:t>2</w:t>
            </w:r>
          </w:p>
        </w:tc>
        <w:tc>
          <w:tcPr>
            <w:tcW w:w="1134" w:type="dxa"/>
            <w:shd w:val="clear" w:color="auto" w:fill="D9D9D9" w:themeFill="background1" w:themeFillShade="D9"/>
            <w:hideMark/>
          </w:tcPr>
          <w:p w14:paraId="7E517555" w14:textId="77777777" w:rsidR="00CE14CC" w:rsidRPr="009575DB" w:rsidRDefault="00CE14CC" w:rsidP="00C54EE3">
            <w:pPr>
              <w:pStyle w:val="NormalWeb"/>
              <w:jc w:val="center"/>
              <w:rPr>
                <w:sz w:val="20"/>
                <w:szCs w:val="20"/>
              </w:rPr>
            </w:pPr>
            <w:r w:rsidRPr="009575DB">
              <w:rPr>
                <w:sz w:val="20"/>
                <w:szCs w:val="20"/>
              </w:rPr>
              <w:t>0%</w:t>
            </w:r>
          </w:p>
        </w:tc>
        <w:tc>
          <w:tcPr>
            <w:tcW w:w="850" w:type="dxa"/>
            <w:shd w:val="clear" w:color="auto" w:fill="D9D9D9" w:themeFill="background1" w:themeFillShade="D9"/>
            <w:hideMark/>
          </w:tcPr>
          <w:p w14:paraId="160F38FD" w14:textId="77777777" w:rsidR="00CE14CC" w:rsidRPr="009575DB" w:rsidRDefault="00CE14CC" w:rsidP="00C54EE3">
            <w:pPr>
              <w:pStyle w:val="NormalWeb"/>
              <w:jc w:val="center"/>
              <w:rPr>
                <w:sz w:val="20"/>
                <w:szCs w:val="20"/>
              </w:rPr>
            </w:pPr>
            <w:r w:rsidRPr="009575DB">
              <w:rPr>
                <w:sz w:val="20"/>
                <w:szCs w:val="20"/>
              </w:rPr>
              <w:t>0</w:t>
            </w:r>
          </w:p>
        </w:tc>
        <w:tc>
          <w:tcPr>
            <w:tcW w:w="1560" w:type="dxa"/>
            <w:shd w:val="clear" w:color="auto" w:fill="D9D9D9" w:themeFill="background1" w:themeFillShade="D9"/>
            <w:hideMark/>
          </w:tcPr>
          <w:p w14:paraId="610A062B" w14:textId="77777777" w:rsidR="00CE14CC" w:rsidRPr="009575DB" w:rsidRDefault="00CE14CC" w:rsidP="00C54EE3">
            <w:pPr>
              <w:pStyle w:val="NormalWeb"/>
              <w:jc w:val="center"/>
              <w:rPr>
                <w:sz w:val="20"/>
                <w:szCs w:val="20"/>
              </w:rPr>
            </w:pPr>
            <w:r w:rsidRPr="009575DB">
              <w:rPr>
                <w:sz w:val="20"/>
                <w:szCs w:val="20"/>
              </w:rPr>
              <w:t>0%</w:t>
            </w:r>
          </w:p>
        </w:tc>
        <w:tc>
          <w:tcPr>
            <w:tcW w:w="992" w:type="dxa"/>
            <w:shd w:val="clear" w:color="auto" w:fill="D9D9D9" w:themeFill="background1" w:themeFillShade="D9"/>
            <w:hideMark/>
          </w:tcPr>
          <w:p w14:paraId="589B8BAB" w14:textId="77777777" w:rsidR="00CE14CC" w:rsidRPr="009575DB" w:rsidRDefault="00CE14CC" w:rsidP="00C54EE3">
            <w:pPr>
              <w:pStyle w:val="NormalWeb"/>
              <w:jc w:val="center"/>
              <w:rPr>
                <w:sz w:val="20"/>
                <w:szCs w:val="20"/>
              </w:rPr>
            </w:pPr>
            <w:r w:rsidRPr="009575DB">
              <w:rPr>
                <w:sz w:val="20"/>
                <w:szCs w:val="20"/>
              </w:rPr>
              <w:t>3</w:t>
            </w:r>
          </w:p>
        </w:tc>
        <w:tc>
          <w:tcPr>
            <w:tcW w:w="1092" w:type="dxa"/>
            <w:shd w:val="clear" w:color="auto" w:fill="D9D9D9" w:themeFill="background1" w:themeFillShade="D9"/>
            <w:hideMark/>
          </w:tcPr>
          <w:p w14:paraId="6249F61C" w14:textId="77777777" w:rsidR="00CE14CC" w:rsidRPr="009575DB" w:rsidRDefault="00CE14CC" w:rsidP="00C54EE3">
            <w:pPr>
              <w:pStyle w:val="NormalWeb"/>
              <w:jc w:val="center"/>
              <w:rPr>
                <w:sz w:val="20"/>
                <w:szCs w:val="20"/>
              </w:rPr>
            </w:pPr>
            <w:r w:rsidRPr="009575DB">
              <w:rPr>
                <w:sz w:val="20"/>
                <w:szCs w:val="20"/>
                <w:lang w:val="en-US"/>
              </w:rPr>
              <w:t>0.1%</w:t>
            </w:r>
          </w:p>
        </w:tc>
      </w:tr>
      <w:tr w:rsidR="00614426" w:rsidRPr="009575DB" w14:paraId="53DFC3D9" w14:textId="77777777" w:rsidTr="00911212">
        <w:tc>
          <w:tcPr>
            <w:tcW w:w="2268" w:type="dxa"/>
            <w:shd w:val="clear" w:color="auto" w:fill="FDE9D9" w:themeFill="accent6" w:themeFillTint="33"/>
            <w:hideMark/>
          </w:tcPr>
          <w:p w14:paraId="4DCCEC2D" w14:textId="77777777" w:rsidR="00CE14CC" w:rsidRPr="009575DB" w:rsidRDefault="00CE14CC">
            <w:pPr>
              <w:pStyle w:val="NormalWeb"/>
              <w:rPr>
                <w:b/>
                <w:sz w:val="20"/>
                <w:szCs w:val="20"/>
              </w:rPr>
            </w:pPr>
            <w:r w:rsidRPr="009575DB">
              <w:rPr>
                <w:b/>
                <w:sz w:val="20"/>
                <w:szCs w:val="20"/>
              </w:rPr>
              <w:t>Total reactions</w:t>
            </w:r>
          </w:p>
        </w:tc>
        <w:tc>
          <w:tcPr>
            <w:tcW w:w="709" w:type="dxa"/>
            <w:shd w:val="clear" w:color="auto" w:fill="FDE9D9" w:themeFill="accent6" w:themeFillTint="33"/>
            <w:hideMark/>
          </w:tcPr>
          <w:p w14:paraId="498D60B3" w14:textId="77777777" w:rsidR="00CE14CC" w:rsidRPr="009575DB" w:rsidRDefault="00CE14CC" w:rsidP="00C54EE3">
            <w:pPr>
              <w:pStyle w:val="NormalWeb"/>
              <w:jc w:val="center"/>
              <w:rPr>
                <w:b/>
                <w:sz w:val="20"/>
                <w:szCs w:val="20"/>
              </w:rPr>
            </w:pPr>
            <w:r w:rsidRPr="009575DB">
              <w:rPr>
                <w:b/>
                <w:sz w:val="20"/>
                <w:szCs w:val="20"/>
                <w:lang w:val="en-US"/>
              </w:rPr>
              <w:t>47</w:t>
            </w:r>
            <w:r w:rsidRPr="009575DB">
              <w:rPr>
                <w:b/>
                <w:sz w:val="20"/>
                <w:szCs w:val="20"/>
              </w:rPr>
              <w:t>2</w:t>
            </w:r>
          </w:p>
        </w:tc>
        <w:tc>
          <w:tcPr>
            <w:tcW w:w="1134" w:type="dxa"/>
            <w:shd w:val="clear" w:color="auto" w:fill="FDE9D9" w:themeFill="accent6" w:themeFillTint="33"/>
            <w:hideMark/>
          </w:tcPr>
          <w:p w14:paraId="4FC39183" w14:textId="77777777" w:rsidR="00CE14CC" w:rsidRPr="009575DB" w:rsidRDefault="00CE14CC" w:rsidP="00C54EE3">
            <w:pPr>
              <w:jc w:val="center"/>
              <w:rPr>
                <w:b/>
                <w:sz w:val="20"/>
                <w:szCs w:val="20"/>
              </w:rPr>
            </w:pPr>
          </w:p>
        </w:tc>
        <w:tc>
          <w:tcPr>
            <w:tcW w:w="709" w:type="dxa"/>
            <w:shd w:val="clear" w:color="auto" w:fill="FDE9D9" w:themeFill="accent6" w:themeFillTint="33"/>
            <w:hideMark/>
          </w:tcPr>
          <w:p w14:paraId="1CB22A4E" w14:textId="77777777" w:rsidR="00CE14CC" w:rsidRPr="009575DB" w:rsidRDefault="00CE14CC" w:rsidP="00C54EE3">
            <w:pPr>
              <w:pStyle w:val="NormalWeb"/>
              <w:jc w:val="center"/>
              <w:rPr>
                <w:b/>
                <w:sz w:val="20"/>
                <w:szCs w:val="20"/>
              </w:rPr>
            </w:pPr>
            <w:r w:rsidRPr="009575DB">
              <w:rPr>
                <w:b/>
                <w:sz w:val="20"/>
                <w:szCs w:val="20"/>
                <w:lang w:val="en-US"/>
              </w:rPr>
              <w:t>83</w:t>
            </w:r>
            <w:r w:rsidRPr="009575DB">
              <w:rPr>
                <w:b/>
                <w:sz w:val="20"/>
                <w:szCs w:val="20"/>
              </w:rPr>
              <w:t>7</w:t>
            </w:r>
          </w:p>
        </w:tc>
        <w:tc>
          <w:tcPr>
            <w:tcW w:w="1134" w:type="dxa"/>
            <w:shd w:val="clear" w:color="auto" w:fill="FDE9D9" w:themeFill="accent6" w:themeFillTint="33"/>
            <w:hideMark/>
          </w:tcPr>
          <w:p w14:paraId="7A0DB265" w14:textId="77777777" w:rsidR="00CE14CC" w:rsidRPr="009575DB" w:rsidRDefault="00CE14CC" w:rsidP="00C54EE3">
            <w:pPr>
              <w:jc w:val="center"/>
              <w:rPr>
                <w:b/>
                <w:sz w:val="20"/>
                <w:szCs w:val="20"/>
              </w:rPr>
            </w:pPr>
          </w:p>
        </w:tc>
        <w:tc>
          <w:tcPr>
            <w:tcW w:w="1276" w:type="dxa"/>
            <w:shd w:val="clear" w:color="auto" w:fill="FDE9D9" w:themeFill="accent6" w:themeFillTint="33"/>
            <w:hideMark/>
          </w:tcPr>
          <w:p w14:paraId="7A81D881" w14:textId="77777777" w:rsidR="00CE14CC" w:rsidRPr="009575DB" w:rsidRDefault="00CE14CC" w:rsidP="00C54EE3">
            <w:pPr>
              <w:pStyle w:val="NormalWeb"/>
              <w:jc w:val="center"/>
              <w:rPr>
                <w:b/>
                <w:sz w:val="20"/>
                <w:szCs w:val="20"/>
              </w:rPr>
            </w:pPr>
            <w:r w:rsidRPr="009575DB">
              <w:rPr>
                <w:b/>
                <w:sz w:val="20"/>
                <w:szCs w:val="20"/>
                <w:lang w:val="en-US"/>
              </w:rPr>
              <w:t>39</w:t>
            </w:r>
            <w:r w:rsidRPr="009575DB">
              <w:rPr>
                <w:b/>
                <w:sz w:val="20"/>
                <w:szCs w:val="20"/>
              </w:rPr>
              <w:t>9</w:t>
            </w:r>
          </w:p>
        </w:tc>
        <w:tc>
          <w:tcPr>
            <w:tcW w:w="1417" w:type="dxa"/>
            <w:shd w:val="clear" w:color="auto" w:fill="FDE9D9" w:themeFill="accent6" w:themeFillTint="33"/>
            <w:hideMark/>
          </w:tcPr>
          <w:p w14:paraId="625BCAF7" w14:textId="77777777" w:rsidR="00CE14CC" w:rsidRPr="009575DB" w:rsidRDefault="00CE14CC" w:rsidP="00C54EE3">
            <w:pPr>
              <w:jc w:val="center"/>
              <w:rPr>
                <w:b/>
                <w:sz w:val="20"/>
                <w:szCs w:val="20"/>
              </w:rPr>
            </w:pPr>
          </w:p>
        </w:tc>
        <w:tc>
          <w:tcPr>
            <w:tcW w:w="709" w:type="dxa"/>
            <w:shd w:val="clear" w:color="auto" w:fill="FDE9D9" w:themeFill="accent6" w:themeFillTint="33"/>
            <w:hideMark/>
          </w:tcPr>
          <w:p w14:paraId="76865A8A" w14:textId="77777777" w:rsidR="00CE14CC" w:rsidRPr="009575DB" w:rsidRDefault="00CE14CC" w:rsidP="00C54EE3">
            <w:pPr>
              <w:pStyle w:val="NormalWeb"/>
              <w:jc w:val="center"/>
              <w:rPr>
                <w:b/>
                <w:sz w:val="20"/>
                <w:szCs w:val="20"/>
              </w:rPr>
            </w:pPr>
            <w:r w:rsidRPr="009575DB">
              <w:rPr>
                <w:b/>
                <w:sz w:val="20"/>
                <w:szCs w:val="20"/>
                <w:lang w:val="en-US"/>
              </w:rPr>
              <w:t>44</w:t>
            </w:r>
            <w:r w:rsidRPr="009575DB">
              <w:rPr>
                <w:b/>
                <w:sz w:val="20"/>
                <w:szCs w:val="20"/>
              </w:rPr>
              <w:t>5</w:t>
            </w:r>
          </w:p>
        </w:tc>
        <w:tc>
          <w:tcPr>
            <w:tcW w:w="1134" w:type="dxa"/>
            <w:shd w:val="clear" w:color="auto" w:fill="FDE9D9" w:themeFill="accent6" w:themeFillTint="33"/>
            <w:hideMark/>
          </w:tcPr>
          <w:p w14:paraId="1B4C6728" w14:textId="77777777" w:rsidR="00CE14CC" w:rsidRPr="009575DB" w:rsidRDefault="00CE14CC" w:rsidP="00C54EE3">
            <w:pPr>
              <w:jc w:val="center"/>
              <w:rPr>
                <w:b/>
                <w:sz w:val="20"/>
                <w:szCs w:val="20"/>
              </w:rPr>
            </w:pPr>
          </w:p>
        </w:tc>
        <w:tc>
          <w:tcPr>
            <w:tcW w:w="850" w:type="dxa"/>
            <w:shd w:val="clear" w:color="auto" w:fill="FDE9D9" w:themeFill="accent6" w:themeFillTint="33"/>
            <w:hideMark/>
          </w:tcPr>
          <w:p w14:paraId="5D1E294B" w14:textId="77777777" w:rsidR="00CE14CC" w:rsidRPr="009575DB" w:rsidRDefault="00CE14CC" w:rsidP="00C54EE3">
            <w:pPr>
              <w:pStyle w:val="NormalWeb"/>
              <w:jc w:val="center"/>
              <w:rPr>
                <w:b/>
                <w:sz w:val="20"/>
                <w:szCs w:val="20"/>
              </w:rPr>
            </w:pPr>
            <w:r w:rsidRPr="009575DB">
              <w:rPr>
                <w:b/>
                <w:sz w:val="20"/>
                <w:szCs w:val="20"/>
                <w:lang w:val="en-US"/>
              </w:rPr>
              <w:t>27</w:t>
            </w:r>
            <w:r w:rsidRPr="009575DB">
              <w:rPr>
                <w:b/>
                <w:sz w:val="20"/>
                <w:szCs w:val="20"/>
              </w:rPr>
              <w:t>0</w:t>
            </w:r>
          </w:p>
        </w:tc>
        <w:tc>
          <w:tcPr>
            <w:tcW w:w="1560" w:type="dxa"/>
            <w:shd w:val="clear" w:color="auto" w:fill="FDE9D9" w:themeFill="accent6" w:themeFillTint="33"/>
            <w:hideMark/>
          </w:tcPr>
          <w:p w14:paraId="69231230" w14:textId="77777777" w:rsidR="00CE14CC" w:rsidRPr="009575DB" w:rsidRDefault="00CE14CC" w:rsidP="00C54EE3">
            <w:pPr>
              <w:jc w:val="center"/>
              <w:rPr>
                <w:b/>
                <w:sz w:val="20"/>
                <w:szCs w:val="20"/>
              </w:rPr>
            </w:pPr>
          </w:p>
        </w:tc>
        <w:tc>
          <w:tcPr>
            <w:tcW w:w="992" w:type="dxa"/>
            <w:shd w:val="clear" w:color="auto" w:fill="FDE9D9" w:themeFill="accent6" w:themeFillTint="33"/>
            <w:hideMark/>
          </w:tcPr>
          <w:p w14:paraId="017DA384" w14:textId="77777777" w:rsidR="00CE14CC" w:rsidRPr="009575DB" w:rsidRDefault="00CE14CC" w:rsidP="00C54EE3">
            <w:pPr>
              <w:pStyle w:val="NormalWeb"/>
              <w:jc w:val="center"/>
              <w:rPr>
                <w:b/>
                <w:sz w:val="20"/>
                <w:szCs w:val="20"/>
              </w:rPr>
            </w:pPr>
            <w:r w:rsidRPr="009575DB">
              <w:rPr>
                <w:b/>
                <w:sz w:val="20"/>
                <w:szCs w:val="20"/>
              </w:rPr>
              <w:t>2,423</w:t>
            </w:r>
          </w:p>
        </w:tc>
        <w:tc>
          <w:tcPr>
            <w:tcW w:w="1092" w:type="dxa"/>
            <w:shd w:val="clear" w:color="auto" w:fill="FDE9D9" w:themeFill="accent6" w:themeFillTint="33"/>
            <w:hideMark/>
          </w:tcPr>
          <w:p w14:paraId="4BF6BDE4" w14:textId="77777777" w:rsidR="00CE14CC" w:rsidRPr="009575DB" w:rsidRDefault="00CE14CC" w:rsidP="00C54EE3">
            <w:pPr>
              <w:jc w:val="center"/>
              <w:rPr>
                <w:b/>
                <w:sz w:val="20"/>
                <w:szCs w:val="20"/>
              </w:rPr>
            </w:pPr>
          </w:p>
        </w:tc>
      </w:tr>
      <w:tr w:rsidR="00614426" w:rsidRPr="009575DB" w14:paraId="636D4468" w14:textId="77777777" w:rsidTr="00BF16F4">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FFFFF" w:themeFill="background1"/>
            <w:hideMark/>
          </w:tcPr>
          <w:p w14:paraId="4A692FFA" w14:textId="77777777" w:rsidR="00CE14CC" w:rsidRPr="009575DB" w:rsidRDefault="00CE14CC">
            <w:pPr>
              <w:pStyle w:val="NormalWeb"/>
              <w:rPr>
                <w:b/>
                <w:sz w:val="20"/>
                <w:szCs w:val="20"/>
              </w:rPr>
            </w:pPr>
            <w:r w:rsidRPr="009575DB">
              <w:rPr>
                <w:b/>
                <w:sz w:val="20"/>
                <w:szCs w:val="20"/>
              </w:rPr>
              <w:t>% of all reactions</w:t>
            </w:r>
          </w:p>
        </w:tc>
        <w:tc>
          <w:tcPr>
            <w:tcW w:w="709" w:type="dxa"/>
            <w:hideMark/>
          </w:tcPr>
          <w:p w14:paraId="406262FC" w14:textId="77777777" w:rsidR="00CE14CC" w:rsidRPr="009575DB" w:rsidRDefault="00CE14CC" w:rsidP="00C54EE3">
            <w:pPr>
              <w:pStyle w:val="NormalWeb"/>
              <w:jc w:val="center"/>
              <w:rPr>
                <w:b/>
                <w:sz w:val="20"/>
                <w:szCs w:val="20"/>
              </w:rPr>
            </w:pPr>
            <w:r w:rsidRPr="009575DB">
              <w:rPr>
                <w:b/>
                <w:sz w:val="20"/>
                <w:szCs w:val="20"/>
                <w:lang w:val="en-US"/>
              </w:rPr>
              <w:t>19.5%</w:t>
            </w:r>
          </w:p>
        </w:tc>
        <w:tc>
          <w:tcPr>
            <w:tcW w:w="1134" w:type="dxa"/>
            <w:hideMark/>
          </w:tcPr>
          <w:p w14:paraId="197C3D3C" w14:textId="77777777" w:rsidR="00CE14CC" w:rsidRPr="009575DB" w:rsidRDefault="00CE14CC" w:rsidP="00C54EE3">
            <w:pPr>
              <w:jc w:val="center"/>
              <w:rPr>
                <w:b/>
                <w:sz w:val="20"/>
                <w:szCs w:val="20"/>
              </w:rPr>
            </w:pPr>
          </w:p>
        </w:tc>
        <w:tc>
          <w:tcPr>
            <w:tcW w:w="709" w:type="dxa"/>
            <w:shd w:val="clear" w:color="auto" w:fill="FFFFFF" w:themeFill="background1"/>
            <w:hideMark/>
          </w:tcPr>
          <w:p w14:paraId="4E45D88C" w14:textId="77777777" w:rsidR="00CE14CC" w:rsidRPr="009575DB" w:rsidRDefault="00CE14CC" w:rsidP="00C54EE3">
            <w:pPr>
              <w:pStyle w:val="NormalWeb"/>
              <w:jc w:val="center"/>
              <w:rPr>
                <w:b/>
                <w:sz w:val="20"/>
                <w:szCs w:val="20"/>
              </w:rPr>
            </w:pPr>
            <w:r w:rsidRPr="009575DB">
              <w:rPr>
                <w:b/>
                <w:sz w:val="20"/>
                <w:szCs w:val="20"/>
              </w:rPr>
              <w:t>34.5%</w:t>
            </w:r>
          </w:p>
        </w:tc>
        <w:tc>
          <w:tcPr>
            <w:tcW w:w="1134" w:type="dxa"/>
            <w:shd w:val="clear" w:color="auto" w:fill="FFFFFF" w:themeFill="background1"/>
            <w:hideMark/>
          </w:tcPr>
          <w:p w14:paraId="68916413" w14:textId="77777777" w:rsidR="00CE14CC" w:rsidRPr="009575DB" w:rsidRDefault="00CE14CC" w:rsidP="00C54EE3">
            <w:pPr>
              <w:jc w:val="center"/>
              <w:rPr>
                <w:b/>
                <w:sz w:val="20"/>
                <w:szCs w:val="20"/>
              </w:rPr>
            </w:pPr>
          </w:p>
        </w:tc>
        <w:tc>
          <w:tcPr>
            <w:tcW w:w="1276" w:type="dxa"/>
            <w:hideMark/>
          </w:tcPr>
          <w:p w14:paraId="2CB9185A" w14:textId="77777777" w:rsidR="00CE14CC" w:rsidRPr="009575DB" w:rsidRDefault="00CE14CC" w:rsidP="00C54EE3">
            <w:pPr>
              <w:pStyle w:val="NormalWeb"/>
              <w:jc w:val="center"/>
              <w:rPr>
                <w:b/>
                <w:sz w:val="20"/>
                <w:szCs w:val="20"/>
              </w:rPr>
            </w:pPr>
            <w:r w:rsidRPr="009575DB">
              <w:rPr>
                <w:b/>
                <w:sz w:val="20"/>
                <w:szCs w:val="20"/>
              </w:rPr>
              <w:t>16.5%</w:t>
            </w:r>
          </w:p>
        </w:tc>
        <w:tc>
          <w:tcPr>
            <w:tcW w:w="1417" w:type="dxa"/>
            <w:hideMark/>
          </w:tcPr>
          <w:p w14:paraId="53E7FA4E" w14:textId="77777777" w:rsidR="00CE14CC" w:rsidRPr="009575DB" w:rsidRDefault="00CE14CC" w:rsidP="00C54EE3">
            <w:pPr>
              <w:jc w:val="center"/>
              <w:rPr>
                <w:b/>
                <w:sz w:val="20"/>
                <w:szCs w:val="20"/>
              </w:rPr>
            </w:pPr>
          </w:p>
        </w:tc>
        <w:tc>
          <w:tcPr>
            <w:tcW w:w="709" w:type="dxa"/>
            <w:shd w:val="clear" w:color="auto" w:fill="FFFFFF" w:themeFill="background1"/>
            <w:hideMark/>
          </w:tcPr>
          <w:p w14:paraId="057A525D" w14:textId="77777777" w:rsidR="00CE14CC" w:rsidRPr="009575DB" w:rsidRDefault="00CE14CC" w:rsidP="00C54EE3">
            <w:pPr>
              <w:pStyle w:val="NormalWeb"/>
              <w:jc w:val="center"/>
              <w:rPr>
                <w:b/>
                <w:sz w:val="20"/>
                <w:szCs w:val="20"/>
              </w:rPr>
            </w:pPr>
            <w:r w:rsidRPr="009575DB">
              <w:rPr>
                <w:b/>
                <w:sz w:val="20"/>
                <w:szCs w:val="20"/>
              </w:rPr>
              <w:t>18.4%</w:t>
            </w:r>
          </w:p>
        </w:tc>
        <w:tc>
          <w:tcPr>
            <w:tcW w:w="1134" w:type="dxa"/>
            <w:shd w:val="clear" w:color="auto" w:fill="FFFFFF" w:themeFill="background1"/>
            <w:hideMark/>
          </w:tcPr>
          <w:p w14:paraId="40B66CF6" w14:textId="77777777" w:rsidR="00CE14CC" w:rsidRPr="009575DB" w:rsidRDefault="00CE14CC" w:rsidP="00C54EE3">
            <w:pPr>
              <w:jc w:val="center"/>
              <w:rPr>
                <w:b/>
                <w:sz w:val="20"/>
                <w:szCs w:val="20"/>
              </w:rPr>
            </w:pPr>
          </w:p>
        </w:tc>
        <w:tc>
          <w:tcPr>
            <w:tcW w:w="850" w:type="dxa"/>
            <w:shd w:val="clear" w:color="auto" w:fill="FFFFFF" w:themeFill="background1"/>
            <w:hideMark/>
          </w:tcPr>
          <w:p w14:paraId="317EF588" w14:textId="77777777" w:rsidR="00CE14CC" w:rsidRPr="009575DB" w:rsidRDefault="00CE14CC" w:rsidP="00C54EE3">
            <w:pPr>
              <w:pStyle w:val="NormalWeb"/>
              <w:jc w:val="center"/>
              <w:rPr>
                <w:b/>
                <w:sz w:val="20"/>
                <w:szCs w:val="20"/>
              </w:rPr>
            </w:pPr>
            <w:r w:rsidRPr="009575DB">
              <w:rPr>
                <w:b/>
                <w:sz w:val="20"/>
                <w:szCs w:val="20"/>
              </w:rPr>
              <w:t>11.1%</w:t>
            </w:r>
          </w:p>
        </w:tc>
        <w:tc>
          <w:tcPr>
            <w:tcW w:w="1560" w:type="dxa"/>
            <w:hideMark/>
          </w:tcPr>
          <w:p w14:paraId="6E9E25EA" w14:textId="77777777" w:rsidR="00CE14CC" w:rsidRPr="009575DB" w:rsidRDefault="00CE14CC" w:rsidP="00C54EE3">
            <w:pPr>
              <w:jc w:val="center"/>
              <w:rPr>
                <w:b/>
                <w:sz w:val="20"/>
                <w:szCs w:val="20"/>
              </w:rPr>
            </w:pPr>
          </w:p>
        </w:tc>
        <w:tc>
          <w:tcPr>
            <w:tcW w:w="992" w:type="dxa"/>
            <w:hideMark/>
          </w:tcPr>
          <w:p w14:paraId="44217519" w14:textId="77777777" w:rsidR="00CE14CC" w:rsidRPr="009575DB" w:rsidRDefault="00CE14CC" w:rsidP="00C54EE3">
            <w:pPr>
              <w:jc w:val="center"/>
              <w:rPr>
                <w:rFonts w:eastAsia="Times New Roman"/>
                <w:b/>
                <w:sz w:val="20"/>
                <w:szCs w:val="20"/>
              </w:rPr>
            </w:pPr>
          </w:p>
        </w:tc>
        <w:tc>
          <w:tcPr>
            <w:tcW w:w="1092" w:type="dxa"/>
            <w:shd w:val="clear" w:color="auto" w:fill="FFFFFF" w:themeFill="background1"/>
            <w:hideMark/>
          </w:tcPr>
          <w:p w14:paraId="529619EC" w14:textId="77777777" w:rsidR="00CE14CC" w:rsidRPr="009575DB" w:rsidRDefault="00CE14CC" w:rsidP="00C54EE3">
            <w:pPr>
              <w:jc w:val="center"/>
              <w:rPr>
                <w:rFonts w:eastAsia="Times New Roman"/>
                <w:b/>
                <w:sz w:val="20"/>
                <w:szCs w:val="20"/>
              </w:rPr>
            </w:pPr>
          </w:p>
        </w:tc>
      </w:tr>
    </w:tbl>
    <w:p w14:paraId="71E6232B" w14:textId="77777777" w:rsidR="00CE14CC" w:rsidRPr="0000581E" w:rsidRDefault="00CE14CC" w:rsidP="0000581E">
      <w:pPr>
        <w:pStyle w:val="CDIfootnotes"/>
      </w:pPr>
      <w:proofErr w:type="spellStart"/>
      <w:r w:rsidRPr="0000581E">
        <w:t>a</w:t>
      </w:r>
      <w:proofErr w:type="spellEnd"/>
      <w:r w:rsidRPr="0000581E">
        <w:tab/>
      </w:r>
      <w:proofErr w:type="gramStart"/>
      <w:r w:rsidRPr="0000581E">
        <w:t>The</w:t>
      </w:r>
      <w:proofErr w:type="gramEnd"/>
      <w:r w:rsidRPr="0000581E">
        <w:t xml:space="preserve"> above table presents counts and percentages of reactions reported: a person may report more than one reaction.</w:t>
      </w:r>
    </w:p>
    <w:p w14:paraId="24E01D36" w14:textId="77777777" w:rsidR="00CE14CC" w:rsidRPr="0000581E" w:rsidRDefault="00CE14CC" w:rsidP="0000581E">
      <w:pPr>
        <w:pStyle w:val="CDIfootnotes"/>
      </w:pPr>
      <w:r w:rsidRPr="0000581E">
        <w:t>b</w:t>
      </w:r>
      <w:r w:rsidRPr="0000581E">
        <w:tab/>
        <w:t>Highlighted values indicate reactions with higher reporting in a particular age-group variation.</w:t>
      </w:r>
    </w:p>
    <w:p w14:paraId="44CD6C5F" w14:textId="77777777" w:rsidR="00CE14CC" w:rsidRPr="0000581E" w:rsidRDefault="00CE14CC" w:rsidP="0000581E">
      <w:pPr>
        <w:pStyle w:val="CDIfootnotes"/>
      </w:pPr>
      <w:r w:rsidRPr="0000581E">
        <w:t>c</w:t>
      </w:r>
      <w:r w:rsidRPr="0000581E">
        <w:tab/>
        <w:t>Hypotonic-hyporesponsive episode; definition is restricted to children aged &lt; 2years.</w:t>
      </w:r>
    </w:p>
    <w:p w14:paraId="17C3447E" w14:textId="77777777" w:rsidR="009A63FD" w:rsidRDefault="009A63FD" w:rsidP="00217368">
      <w:pPr>
        <w:sectPr w:rsidR="009A63FD" w:rsidSect="009A63FD">
          <w:footnotePr>
            <w:numFmt w:val="lowerRoman"/>
          </w:footnotePr>
          <w:pgSz w:w="16838" w:h="11906" w:orient="landscape"/>
          <w:pgMar w:top="720" w:right="720" w:bottom="720" w:left="1134" w:header="709" w:footer="284" w:gutter="0"/>
          <w:cols w:space="708"/>
          <w:titlePg/>
          <w:docGrid w:linePitch="360"/>
        </w:sectPr>
      </w:pPr>
    </w:p>
    <w:p w14:paraId="3927504B" w14:textId="77777777" w:rsidR="00CE14CC" w:rsidRDefault="00CE14CC" w:rsidP="00217368">
      <w:r>
        <w:lastRenderedPageBreak/>
        <w:t xml:space="preserve">There were some notable variations in the age-group proportional reporting with higher proportions seen for injection site reaction (severe) in young children (15%); vasovagal episodes in school-aged children (11%) and fever (unspecified) in older people (7%). Two reactions were reported in much higher frequency within specific age groups; hypotonic-hyporesponsive episode (HHE) was reported exclusively in infants, which is a specification of the case definition of HHE being diagnosable in those &lt; 2 years; 86% of fever &gt; 40 °C occurred in young children; and vasovagal episode (syncope or faint) in school-aged children accounting for 69% of vasovagal reports. </w:t>
      </w:r>
    </w:p>
    <w:p w14:paraId="344021C4" w14:textId="77777777" w:rsidR="00CE14CC" w:rsidRPr="005875F1" w:rsidRDefault="00CE14CC" w:rsidP="005875F1">
      <w:pPr>
        <w:pStyle w:val="Heading2"/>
      </w:pPr>
      <w:r w:rsidRPr="005875F1">
        <w:t xml:space="preserve">Drug / immunisation errors </w:t>
      </w:r>
    </w:p>
    <w:p w14:paraId="1B5C31D9" w14:textId="77777777" w:rsidR="00CE14CC" w:rsidRDefault="00CE14CC" w:rsidP="00217368">
      <w:r>
        <w:t xml:space="preserve">SAEFVIC received 210 reports of immunisation errors, involving administration of 241 vaccines (more than one vaccine was administered with an error at some encounters). The highest number of reports were for young children (n = 80). As a proportion of all SAEFVIC reports received for a given age group, drug errors were most commonly reported in older persons (27/174; 15.5%). </w:t>
      </w:r>
    </w:p>
    <w:p w14:paraId="3AF11CE9" w14:textId="77777777" w:rsidR="00CE14CC" w:rsidRDefault="00CE14CC" w:rsidP="00217368">
      <w:r>
        <w:t>The most frequently-implicated vaccines with immunisation error reports were the seasonal influenza brands which, when grouped together, accounted for 22.8% (55/241), predominantly for administration to a person outside of the vaccine-brand-registered prescribing age range. The next most frequently-implicated vaccine was live attenuated Zoster vaccine (Zostavax</w:t>
      </w:r>
      <w:r>
        <w:rPr>
          <w:vertAlign w:val="superscript"/>
        </w:rPr>
        <w:t>®</w:t>
      </w:r>
      <w:r>
        <w:t xml:space="preserve">) (10.0%; 24/241), for which the immunisation errors were predominantly associated with inadvertent administration of additional doses (19/24; 79.2%). There was one drug error (1/24; 4.2%) where Zoster vaccine was inadvertently administered to an immunocompromised patient (with no AEFI outcome noted); a marked improvement on 2017, when 9 such incidents were reported (9/39; 23.1%). </w:t>
      </w:r>
    </w:p>
    <w:p w14:paraId="4EEEF0A2" w14:textId="77777777" w:rsidR="00CE14CC" w:rsidRDefault="00CE14CC" w:rsidP="00217368">
      <w:r>
        <w:t>Repeated administration of routine vaccines was the most commonly-reported error, often accompanied by an explanation of the recipient having given unreliable information on their vaccination history; followed by vaccines administered outside of the prescribed age range (notably seasonal influenza vaccines, as above, and rotavirus vaccines) and the wrong vaccines being administered. There were 6 reports of Infanrix-</w:t>
      </w:r>
      <w:proofErr w:type="spellStart"/>
      <w:r>
        <w:t>hexa</w:t>
      </w:r>
      <w:proofErr w:type="spellEnd"/>
      <w:r>
        <w:t>® being administered as the pre-filled diluent only syringe, without being reconstituted with the Hib pellet. The ‘other’ category comprises a range of uniquely reported errors such as later discovering the recipient had been pregnant at the time of immunisation, spilling the vaccine, vomiting after administration of rotavirus vaccine and one report of immunisation in a school setting without correct consent forms. Immunisation errors are summarised in Table 4. (Note that cold chain breaches</w:t>
      </w:r>
      <w:r w:rsidR="00E345EF">
        <w:rPr>
          <w:rStyle w:val="FootnoteReference"/>
        </w:rPr>
        <w:footnoteReference w:id="3"/>
      </w:r>
      <w:r>
        <w:t xml:space="preserve"> are predominantly reported to the Department of Immunisation.)</w:t>
      </w:r>
    </w:p>
    <w:p w14:paraId="3F925676" w14:textId="77777777" w:rsidR="009750FA" w:rsidRDefault="009750FA" w:rsidP="009750FA">
      <w:pPr>
        <w:pStyle w:val="CDIFigures"/>
        <w:sectPr w:rsidR="009750FA" w:rsidSect="00A30C37">
          <w:footnotePr>
            <w:numFmt w:val="lowerRoman"/>
          </w:footnotePr>
          <w:pgSz w:w="11906" w:h="16838"/>
          <w:pgMar w:top="720" w:right="720" w:bottom="1134" w:left="720" w:header="709" w:footer="284" w:gutter="0"/>
          <w:cols w:space="708"/>
          <w:titlePg/>
          <w:docGrid w:linePitch="360"/>
        </w:sectPr>
      </w:pPr>
    </w:p>
    <w:p w14:paraId="6C0BBE03" w14:textId="77777777" w:rsidR="00CE14CC" w:rsidRPr="00A323E7" w:rsidRDefault="00CE14CC" w:rsidP="009750FA">
      <w:pPr>
        <w:pStyle w:val="CDIFigures"/>
      </w:pPr>
      <w:r w:rsidRPr="00A323E7">
        <w:lastRenderedPageBreak/>
        <w:t>Table 4: Summary of reported immunisation errors and implicated vaccines, SAEFVIC, 2018</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4 gives the number of reports received for different types of drug administration error. The most frequently reported are vaccines adninistered outside of the prescribed age range, incorrect vaccine administered or repeat doses administered. Seasonal influenza vaccines are the most commonly implicated vaccine in drug administration errors reported.&#10;"/>
      </w:tblPr>
      <w:tblGrid>
        <w:gridCol w:w="5103"/>
        <w:gridCol w:w="993"/>
        <w:gridCol w:w="4344"/>
      </w:tblGrid>
      <w:tr w:rsidR="007718F9" w:rsidRPr="007718F9" w14:paraId="17AF9873" w14:textId="77777777" w:rsidTr="00C041A8">
        <w:trPr>
          <w:cnfStyle w:val="100000000000" w:firstRow="1" w:lastRow="0" w:firstColumn="0" w:lastColumn="0" w:oddVBand="0" w:evenVBand="0" w:oddHBand="0" w:evenHBand="0" w:firstRowFirstColumn="0" w:firstRowLastColumn="0" w:lastRowFirstColumn="0" w:lastRowLastColumn="0"/>
          <w:tblHeader/>
        </w:trPr>
        <w:tc>
          <w:tcPr>
            <w:tcW w:w="5103" w:type="dxa"/>
            <w:hideMark/>
          </w:tcPr>
          <w:p w14:paraId="19856E6E" w14:textId="77777777" w:rsidR="00CE14CC" w:rsidRPr="007718F9" w:rsidRDefault="00CE14CC">
            <w:pPr>
              <w:pStyle w:val="NormalWeb"/>
              <w:rPr>
                <w:color w:val="FFFFFF" w:themeColor="background1"/>
              </w:rPr>
            </w:pPr>
            <w:r w:rsidRPr="007718F9">
              <w:rPr>
                <w:color w:val="FFFFFF" w:themeColor="background1"/>
              </w:rPr>
              <w:t>Immunisation error description</w:t>
            </w:r>
          </w:p>
        </w:tc>
        <w:tc>
          <w:tcPr>
            <w:tcW w:w="993" w:type="dxa"/>
            <w:hideMark/>
          </w:tcPr>
          <w:p w14:paraId="2EEA36D2" w14:textId="77777777" w:rsidR="00CE14CC" w:rsidRPr="007718F9" w:rsidRDefault="00CE14CC" w:rsidP="00151445">
            <w:pPr>
              <w:pStyle w:val="NormalWeb"/>
              <w:rPr>
                <w:color w:val="FFFFFF" w:themeColor="background1"/>
              </w:rPr>
            </w:pPr>
            <w:r w:rsidRPr="007718F9">
              <w:rPr>
                <w:color w:val="FFFFFF" w:themeColor="background1"/>
              </w:rPr>
              <w:t>Reports</w:t>
            </w:r>
          </w:p>
        </w:tc>
        <w:tc>
          <w:tcPr>
            <w:tcW w:w="4344" w:type="dxa"/>
            <w:hideMark/>
          </w:tcPr>
          <w:p w14:paraId="6A45ED5A" w14:textId="77777777" w:rsidR="00CE14CC" w:rsidRPr="007718F9" w:rsidRDefault="00CE14CC" w:rsidP="00151445">
            <w:pPr>
              <w:pStyle w:val="NormalWeb"/>
              <w:rPr>
                <w:color w:val="FFFFFF" w:themeColor="background1"/>
              </w:rPr>
            </w:pPr>
            <w:r w:rsidRPr="007718F9">
              <w:rPr>
                <w:color w:val="FFFFFF" w:themeColor="background1"/>
              </w:rPr>
              <w:t>Commonly implicated vaccines</w:t>
            </w:r>
          </w:p>
        </w:tc>
      </w:tr>
      <w:tr w:rsidR="00CE14CC" w14:paraId="3D19D405" w14:textId="77777777" w:rsidTr="009066F0">
        <w:tc>
          <w:tcPr>
            <w:tcW w:w="5103" w:type="dxa"/>
            <w:vAlign w:val="center"/>
            <w:hideMark/>
          </w:tcPr>
          <w:p w14:paraId="467825D4" w14:textId="77777777" w:rsidR="00CE14CC" w:rsidRDefault="00CE14CC" w:rsidP="009066F0">
            <w:pPr>
              <w:pStyle w:val="NormalWeb"/>
            </w:pPr>
            <w:r>
              <w:t>Vaccine administered outside of prescribed age range</w:t>
            </w:r>
          </w:p>
        </w:tc>
        <w:tc>
          <w:tcPr>
            <w:tcW w:w="993" w:type="dxa"/>
            <w:vAlign w:val="center"/>
            <w:hideMark/>
          </w:tcPr>
          <w:p w14:paraId="0A501CBF" w14:textId="77777777" w:rsidR="00CE14CC" w:rsidRDefault="00CE14CC" w:rsidP="009066F0">
            <w:pPr>
              <w:pStyle w:val="NormalWeb"/>
            </w:pPr>
            <w:r>
              <w:t>68</w:t>
            </w:r>
          </w:p>
        </w:tc>
        <w:tc>
          <w:tcPr>
            <w:tcW w:w="4344" w:type="dxa"/>
            <w:vAlign w:val="center"/>
            <w:hideMark/>
          </w:tcPr>
          <w:p w14:paraId="3E6B7FFD" w14:textId="77777777" w:rsidR="00CE14CC" w:rsidRDefault="00CE14CC" w:rsidP="009066F0">
            <w:pPr>
              <w:pStyle w:val="NormalWeb"/>
            </w:pPr>
            <w:r>
              <w:t>Seasonal influenza vaccines (75.0%, 51/68)</w:t>
            </w:r>
            <w:r w:rsidR="00F20469">
              <w:br/>
            </w:r>
            <w:r>
              <w:t>Rotavirus vaccines (17.6%, 12/68)</w:t>
            </w:r>
          </w:p>
        </w:tc>
      </w:tr>
      <w:tr w:rsidR="00CE14CC" w14:paraId="2D3E9F33" w14:textId="77777777" w:rsidTr="009066F0">
        <w:trPr>
          <w:cnfStyle w:val="000000010000" w:firstRow="0" w:lastRow="0" w:firstColumn="0" w:lastColumn="0" w:oddVBand="0" w:evenVBand="0" w:oddHBand="0" w:evenHBand="1" w:firstRowFirstColumn="0" w:firstRowLastColumn="0" w:lastRowFirstColumn="0" w:lastRowLastColumn="0"/>
        </w:trPr>
        <w:tc>
          <w:tcPr>
            <w:tcW w:w="5103" w:type="dxa"/>
            <w:vAlign w:val="center"/>
            <w:hideMark/>
          </w:tcPr>
          <w:p w14:paraId="22E785C1" w14:textId="77777777" w:rsidR="00CE14CC" w:rsidRDefault="00CE14CC" w:rsidP="009066F0">
            <w:pPr>
              <w:pStyle w:val="NormalWeb"/>
            </w:pPr>
            <w:r>
              <w:t>Incorrect vaccine administered</w:t>
            </w:r>
          </w:p>
        </w:tc>
        <w:tc>
          <w:tcPr>
            <w:tcW w:w="993" w:type="dxa"/>
            <w:vAlign w:val="center"/>
            <w:hideMark/>
          </w:tcPr>
          <w:p w14:paraId="270310F6" w14:textId="77777777" w:rsidR="00CE14CC" w:rsidRDefault="00CE14CC" w:rsidP="009066F0">
            <w:pPr>
              <w:pStyle w:val="NormalWeb"/>
            </w:pPr>
            <w:r>
              <w:t>63</w:t>
            </w:r>
          </w:p>
        </w:tc>
        <w:tc>
          <w:tcPr>
            <w:tcW w:w="4344" w:type="dxa"/>
            <w:vAlign w:val="center"/>
            <w:hideMark/>
          </w:tcPr>
          <w:p w14:paraId="3BAE6AA9" w14:textId="77777777" w:rsidR="00CE14CC" w:rsidRDefault="00CE14CC" w:rsidP="009066F0">
            <w:pPr>
              <w:pStyle w:val="NormalWeb"/>
            </w:pPr>
            <w:r>
              <w:t>12 and 18 month routine vaccines</w:t>
            </w:r>
          </w:p>
        </w:tc>
      </w:tr>
      <w:tr w:rsidR="00CE14CC" w14:paraId="640E79B7" w14:textId="77777777" w:rsidTr="009066F0">
        <w:tc>
          <w:tcPr>
            <w:tcW w:w="5103" w:type="dxa"/>
            <w:vAlign w:val="center"/>
            <w:hideMark/>
          </w:tcPr>
          <w:p w14:paraId="566E3E25" w14:textId="77777777" w:rsidR="00CE14CC" w:rsidRDefault="00CE14CC" w:rsidP="009066F0">
            <w:pPr>
              <w:pStyle w:val="NormalWeb"/>
            </w:pPr>
            <w:r>
              <w:t>Repeat dose/s administered</w:t>
            </w:r>
          </w:p>
        </w:tc>
        <w:tc>
          <w:tcPr>
            <w:tcW w:w="993" w:type="dxa"/>
            <w:vAlign w:val="center"/>
            <w:hideMark/>
          </w:tcPr>
          <w:p w14:paraId="5E52EA61" w14:textId="77777777" w:rsidR="00CE14CC" w:rsidRDefault="00CE14CC" w:rsidP="009066F0">
            <w:pPr>
              <w:pStyle w:val="NormalWeb"/>
            </w:pPr>
            <w:r>
              <w:t>66</w:t>
            </w:r>
          </w:p>
        </w:tc>
        <w:tc>
          <w:tcPr>
            <w:tcW w:w="4344" w:type="dxa"/>
            <w:vAlign w:val="center"/>
            <w:hideMark/>
          </w:tcPr>
          <w:p w14:paraId="2DF67C62" w14:textId="77777777" w:rsidR="00CE14CC" w:rsidRDefault="00CE14CC" w:rsidP="009066F0">
            <w:pPr>
              <w:pStyle w:val="NormalWeb"/>
            </w:pPr>
            <w:r>
              <w:t>Zoster vaccine (27.3%, 18/66)</w:t>
            </w:r>
          </w:p>
        </w:tc>
      </w:tr>
      <w:tr w:rsidR="00CE14CC" w14:paraId="18858093" w14:textId="77777777" w:rsidTr="009066F0">
        <w:trPr>
          <w:cnfStyle w:val="000000010000" w:firstRow="0" w:lastRow="0" w:firstColumn="0" w:lastColumn="0" w:oddVBand="0" w:evenVBand="0" w:oddHBand="0" w:evenHBand="1" w:firstRowFirstColumn="0" w:firstRowLastColumn="0" w:lastRowFirstColumn="0" w:lastRowLastColumn="0"/>
        </w:trPr>
        <w:tc>
          <w:tcPr>
            <w:tcW w:w="5103" w:type="dxa"/>
            <w:vAlign w:val="center"/>
            <w:hideMark/>
          </w:tcPr>
          <w:p w14:paraId="1A605193" w14:textId="77777777" w:rsidR="00CE14CC" w:rsidRDefault="00CE14CC" w:rsidP="009066F0">
            <w:pPr>
              <w:pStyle w:val="NormalWeb"/>
            </w:pPr>
            <w:r>
              <w:t>Expired vaccine</w:t>
            </w:r>
          </w:p>
        </w:tc>
        <w:tc>
          <w:tcPr>
            <w:tcW w:w="993" w:type="dxa"/>
            <w:vAlign w:val="center"/>
            <w:hideMark/>
          </w:tcPr>
          <w:p w14:paraId="7C26440C" w14:textId="77777777" w:rsidR="00CE14CC" w:rsidRDefault="00CE14CC" w:rsidP="009066F0">
            <w:pPr>
              <w:pStyle w:val="NormalWeb"/>
            </w:pPr>
            <w:r>
              <w:t>17</w:t>
            </w:r>
          </w:p>
        </w:tc>
        <w:tc>
          <w:tcPr>
            <w:tcW w:w="4344" w:type="dxa"/>
            <w:vAlign w:val="center"/>
            <w:hideMark/>
          </w:tcPr>
          <w:p w14:paraId="630D83C8" w14:textId="77777777" w:rsidR="00CE14CC" w:rsidRDefault="00CE14CC" w:rsidP="009066F0"/>
        </w:tc>
      </w:tr>
      <w:tr w:rsidR="00CE14CC" w14:paraId="2394A609" w14:textId="77777777" w:rsidTr="009066F0">
        <w:tc>
          <w:tcPr>
            <w:tcW w:w="5103" w:type="dxa"/>
            <w:vAlign w:val="center"/>
            <w:hideMark/>
          </w:tcPr>
          <w:p w14:paraId="54A256FA" w14:textId="77777777" w:rsidR="00CE14CC" w:rsidRDefault="00CE14CC" w:rsidP="009066F0">
            <w:pPr>
              <w:pStyle w:val="NormalWeb"/>
              <w:rPr>
                <w:sz w:val="24"/>
                <w:szCs w:val="24"/>
              </w:rPr>
            </w:pPr>
            <w:r>
              <w:t>Minimum interval not observed</w:t>
            </w:r>
          </w:p>
        </w:tc>
        <w:tc>
          <w:tcPr>
            <w:tcW w:w="993" w:type="dxa"/>
            <w:vAlign w:val="center"/>
            <w:hideMark/>
          </w:tcPr>
          <w:p w14:paraId="72EF8AE9" w14:textId="77777777" w:rsidR="00CE14CC" w:rsidRDefault="00CE14CC" w:rsidP="009066F0">
            <w:pPr>
              <w:pStyle w:val="NormalWeb"/>
            </w:pPr>
            <w:r>
              <w:t>8</w:t>
            </w:r>
          </w:p>
        </w:tc>
        <w:tc>
          <w:tcPr>
            <w:tcW w:w="4344" w:type="dxa"/>
            <w:vAlign w:val="center"/>
            <w:hideMark/>
          </w:tcPr>
          <w:p w14:paraId="6AB10188" w14:textId="77777777" w:rsidR="00CE14CC" w:rsidRDefault="00CE14CC" w:rsidP="009066F0"/>
        </w:tc>
      </w:tr>
      <w:tr w:rsidR="00CE14CC" w14:paraId="48E0BF07" w14:textId="77777777" w:rsidTr="009066F0">
        <w:trPr>
          <w:cnfStyle w:val="000000010000" w:firstRow="0" w:lastRow="0" w:firstColumn="0" w:lastColumn="0" w:oddVBand="0" w:evenVBand="0" w:oddHBand="0" w:evenHBand="1" w:firstRowFirstColumn="0" w:firstRowLastColumn="0" w:lastRowFirstColumn="0" w:lastRowLastColumn="0"/>
        </w:trPr>
        <w:tc>
          <w:tcPr>
            <w:tcW w:w="5103" w:type="dxa"/>
            <w:vAlign w:val="center"/>
            <w:hideMark/>
          </w:tcPr>
          <w:p w14:paraId="18B262C4" w14:textId="77777777" w:rsidR="00CE14CC" w:rsidRDefault="00CE14CC" w:rsidP="009066F0">
            <w:pPr>
              <w:pStyle w:val="NormalWeb"/>
              <w:rPr>
                <w:sz w:val="24"/>
                <w:szCs w:val="24"/>
              </w:rPr>
            </w:pPr>
            <w:r>
              <w:t>Diluent only</w:t>
            </w:r>
          </w:p>
        </w:tc>
        <w:tc>
          <w:tcPr>
            <w:tcW w:w="993" w:type="dxa"/>
            <w:vAlign w:val="center"/>
            <w:hideMark/>
          </w:tcPr>
          <w:p w14:paraId="0E83B539" w14:textId="77777777" w:rsidR="00CE14CC" w:rsidRDefault="00CE14CC" w:rsidP="009066F0">
            <w:pPr>
              <w:pStyle w:val="NormalWeb"/>
            </w:pPr>
            <w:r>
              <w:t>6</w:t>
            </w:r>
          </w:p>
        </w:tc>
        <w:tc>
          <w:tcPr>
            <w:tcW w:w="4344" w:type="dxa"/>
            <w:vAlign w:val="center"/>
            <w:hideMark/>
          </w:tcPr>
          <w:p w14:paraId="6DCC1223" w14:textId="77777777" w:rsidR="00CE14CC" w:rsidRDefault="00CE14CC" w:rsidP="009066F0">
            <w:pPr>
              <w:pStyle w:val="NormalWeb"/>
            </w:pPr>
            <w:r>
              <w:t>Infanrix-</w:t>
            </w:r>
            <w:proofErr w:type="spellStart"/>
            <w:r>
              <w:t>hexa</w:t>
            </w:r>
            <w:proofErr w:type="spellEnd"/>
            <w:r>
              <w:t xml:space="preserve"> (100%, 6/6)</w:t>
            </w:r>
          </w:p>
        </w:tc>
      </w:tr>
      <w:tr w:rsidR="00CE14CC" w14:paraId="43F1E6CA" w14:textId="77777777" w:rsidTr="009066F0">
        <w:tc>
          <w:tcPr>
            <w:tcW w:w="5103" w:type="dxa"/>
            <w:vAlign w:val="center"/>
            <w:hideMark/>
          </w:tcPr>
          <w:p w14:paraId="710D4230" w14:textId="77777777" w:rsidR="00CE14CC" w:rsidRDefault="00CE14CC" w:rsidP="009066F0">
            <w:pPr>
              <w:pStyle w:val="NormalWeb"/>
            </w:pPr>
            <w:r>
              <w:t>Other</w:t>
            </w:r>
          </w:p>
        </w:tc>
        <w:tc>
          <w:tcPr>
            <w:tcW w:w="993" w:type="dxa"/>
            <w:vAlign w:val="center"/>
            <w:hideMark/>
          </w:tcPr>
          <w:p w14:paraId="24B112B1" w14:textId="77777777" w:rsidR="00CE14CC" w:rsidRDefault="00CE14CC" w:rsidP="009066F0">
            <w:pPr>
              <w:pStyle w:val="NormalWeb"/>
            </w:pPr>
            <w:r>
              <w:t>12</w:t>
            </w:r>
          </w:p>
        </w:tc>
        <w:tc>
          <w:tcPr>
            <w:tcW w:w="4344" w:type="dxa"/>
            <w:vAlign w:val="center"/>
            <w:hideMark/>
          </w:tcPr>
          <w:p w14:paraId="3826CF77" w14:textId="77777777" w:rsidR="00CE14CC" w:rsidRDefault="00CE14CC" w:rsidP="009066F0"/>
        </w:tc>
      </w:tr>
      <w:tr w:rsidR="00CE14CC" w:rsidRPr="00FD0A78" w14:paraId="07981DB8" w14:textId="77777777" w:rsidTr="00FD0A78">
        <w:trPr>
          <w:cnfStyle w:val="000000010000" w:firstRow="0" w:lastRow="0" w:firstColumn="0" w:lastColumn="0" w:oddVBand="0" w:evenVBand="0" w:oddHBand="0" w:evenHBand="1" w:firstRowFirstColumn="0" w:firstRowLastColumn="0" w:lastRowFirstColumn="0" w:lastRowLastColumn="0"/>
        </w:trPr>
        <w:tc>
          <w:tcPr>
            <w:tcW w:w="5103" w:type="dxa"/>
            <w:shd w:val="clear" w:color="auto" w:fill="FDE9D9" w:themeFill="accent6" w:themeFillTint="33"/>
            <w:vAlign w:val="center"/>
            <w:hideMark/>
          </w:tcPr>
          <w:p w14:paraId="322FB611" w14:textId="77777777" w:rsidR="00CE14CC" w:rsidRPr="00FD0A78" w:rsidRDefault="00CE14CC" w:rsidP="009066F0">
            <w:pPr>
              <w:pStyle w:val="NormalWeb"/>
              <w:rPr>
                <w:b/>
                <w:sz w:val="24"/>
                <w:szCs w:val="24"/>
              </w:rPr>
            </w:pPr>
            <w:r w:rsidRPr="00FD0A78">
              <w:rPr>
                <w:b/>
              </w:rPr>
              <w:t>Total reports</w:t>
            </w:r>
          </w:p>
        </w:tc>
        <w:tc>
          <w:tcPr>
            <w:tcW w:w="993" w:type="dxa"/>
            <w:shd w:val="clear" w:color="auto" w:fill="FDE9D9" w:themeFill="accent6" w:themeFillTint="33"/>
            <w:vAlign w:val="center"/>
            <w:hideMark/>
          </w:tcPr>
          <w:p w14:paraId="6B68661E" w14:textId="77777777" w:rsidR="00CE14CC" w:rsidRPr="00FD0A78" w:rsidRDefault="00CE14CC" w:rsidP="009066F0">
            <w:pPr>
              <w:pStyle w:val="NormalWeb"/>
              <w:rPr>
                <w:b/>
              </w:rPr>
            </w:pPr>
            <w:r w:rsidRPr="00FD0A78">
              <w:rPr>
                <w:b/>
              </w:rPr>
              <w:t>241</w:t>
            </w:r>
          </w:p>
        </w:tc>
        <w:tc>
          <w:tcPr>
            <w:tcW w:w="4344" w:type="dxa"/>
            <w:shd w:val="clear" w:color="auto" w:fill="FDE9D9" w:themeFill="accent6" w:themeFillTint="33"/>
            <w:vAlign w:val="center"/>
            <w:hideMark/>
          </w:tcPr>
          <w:p w14:paraId="1F2272BA" w14:textId="77777777" w:rsidR="00CE14CC" w:rsidRPr="00FD0A78" w:rsidRDefault="00CE14CC" w:rsidP="009066F0">
            <w:pPr>
              <w:pStyle w:val="NormalWeb"/>
              <w:rPr>
                <w:b/>
              </w:rPr>
            </w:pPr>
            <w:r w:rsidRPr="00FD0A78">
              <w:rPr>
                <w:b/>
              </w:rPr>
              <w:t>Seasonal influenza vaccines 22.8% (55/241)</w:t>
            </w:r>
            <w:r w:rsidR="00F20469" w:rsidRPr="00FD0A78">
              <w:rPr>
                <w:b/>
              </w:rPr>
              <w:br/>
            </w:r>
            <w:r w:rsidRPr="00FD0A78">
              <w:rPr>
                <w:b/>
              </w:rPr>
              <w:t>Zoster vaccine (10.0%, 24/241)</w:t>
            </w:r>
          </w:p>
        </w:tc>
      </w:tr>
    </w:tbl>
    <w:p w14:paraId="71B8CEA4" w14:textId="77777777" w:rsidR="00CE14CC" w:rsidRPr="005875F1" w:rsidRDefault="00CE14CC" w:rsidP="005875F1">
      <w:pPr>
        <w:pStyle w:val="Heading2"/>
      </w:pPr>
      <w:r w:rsidRPr="005875F1">
        <w:t xml:space="preserve">Targeted monitoring </w:t>
      </w:r>
    </w:p>
    <w:p w14:paraId="59DC6FA0" w14:textId="77777777" w:rsidR="00CE14CC" w:rsidRDefault="00CE14CC" w:rsidP="00217368">
      <w:r>
        <w:t>SAEFVIC conducts targeted monitoring of AEFI for specific vaccines, for specific reactions, or when programmatic changes occur that may have potential for increased risk of a signal or have heightened attention within the community. These are summarised in Table 5.</w:t>
      </w:r>
    </w:p>
    <w:p w14:paraId="78B32550" w14:textId="77777777" w:rsidR="00D674D5" w:rsidRDefault="00D674D5" w:rsidP="00D674D5">
      <w:pPr>
        <w:pStyle w:val="CDIFigures"/>
        <w:sectPr w:rsidR="00D674D5" w:rsidSect="00A30C37">
          <w:footnotePr>
            <w:numFmt w:val="lowerRoman"/>
          </w:footnotePr>
          <w:pgSz w:w="11906" w:h="16838"/>
          <w:pgMar w:top="720" w:right="720" w:bottom="1134" w:left="720" w:header="709" w:footer="284" w:gutter="0"/>
          <w:cols w:space="708"/>
          <w:titlePg/>
          <w:docGrid w:linePitch="360"/>
        </w:sectPr>
      </w:pPr>
    </w:p>
    <w:p w14:paraId="0BAB6640" w14:textId="77777777" w:rsidR="00CE14CC" w:rsidRPr="00D61BAF" w:rsidRDefault="00CE14CC" w:rsidP="00D674D5">
      <w:pPr>
        <w:pStyle w:val="CDIFigures"/>
      </w:pPr>
      <w:r w:rsidRPr="00D61BAF">
        <w:lastRenderedPageBreak/>
        <w:t>Table 5: Targeted monitoring for vaccine pharmacovigilance, SAEFVIC,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ummarises the findings of the 5 enhanced monitoring activities undertaken during 2018. There were not remarkable findings for Meningococcal vaccines, BCG, Zoster or pharmacist administered vaccines. There was a hypothesised increase in serious adverse neurological events following seasonal influenza immuisation which was considered as likely attributable to increased administration of influenza vaccines.  &#10;"/>
      </w:tblPr>
      <w:tblGrid>
        <w:gridCol w:w="1750"/>
        <w:gridCol w:w="1357"/>
        <w:gridCol w:w="4511"/>
        <w:gridCol w:w="7366"/>
      </w:tblGrid>
      <w:tr w:rsidR="00FA0251" w:rsidRPr="005F29DD" w14:paraId="038502F9" w14:textId="77777777" w:rsidTr="00C041A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97E6636" w14:textId="77777777" w:rsidR="00FA0251" w:rsidRPr="005F29DD" w:rsidRDefault="00FA0251">
            <w:pPr>
              <w:pStyle w:val="NormalWeb"/>
              <w:rPr>
                <w:color w:val="FFFFFF" w:themeColor="background1"/>
              </w:rPr>
            </w:pPr>
            <w:r w:rsidRPr="005F29DD">
              <w:rPr>
                <w:color w:val="FFFFFF" w:themeColor="background1"/>
              </w:rPr>
              <w:t>Vaccines / population</w:t>
            </w:r>
          </w:p>
        </w:tc>
        <w:tc>
          <w:tcPr>
            <w:tcW w:w="0" w:type="auto"/>
            <w:hideMark/>
          </w:tcPr>
          <w:p w14:paraId="112411F7" w14:textId="77777777" w:rsidR="00FA0251" w:rsidRPr="005F29DD" w:rsidRDefault="00FA0251">
            <w:pPr>
              <w:pStyle w:val="NormalWeb"/>
              <w:rPr>
                <w:color w:val="FFFFFF" w:themeColor="background1"/>
              </w:rPr>
            </w:pPr>
            <w:r w:rsidRPr="005F29DD">
              <w:rPr>
                <w:color w:val="FFFFFF" w:themeColor="background1"/>
              </w:rPr>
              <w:t>Monitoring period</w:t>
            </w:r>
          </w:p>
        </w:tc>
        <w:tc>
          <w:tcPr>
            <w:tcW w:w="0" w:type="auto"/>
            <w:hideMark/>
          </w:tcPr>
          <w:p w14:paraId="2FD1FD3C" w14:textId="77777777" w:rsidR="00FA0251" w:rsidRPr="005F29DD" w:rsidRDefault="00FA0251">
            <w:pPr>
              <w:pStyle w:val="NormalWeb"/>
              <w:rPr>
                <w:color w:val="FFFFFF" w:themeColor="background1"/>
              </w:rPr>
            </w:pPr>
            <w:r w:rsidRPr="005F29DD">
              <w:rPr>
                <w:color w:val="FFFFFF" w:themeColor="background1"/>
              </w:rPr>
              <w:t>Reason for targeted monitoring</w:t>
            </w:r>
          </w:p>
        </w:tc>
        <w:tc>
          <w:tcPr>
            <w:tcW w:w="0" w:type="auto"/>
            <w:hideMark/>
          </w:tcPr>
          <w:p w14:paraId="25ECABBC" w14:textId="77777777" w:rsidR="00FA0251" w:rsidRPr="005F29DD" w:rsidRDefault="00FA0251">
            <w:pPr>
              <w:pStyle w:val="NormalWeb"/>
              <w:rPr>
                <w:color w:val="FFFFFF" w:themeColor="background1"/>
              </w:rPr>
            </w:pPr>
            <w:r w:rsidRPr="005F29DD">
              <w:rPr>
                <w:color w:val="FFFFFF" w:themeColor="background1"/>
              </w:rPr>
              <w:t>Findings</w:t>
            </w:r>
          </w:p>
        </w:tc>
      </w:tr>
      <w:tr w:rsidR="00FA0251" w14:paraId="1187DD13" w14:textId="77777777" w:rsidTr="00065448">
        <w:tc>
          <w:tcPr>
            <w:tcW w:w="0" w:type="auto"/>
            <w:hideMark/>
          </w:tcPr>
          <w:p w14:paraId="20CFBC5D" w14:textId="77777777" w:rsidR="00FA0251" w:rsidRDefault="00FA0251">
            <w:pPr>
              <w:pStyle w:val="NormalWeb"/>
            </w:pPr>
            <w:r>
              <w:t>Influenza</w:t>
            </w:r>
          </w:p>
        </w:tc>
        <w:tc>
          <w:tcPr>
            <w:tcW w:w="0" w:type="auto"/>
            <w:hideMark/>
          </w:tcPr>
          <w:p w14:paraId="5C79EE36" w14:textId="77777777" w:rsidR="00FA0251" w:rsidRDefault="00FA0251">
            <w:pPr>
              <w:pStyle w:val="NormalWeb"/>
            </w:pPr>
            <w:r>
              <w:t>Annual seasonal</w:t>
            </w:r>
            <w:r w:rsidR="00B01C67">
              <w:br/>
            </w:r>
            <w:r>
              <w:t>Mar–Oct</w:t>
            </w:r>
          </w:p>
        </w:tc>
        <w:tc>
          <w:tcPr>
            <w:tcW w:w="0" w:type="auto"/>
            <w:hideMark/>
          </w:tcPr>
          <w:p w14:paraId="4CB470D2" w14:textId="77777777" w:rsidR="00FA0251" w:rsidRDefault="00FA0251">
            <w:pPr>
              <w:pStyle w:val="NormalWeb"/>
            </w:pPr>
            <w:r>
              <w:t>Seasonal changes to strain with past history of AEFI signal events</w:t>
            </w:r>
          </w:p>
        </w:tc>
        <w:tc>
          <w:tcPr>
            <w:tcW w:w="0" w:type="auto"/>
            <w:hideMark/>
          </w:tcPr>
          <w:p w14:paraId="41591503" w14:textId="77777777" w:rsidR="00FA0251" w:rsidRDefault="00FA0251">
            <w:pPr>
              <w:pStyle w:val="NormalWeb"/>
            </w:pPr>
            <w:r>
              <w:t>Hypothesised increase in serious adverse neurological events (SANE)—likely attributable to increased administration of influenza vaccines. Ongoing review of cases in collaboration with TGA.</w:t>
            </w:r>
          </w:p>
        </w:tc>
      </w:tr>
      <w:tr w:rsidR="00FA0251" w14:paraId="6AD3C1BC" w14:textId="77777777" w:rsidTr="00065448">
        <w:trPr>
          <w:cnfStyle w:val="000000010000" w:firstRow="0" w:lastRow="0" w:firstColumn="0" w:lastColumn="0" w:oddVBand="0" w:evenVBand="0" w:oddHBand="0" w:evenHBand="1" w:firstRowFirstColumn="0" w:firstRowLastColumn="0" w:lastRowFirstColumn="0" w:lastRowLastColumn="0"/>
        </w:trPr>
        <w:tc>
          <w:tcPr>
            <w:tcW w:w="0" w:type="auto"/>
            <w:hideMark/>
          </w:tcPr>
          <w:p w14:paraId="2438D23C" w14:textId="77777777" w:rsidR="00FA0251" w:rsidRDefault="00FA0251">
            <w:pPr>
              <w:pStyle w:val="NormalWeb"/>
            </w:pPr>
            <w:r>
              <w:t>Meningococcal ACWY</w:t>
            </w:r>
          </w:p>
          <w:p w14:paraId="32E60158" w14:textId="77777777" w:rsidR="00FA0251" w:rsidRDefault="00FA0251">
            <w:pPr>
              <w:pStyle w:val="NormalWeb"/>
            </w:pPr>
            <w:proofErr w:type="spellStart"/>
            <w:r>
              <w:t>Menactra</w:t>
            </w:r>
            <w:proofErr w:type="spellEnd"/>
            <w:r>
              <w:t>®</w:t>
            </w:r>
          </w:p>
        </w:tc>
        <w:tc>
          <w:tcPr>
            <w:tcW w:w="0" w:type="auto"/>
            <w:hideMark/>
          </w:tcPr>
          <w:p w14:paraId="3CCE53A0" w14:textId="77777777" w:rsidR="00FA0251" w:rsidRDefault="00FA0251">
            <w:pPr>
              <w:pStyle w:val="NormalWeb"/>
            </w:pPr>
            <w:r>
              <w:t>2017–2019</w:t>
            </w:r>
          </w:p>
        </w:tc>
        <w:tc>
          <w:tcPr>
            <w:tcW w:w="0" w:type="auto"/>
            <w:hideMark/>
          </w:tcPr>
          <w:p w14:paraId="526B05FA" w14:textId="77777777" w:rsidR="00FA0251" w:rsidRDefault="00FA0251">
            <w:pPr>
              <w:pStyle w:val="NormalWeb"/>
            </w:pPr>
            <w:r>
              <w:t>New vaccine introduced to the Victorian school-based program for funded ACWY meningococcal vaccine.</w:t>
            </w:r>
          </w:p>
        </w:tc>
        <w:tc>
          <w:tcPr>
            <w:tcW w:w="0" w:type="auto"/>
            <w:hideMark/>
          </w:tcPr>
          <w:p w14:paraId="6ED13464" w14:textId="77777777" w:rsidR="00FA0251" w:rsidRDefault="00FA0251">
            <w:pPr>
              <w:pStyle w:val="NormalWeb"/>
            </w:pPr>
            <w:r>
              <w:t>AEFI reporting has decreased to 5 or fewer reports per month from a peak of 29 reports in August 2017. This is consistent with early increased reporting patterns following introduction of a new vaccine.</w:t>
            </w:r>
            <w:r w:rsidRPr="00B06A5B">
              <w:rPr>
                <w:vertAlign w:val="superscript"/>
              </w:rPr>
              <w:t>12</w:t>
            </w:r>
          </w:p>
        </w:tc>
      </w:tr>
      <w:tr w:rsidR="00FA0251" w14:paraId="33EACD6A" w14:textId="77777777" w:rsidTr="00065448">
        <w:tc>
          <w:tcPr>
            <w:tcW w:w="0" w:type="auto"/>
            <w:hideMark/>
          </w:tcPr>
          <w:p w14:paraId="58BC283B" w14:textId="77777777" w:rsidR="00FA0251" w:rsidRDefault="00FA0251">
            <w:pPr>
              <w:pStyle w:val="NormalWeb"/>
            </w:pPr>
            <w:r>
              <w:t>BCG</w:t>
            </w:r>
          </w:p>
        </w:tc>
        <w:tc>
          <w:tcPr>
            <w:tcW w:w="0" w:type="auto"/>
            <w:hideMark/>
          </w:tcPr>
          <w:p w14:paraId="45603EAB" w14:textId="77777777" w:rsidR="00FA0251" w:rsidRDefault="00FA0251">
            <w:pPr>
              <w:pStyle w:val="NormalWeb"/>
            </w:pPr>
            <w:r>
              <w:t>2014–2018</w:t>
            </w:r>
          </w:p>
        </w:tc>
        <w:tc>
          <w:tcPr>
            <w:tcW w:w="0" w:type="auto"/>
            <w:hideMark/>
          </w:tcPr>
          <w:p w14:paraId="1850FACB" w14:textId="77777777" w:rsidR="00FA0251" w:rsidRDefault="00FA0251">
            <w:pPr>
              <w:pStyle w:val="NormalWeb"/>
            </w:pPr>
            <w:r>
              <w:t>Vaccine strain changes and restricted provider permissions.</w:t>
            </w:r>
          </w:p>
        </w:tc>
        <w:tc>
          <w:tcPr>
            <w:tcW w:w="0" w:type="auto"/>
            <w:hideMark/>
          </w:tcPr>
          <w:p w14:paraId="75B1FAF6" w14:textId="77777777" w:rsidR="00FA0251" w:rsidRDefault="00FA0251">
            <w:pPr>
              <w:pStyle w:val="NormalWeb"/>
            </w:pPr>
            <w:r>
              <w:t>2018 saw the lowest reporting for 3 years.</w:t>
            </w:r>
          </w:p>
          <w:p w14:paraId="47F59891" w14:textId="77777777" w:rsidR="00FA0251" w:rsidRDefault="00FA0251">
            <w:pPr>
              <w:pStyle w:val="NormalWeb"/>
            </w:pPr>
            <w:r>
              <w:t>This is consistent with reduced BCG vaccine administration resulting from provider restrictions in situ during 2018.</w:t>
            </w:r>
            <w:r w:rsidRPr="00B06A5B">
              <w:rPr>
                <w:vertAlign w:val="superscript"/>
              </w:rPr>
              <w:t>13</w:t>
            </w:r>
          </w:p>
        </w:tc>
      </w:tr>
      <w:tr w:rsidR="00FA0251" w14:paraId="48105CCC" w14:textId="77777777" w:rsidTr="00065448">
        <w:trPr>
          <w:cnfStyle w:val="000000010000" w:firstRow="0" w:lastRow="0" w:firstColumn="0" w:lastColumn="0" w:oddVBand="0" w:evenVBand="0" w:oddHBand="0" w:evenHBand="1" w:firstRowFirstColumn="0" w:firstRowLastColumn="0" w:lastRowFirstColumn="0" w:lastRowLastColumn="0"/>
        </w:trPr>
        <w:tc>
          <w:tcPr>
            <w:tcW w:w="0" w:type="auto"/>
            <w:hideMark/>
          </w:tcPr>
          <w:p w14:paraId="51D73413" w14:textId="77777777" w:rsidR="00FA0251" w:rsidRDefault="00FA0251">
            <w:pPr>
              <w:pStyle w:val="NormalWeb"/>
            </w:pPr>
            <w:r>
              <w:t>Zoster</w:t>
            </w:r>
          </w:p>
        </w:tc>
        <w:tc>
          <w:tcPr>
            <w:tcW w:w="0" w:type="auto"/>
            <w:hideMark/>
          </w:tcPr>
          <w:p w14:paraId="47F58B34" w14:textId="77777777" w:rsidR="00FA0251" w:rsidRDefault="00FA0251">
            <w:pPr>
              <w:pStyle w:val="NormalWeb"/>
            </w:pPr>
            <w:r>
              <w:t>2016–2018</w:t>
            </w:r>
          </w:p>
        </w:tc>
        <w:tc>
          <w:tcPr>
            <w:tcW w:w="0" w:type="auto"/>
            <w:hideMark/>
          </w:tcPr>
          <w:p w14:paraId="31EA1C9D" w14:textId="77777777" w:rsidR="00FA0251" w:rsidRDefault="00FA0251">
            <w:pPr>
              <w:pStyle w:val="NormalWeb"/>
            </w:pPr>
            <w:r>
              <w:t>New vaccine introduced for 70–79 year olds</w:t>
            </w:r>
          </w:p>
          <w:p w14:paraId="7D587AE3" w14:textId="77777777" w:rsidR="00FA0251" w:rsidRDefault="00FA0251">
            <w:pPr>
              <w:pStyle w:val="NormalWeb"/>
            </w:pPr>
            <w:r>
              <w:t>Death following administration to an immunocompromised person.</w:t>
            </w:r>
            <w:r w:rsidRPr="00B06A5B">
              <w:rPr>
                <w:vertAlign w:val="superscript"/>
              </w:rPr>
              <w:t>14</w:t>
            </w:r>
          </w:p>
        </w:tc>
        <w:tc>
          <w:tcPr>
            <w:tcW w:w="0" w:type="auto"/>
            <w:hideMark/>
          </w:tcPr>
          <w:p w14:paraId="466F5E16" w14:textId="77777777" w:rsidR="00FA0251" w:rsidRDefault="00FA0251">
            <w:pPr>
              <w:pStyle w:val="NormalWeb"/>
            </w:pPr>
            <w:r>
              <w:t>AEFI reporting has decreased to fewer than 5 reports per month, from a peak of 20 in March 2017, consistent with increased reporting patterns following introduction of a new vaccine at that time.</w:t>
            </w:r>
          </w:p>
          <w:p w14:paraId="39794324" w14:textId="77777777" w:rsidR="00FA0251" w:rsidRDefault="00FA0251">
            <w:pPr>
              <w:pStyle w:val="NormalWeb"/>
            </w:pPr>
            <w:r>
              <w:t>Noted immunisation errors of administration to immunocompromised persons and inadvertent administration of second dose. Improved education to immunisation providers was instigated.</w:t>
            </w:r>
          </w:p>
          <w:p w14:paraId="7C118B0D" w14:textId="77777777" w:rsidR="00FA0251" w:rsidRDefault="00FA0251">
            <w:pPr>
              <w:pStyle w:val="NormalWeb"/>
            </w:pPr>
            <w:r>
              <w:t>Monitoring of shingles post Zostavax® is routinely included in AEFI-CAN.</w:t>
            </w:r>
          </w:p>
        </w:tc>
      </w:tr>
      <w:tr w:rsidR="00FA0251" w14:paraId="0A509D2C" w14:textId="77777777" w:rsidTr="00065448">
        <w:tc>
          <w:tcPr>
            <w:tcW w:w="0" w:type="auto"/>
            <w:hideMark/>
          </w:tcPr>
          <w:p w14:paraId="36C4C751" w14:textId="77777777" w:rsidR="00FA0251" w:rsidRDefault="00FA0251">
            <w:pPr>
              <w:pStyle w:val="NormalWeb"/>
            </w:pPr>
            <w:r>
              <w:t>Pharmacist administered</w:t>
            </w:r>
          </w:p>
        </w:tc>
        <w:tc>
          <w:tcPr>
            <w:tcW w:w="0" w:type="auto"/>
            <w:hideMark/>
          </w:tcPr>
          <w:p w14:paraId="361F33A9" w14:textId="77777777" w:rsidR="00FA0251" w:rsidRDefault="00FA0251">
            <w:pPr>
              <w:pStyle w:val="NormalWeb"/>
            </w:pPr>
            <w:r>
              <w:t>2016–2019</w:t>
            </w:r>
          </w:p>
        </w:tc>
        <w:tc>
          <w:tcPr>
            <w:tcW w:w="0" w:type="auto"/>
            <w:hideMark/>
          </w:tcPr>
          <w:p w14:paraId="660DADF0" w14:textId="77777777" w:rsidR="00FA0251" w:rsidRDefault="00FA0251">
            <w:pPr>
              <w:pStyle w:val="NormalWeb"/>
            </w:pPr>
            <w:r>
              <w:t>Victorian Pharmacist-Administered Vaccination Program</w:t>
            </w:r>
          </w:p>
        </w:tc>
        <w:tc>
          <w:tcPr>
            <w:tcW w:w="0" w:type="auto"/>
            <w:hideMark/>
          </w:tcPr>
          <w:p w14:paraId="35D6BE55" w14:textId="77777777" w:rsidR="00FA0251" w:rsidRDefault="00FA0251">
            <w:pPr>
              <w:pStyle w:val="NormalWeb"/>
            </w:pPr>
            <w:r>
              <w:t>Small number of reports and most common is for minor injection site reactions.</w:t>
            </w:r>
          </w:p>
        </w:tc>
      </w:tr>
    </w:tbl>
    <w:p w14:paraId="51AA4FBD" w14:textId="77777777" w:rsidR="00CE14CC" w:rsidRDefault="00CE14CC">
      <w:pPr>
        <w:pStyle w:val="NormalWeb"/>
      </w:pPr>
      <w:r>
        <w:t> </w:t>
      </w:r>
    </w:p>
    <w:p w14:paraId="0DC1ECB1" w14:textId="77777777" w:rsidR="00D674D5" w:rsidRDefault="00D674D5" w:rsidP="00217368">
      <w:pPr>
        <w:pStyle w:val="Heading2"/>
        <w:sectPr w:rsidR="00D674D5" w:rsidSect="00706850">
          <w:footnotePr>
            <w:numFmt w:val="lowerRoman"/>
          </w:footnotePr>
          <w:pgSz w:w="16838" w:h="11906" w:orient="landscape"/>
          <w:pgMar w:top="720" w:right="720" w:bottom="720" w:left="1134" w:header="709" w:footer="284" w:gutter="0"/>
          <w:cols w:space="708"/>
          <w:titlePg/>
          <w:docGrid w:linePitch="360"/>
        </w:sectPr>
      </w:pPr>
    </w:p>
    <w:p w14:paraId="63A1EC69" w14:textId="77777777" w:rsidR="00CE14CC" w:rsidRPr="005875F1" w:rsidRDefault="00CE14CC" w:rsidP="005875F1">
      <w:pPr>
        <w:pStyle w:val="Heading2"/>
      </w:pPr>
      <w:r w:rsidRPr="005875F1">
        <w:lastRenderedPageBreak/>
        <w:t xml:space="preserve">Signal investigations </w:t>
      </w:r>
    </w:p>
    <w:p w14:paraId="55F75521" w14:textId="77777777" w:rsidR="00CE14CC" w:rsidRDefault="00CE14CC" w:rsidP="00217368">
      <w:r>
        <w:t xml:space="preserve">SAEFVIC initiated investigation into two signal hypotheses that were raised initially by clinical immunisation staff perceiving an increase in reporting. It is important to note that these investigations do not infer causality but are included here as an indication of SAEFVIC’s role in examining issues of potential vaccine safety in our jurisdiction. </w:t>
      </w:r>
    </w:p>
    <w:p w14:paraId="0C89BCCA" w14:textId="77777777" w:rsidR="00CE14CC" w:rsidRDefault="00CE14CC" w:rsidP="00217368">
      <w:r>
        <w:t>Serious adverse neurological events (SANE) are known and rare AEFI, particularly with influenza vaccines,</w:t>
      </w:r>
      <w:r>
        <w:rPr>
          <w:vertAlign w:val="superscript"/>
        </w:rPr>
        <w:t>15</w:t>
      </w:r>
      <w:r>
        <w:t xml:space="preserve"> but they can also occur with temporal association to vaccines without causal association.</w:t>
      </w:r>
      <w:r>
        <w:rPr>
          <w:vertAlign w:val="superscript"/>
        </w:rPr>
        <w:t>16,17</w:t>
      </w:r>
      <w:r>
        <w:t xml:space="preserve"> Cases reported in 2018 encompassed a broad spectrum of ages (paediatric and adult) and vaccines. The proportional reporting ratio of SANE in 2018 (across all vaccines) was significantly higher than in previous years (PRR = 2.51, χ</w:t>
      </w:r>
      <w:r>
        <w:rPr>
          <w:vertAlign w:val="superscript"/>
        </w:rPr>
        <w:t>2</w:t>
      </w:r>
      <w:r>
        <w:t xml:space="preserve"> = 6.78). However, when calculating the PRR limited to influenza vaccines alone, SANE reporting in 2018 was not disproportionately increased (PRR = 1.57, χ</w:t>
      </w:r>
      <w:r>
        <w:rPr>
          <w:vertAlign w:val="superscript"/>
        </w:rPr>
        <w:t>2</w:t>
      </w:r>
      <w:r>
        <w:t xml:space="preserve"> = 0.48). The increase in number of reports was therefore hypothesised to be a consequence of increased influenza vaccine administration in 2018. This signal hypothesis was reported to the TGA and is the subject of an ongoing national review, supported by AEFI-CAN. </w:t>
      </w:r>
    </w:p>
    <w:p w14:paraId="1B1C5725" w14:textId="77777777" w:rsidR="00CE14CC" w:rsidRDefault="00CE14CC" w:rsidP="00217368">
      <w:r>
        <w:t>SAEFVIC perceived an increase in reporting of limb pain, restricted movement and bursitis during 2018, suggestive of shoulder injury related to vaccine administration (SIRVA). Following this increase in Victorian (SAEFVIC) notifications, the TGA was alerted and a review, conducted by the Advisory Committee on Vaccines, was initiated.</w:t>
      </w:r>
      <w:r>
        <w:rPr>
          <w:vertAlign w:val="superscript"/>
        </w:rPr>
        <w:t>18</w:t>
      </w:r>
      <w:r>
        <w:t xml:space="preserve"> This resulted in the development of new resources by both the Melbourne Vaccine Education Centre (MVEC) and the Australian Government Department of Health, which led a national educational initiative on correct injection technique included in the Australian Immunisation Handbook (April 2019). Resources are available via the MVEC website.</w:t>
      </w:r>
      <w:r w:rsidR="001333C5">
        <w:rPr>
          <w:rStyle w:val="FootnoteReference"/>
        </w:rPr>
        <w:footnoteReference w:id="4"/>
      </w:r>
      <w:r w:rsidR="001333C5">
        <w:t xml:space="preserve"> </w:t>
      </w:r>
      <w:r>
        <w:t xml:space="preserve">Reported SIRVA cases are undergoing a clinical review for diagnostic confirmation, with symptom follow-up and long term outcomes to be determined. </w:t>
      </w:r>
    </w:p>
    <w:p w14:paraId="2947DE0A" w14:textId="77777777" w:rsidR="00CE14CC" w:rsidRPr="00217368" w:rsidRDefault="00CE14CC" w:rsidP="00217368">
      <w:pPr>
        <w:pStyle w:val="Heading2"/>
      </w:pPr>
      <w:r w:rsidRPr="00217368">
        <w:t xml:space="preserve">System innovations </w:t>
      </w:r>
    </w:p>
    <w:p w14:paraId="451DF6EE" w14:textId="77777777" w:rsidR="00CE14CC" w:rsidRDefault="00CE14CC" w:rsidP="00217368">
      <w:r>
        <w:t>During 2018, SAEFVIC transitioned analysis of data to Microsoft Power Business Intelligence (</w:t>
      </w:r>
      <w:proofErr w:type="spellStart"/>
      <w:r>
        <w:t>PowerBI</w:t>
      </w:r>
      <w:proofErr w:type="spellEnd"/>
      <w:r>
        <w:t>) software.</w:t>
      </w:r>
      <w:r>
        <w:rPr>
          <w:vertAlign w:val="superscript"/>
        </w:rPr>
        <w:t>9</w:t>
      </w:r>
      <w:r>
        <w:t xml:space="preserve"> This permits simpler and more rapid processing of data accompanied by visual presentation. Enhanced semi-automated signal monitoring processes using frequentist and Bayesian methodologies are being explored. </w:t>
      </w:r>
    </w:p>
    <w:p w14:paraId="2996E560" w14:textId="77777777" w:rsidR="00CE14CC" w:rsidRDefault="00CE14CC" w:rsidP="00217368">
      <w:r>
        <w:t xml:space="preserve">Tabulations of vaccine-event pairs reaching signal hypothesis threshold levels using proportional reporting ratios (PRR) and Bayesian algorithms are generated weekly and reviewed to determine whether an investigation may be warranted. We are developing a ranking system to classify new signal detections, to identify increases in magnitude of known signals, and to undertake automated notification of identified signals. </w:t>
      </w:r>
    </w:p>
    <w:p w14:paraId="1CEA5058" w14:textId="77777777" w:rsidR="00CE14CC" w:rsidRPr="005875F1" w:rsidRDefault="00CE14CC" w:rsidP="005875F1">
      <w:pPr>
        <w:pStyle w:val="Heading1"/>
      </w:pPr>
      <w:r w:rsidRPr="005875F1">
        <w:t xml:space="preserve">SAEFVIC service delivery </w:t>
      </w:r>
    </w:p>
    <w:p w14:paraId="641909D9" w14:textId="77777777" w:rsidR="00CE14CC" w:rsidRDefault="00CE14CC" w:rsidP="00217368">
      <w:r>
        <w:t xml:space="preserve">SAEFVIC surveillance is integrated with clinical service delivery. All AEFI reports are reviewed by an immunisation nurse with follow-up conversation with the vaccinee (or parent or guardian) to confirm the AEFI reaction. For serious AEFI, or if the vaccinee has reduced confidence in further vaccinations, a specialist clinical review is offered. </w:t>
      </w:r>
    </w:p>
    <w:p w14:paraId="2F9BA76B" w14:textId="77777777" w:rsidR="00CE14CC" w:rsidRPr="005875F1" w:rsidRDefault="00CE14CC" w:rsidP="005875F1">
      <w:pPr>
        <w:pStyle w:val="Heading2"/>
      </w:pPr>
      <w:r w:rsidRPr="005875F1">
        <w:t xml:space="preserve">Clinical review </w:t>
      </w:r>
    </w:p>
    <w:p w14:paraId="017288B2" w14:textId="77777777" w:rsidR="00CE14CC" w:rsidRDefault="00CE14CC" w:rsidP="00217368">
      <w:r>
        <w:t>One fifth (329/1,730) of all cases attended specialist clinical services for review at either of two tertiary hospitals (Royal Children’s Hospital or Monash Health), via Telehealth or at regional services by arrangement. One hundred and sixty such cases (48.6%) received onward vaccination via these services (Figure 7), with 61 being vaccinated under high-level supervision in day (n = 31) or overnight (n = 30) admission settings. Note that not all clinic attendees would require further vaccination at the clinic attendance timepoint.</w:t>
      </w:r>
    </w:p>
    <w:p w14:paraId="21F2B975" w14:textId="77777777" w:rsidR="000070C4" w:rsidRDefault="000070C4" w:rsidP="000070C4">
      <w:pPr>
        <w:pStyle w:val="CDIFigures"/>
        <w:sectPr w:rsidR="000070C4" w:rsidSect="00A30C37">
          <w:footnotePr>
            <w:numFmt w:val="lowerRoman"/>
          </w:footnotePr>
          <w:pgSz w:w="11906" w:h="16838"/>
          <w:pgMar w:top="720" w:right="720" w:bottom="1134" w:left="720" w:header="709" w:footer="284" w:gutter="0"/>
          <w:cols w:space="708"/>
          <w:titlePg/>
          <w:docGrid w:linePitch="360"/>
        </w:sectPr>
      </w:pPr>
    </w:p>
    <w:p w14:paraId="77C17819" w14:textId="77777777" w:rsidR="00CE14CC" w:rsidRDefault="00CE14CC" w:rsidP="00F30760">
      <w:pPr>
        <w:pStyle w:val="CDIFigures"/>
        <w:spacing w:line="240" w:lineRule="auto"/>
      </w:pPr>
      <w:r>
        <w:lastRenderedPageBreak/>
        <w:t>Figure 7: Clinic attendance and further vaccination by age group, SAEFVIC, 2018</w:t>
      </w:r>
    </w:p>
    <w:p w14:paraId="54293E12" w14:textId="77777777" w:rsidR="00CE14CC" w:rsidRDefault="00CE14CC" w:rsidP="000070C4">
      <w:pPr>
        <w:pStyle w:val="NormalWeb"/>
        <w:jc w:val="center"/>
      </w:pPr>
      <w:r>
        <w:rPr>
          <w:noProof/>
        </w:rPr>
        <w:drawing>
          <wp:inline distT="0" distB="0" distL="0" distR="0" wp14:anchorId="0874CCAC" wp14:editId="03065B55">
            <wp:extent cx="7130449" cy="6162675"/>
            <wp:effectExtent l="0" t="0" r="0" b="0"/>
            <wp:docPr id="8" name="Picture 8" descr="A categorical bar chart comparing the number of cases attending clinic and those reported as vaccinated at the clinic, for each of the age groups. Infants and children form the largest cohorts attending clinic. The proportion vaccinated is highest for Infants and lowest for adults but rises again for older persons, although the numbers are small with only 6 attending clinic of which 2 were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r chart showing AEFI reports by vaccine antigen category for each vaccinee age group. The most frequently reported are AEFI with diptheria tetanus pertussis containing vaccines, followed by influenza and then measles mumps rubella vaccines. These are also the childhood primary vaccination series administered at two, four and six months of ag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7130449" cy="6162675"/>
                    </a:xfrm>
                    <a:prstGeom prst="rect">
                      <a:avLst/>
                    </a:prstGeom>
                  </pic:spPr>
                </pic:pic>
              </a:graphicData>
            </a:graphic>
          </wp:inline>
        </w:drawing>
      </w:r>
    </w:p>
    <w:p w14:paraId="4D3F18D2" w14:textId="77777777" w:rsidR="000070C4" w:rsidRDefault="000070C4" w:rsidP="006C302B">
      <w:pPr>
        <w:pStyle w:val="Heading3"/>
        <w:sectPr w:rsidR="000070C4" w:rsidSect="000070C4">
          <w:footnotePr>
            <w:numFmt w:val="lowerRoman"/>
          </w:footnotePr>
          <w:pgSz w:w="16838" w:h="11906" w:orient="landscape"/>
          <w:pgMar w:top="720" w:right="720" w:bottom="720" w:left="1134" w:header="709" w:footer="284" w:gutter="0"/>
          <w:cols w:space="708"/>
          <w:titlePg/>
          <w:docGrid w:linePitch="360"/>
        </w:sectPr>
      </w:pPr>
    </w:p>
    <w:p w14:paraId="08A819CB" w14:textId="77777777" w:rsidR="00CE14CC" w:rsidRPr="006C302B" w:rsidRDefault="00CE14CC" w:rsidP="005875F1">
      <w:pPr>
        <w:pStyle w:val="Heading2"/>
      </w:pPr>
      <w:r w:rsidRPr="006C302B">
        <w:lastRenderedPageBreak/>
        <w:t xml:space="preserve">Immunisation advice </w:t>
      </w:r>
    </w:p>
    <w:p w14:paraId="33F22AA2" w14:textId="77777777" w:rsidR="00CE14CC" w:rsidRDefault="00CE14CC" w:rsidP="006C302B">
      <w:r>
        <w:t>The SAEFVIC team responded to 3,140 phone calls during 2018, a 5% increase compared to 2017 (n = 2,987). Two additional short-term information services for immunisation providers and public/ consumers were provided in 2018, funded by the Victorian Government Department of Health and Human Services. The first was a 10-week telephone immunisation advice line providing expert advice on all NIP vaccines and particularly regarding: 1) recently-introduced federal and jurisdictional legislation</w:t>
      </w:r>
      <w:r>
        <w:rPr>
          <w:vertAlign w:val="superscript"/>
        </w:rPr>
        <w:t>19</w:t>
      </w:r>
      <w:r>
        <w:t xml:space="preserve"> restricting access to kindergarten and family payment benefits for unvaccinated children, called ‘No Jab No Play, No Jab No Pay’; 2) the Victorian Immunisation Program; and 3) the AIR. This was followed by 6-week clinical support via email providing immunisation advice on all NIP vaccines (paediatric and adult); the seasonal influenza program; immunisation catch-up requirements by age; advice around the Victorian immunisation schedule and vaccine eligibility criteria; changes to the National Immunisation Program; and other advice as relevant. </w:t>
      </w:r>
    </w:p>
    <w:p w14:paraId="6C5A50EE" w14:textId="77777777" w:rsidR="00CE14CC" w:rsidRPr="005875F1" w:rsidRDefault="00CE14CC" w:rsidP="005875F1">
      <w:pPr>
        <w:pStyle w:val="Heading2"/>
      </w:pPr>
      <w:r w:rsidRPr="005875F1">
        <w:t xml:space="preserve">AEFI Clinical Assessment Network (AEFI-CAN) </w:t>
      </w:r>
    </w:p>
    <w:p w14:paraId="5FDFB09F" w14:textId="77777777" w:rsidR="00CE14CC" w:rsidRDefault="00CE14CC" w:rsidP="006C302B">
      <w:r>
        <w:t xml:space="preserve">AEFI-CAN is a national vaccine safety network coordinated by SAEFVIC, providing a collaborative approach to clinically assess and manage individual patients following serious or unexpected adverse events following immunisation. SAEFVIC leads national monthly teleconferences to discuss clinical cases of interest. A national database (with some funding support through </w:t>
      </w:r>
      <w:proofErr w:type="spellStart"/>
      <w:r>
        <w:t>AusVaxSafety</w:t>
      </w:r>
      <w:proofErr w:type="spellEnd"/>
      <w:r>
        <w:t xml:space="preserve">) is being developed with capacity to harmonise AEFI data collation across jurisdictions for these serious clinical AEFI cases, seen in specialist immunisation clinics. In support of this initiative, SAEFVIC reviewed the case definitions used for AEFI surveillance and prepared a report for discussion as first steps towards uniform reporting across jurisdictions reporting. As a national network, this will improve data transfer with the Therapeutic Goods Administration and enhance assessment of serious AEFI. </w:t>
      </w:r>
    </w:p>
    <w:p w14:paraId="2387AED6" w14:textId="77777777" w:rsidR="00CE14CC" w:rsidRDefault="00CE14CC" w:rsidP="006C302B">
      <w:r>
        <w:t>During 2018, AEFI-CAN has led clinical reviews of: shingles cases temporally associated with Zostavax</w:t>
      </w:r>
      <w:r>
        <w:rPr>
          <w:vertAlign w:val="superscript"/>
        </w:rPr>
        <w:t>®</w:t>
      </w:r>
      <w:r>
        <w:t xml:space="preserve">; SANE with seasonal influenza vaccines; and SIRVA. AEFI-CAN has also supported the Commonwealth-led education campaign on vaccine administration techniques (see references above). The network of specialist immunisation clinics is also being utilised to discuss ‘No Jab No Pay’ special exemptions with the Commonwealth. </w:t>
      </w:r>
    </w:p>
    <w:p w14:paraId="274B10E0" w14:textId="77777777" w:rsidR="00CE14CC" w:rsidRPr="006C302B" w:rsidRDefault="00CE14CC" w:rsidP="005875F1">
      <w:pPr>
        <w:pStyle w:val="Heading2"/>
      </w:pPr>
      <w:r w:rsidRPr="006C302B">
        <w:t xml:space="preserve">Education </w:t>
      </w:r>
    </w:p>
    <w:p w14:paraId="05D31FA5" w14:textId="77777777" w:rsidR="00CE14CC" w:rsidRDefault="00CE14CC" w:rsidP="006C302B">
      <w:r>
        <w:t xml:space="preserve">SAEFVIC seeks to develop and strengthen communication about important vaccine safety issues among both public and healthcare professional stakeholders and to provide information to support the management of any adverse events or concerns about vaccine safety. </w:t>
      </w:r>
    </w:p>
    <w:p w14:paraId="0F71AE3F" w14:textId="77777777" w:rsidR="00CE14CC" w:rsidRPr="006C302B" w:rsidRDefault="00CE14CC" w:rsidP="005875F1">
      <w:pPr>
        <w:pStyle w:val="Heading2"/>
      </w:pPr>
      <w:r w:rsidRPr="006C302B">
        <w:t xml:space="preserve">Melbourne Vaccine Education Centre (MVEC) </w:t>
      </w:r>
    </w:p>
    <w:p w14:paraId="17366E4C" w14:textId="77777777" w:rsidR="00CE14CC" w:rsidRDefault="00CE14CC" w:rsidP="006C302B">
      <w:r>
        <w:t>The Melbourne Vaccine Education Centre web-based initiative</w:t>
      </w:r>
      <w:r w:rsidR="001333C5">
        <w:rPr>
          <w:rStyle w:val="FootnoteReference"/>
        </w:rPr>
        <w:footnoteReference w:id="5"/>
      </w:r>
      <w:r>
        <w:t xml:space="preserve"> provides up-to-date immunisation information for healthcare professionals, parents and the public.</w:t>
      </w:r>
      <w:r w:rsidR="001333C5">
        <w:rPr>
          <w:rStyle w:val="FootnoteReference"/>
        </w:rPr>
        <w:footnoteReference w:id="6"/>
      </w:r>
      <w:r>
        <w:t xml:space="preserve"> SAEFVIC, working in collaboration with the Victorian Government Department of Health and Human Services, has successfully achieved accreditation for MVEC as a World Health Organization Vaccine Safety Net approved website. Vaccine Safety Net websites have been evaluated by the World Health Organization and meet the Global Advisory Committee on Vaccine Safety (GACVS) criteria for good information practices.</w:t>
      </w:r>
      <w:r>
        <w:rPr>
          <w:vertAlign w:val="superscript"/>
        </w:rPr>
        <w:t xml:space="preserve">20 </w:t>
      </w:r>
    </w:p>
    <w:p w14:paraId="1E32110F" w14:textId="77777777" w:rsidR="00CE14CC" w:rsidRPr="006C302B" w:rsidRDefault="00CE14CC" w:rsidP="005875F1">
      <w:pPr>
        <w:pStyle w:val="Heading2"/>
      </w:pPr>
      <w:r w:rsidRPr="006C302B">
        <w:t xml:space="preserve">Clinical Vaccinology Updates (CVU) </w:t>
      </w:r>
    </w:p>
    <w:p w14:paraId="01C52FD0" w14:textId="77777777" w:rsidR="00CE14CC" w:rsidRDefault="00CE14CC" w:rsidP="006C302B">
      <w:r>
        <w:t xml:space="preserve">The Clinical Vaccinology Updates (CVU) are a series of educational conferences providing an opportunity for immunisation providers and healthcare professionals, from Victoria and interstate, the opportunity to meet and discuss vaccines, vaccine preventable disease epidemiology and vaccine safety. Two symposiums in 2018 attracted </w:t>
      </w:r>
      <w:r>
        <w:lastRenderedPageBreak/>
        <w:t xml:space="preserve">over 400 attendees including general practitioners, nurse immunisers, pharmaceutical representatives and healthcare providers. </w:t>
      </w:r>
    </w:p>
    <w:p w14:paraId="074F47C8" w14:textId="2191D5B8" w:rsidR="00CE14CC" w:rsidRPr="005875F1" w:rsidRDefault="00CE14CC" w:rsidP="00920060">
      <w:r>
        <w:t>CVU presentations are publicly available as a resource accessible by all health professionals and interested members of the public on the Melbourne Vaccine Education Centre (MVEC) website.</w:t>
      </w:r>
      <w:r w:rsidR="001333C5">
        <w:rPr>
          <w:rStyle w:val="FootnoteReference"/>
        </w:rPr>
        <w:footnoteReference w:id="7"/>
      </w:r>
      <w:r w:rsidRPr="005875F1">
        <w:t xml:space="preserve"> </w:t>
      </w:r>
    </w:p>
    <w:p w14:paraId="07818537" w14:textId="77777777" w:rsidR="00CE14CC" w:rsidRDefault="00CE14CC" w:rsidP="006C302B">
      <w:r>
        <w:t>AEFI reporting in Victoria was 26.8 per 100,000 population in 2018, comparable to 2017 and represents a tripling since SAEFVICs first full year of operation in 2008. SAEFVIC Victoria is now the highest AEFI reporting jurisdiction nationally, with the second highest reporting rate by population.</w:t>
      </w:r>
      <w:r w:rsidRPr="001333C5">
        <w:rPr>
          <w:vertAlign w:val="superscript"/>
        </w:rPr>
        <w:t>21</w:t>
      </w:r>
      <w:r>
        <w:t xml:space="preserve"> The increased reporting, both in number and by population, is likely indicative of improved case ascertainment rather than increase in vaccine reactogenicity. This conclusion is supported by the decreasing proportion of reports deemed serious. The high number of reports received by SAEFVIC means that Victoria’s contribution to Australian national AEFI reporting is considerable, comprising 41.5% of all reports nationally in 2017—the most recently-published national report available—and triple that of New South Wales (25.3 to 8.7 AEFI reports per 100,000 population respectively), despite the similar jurisdictional population size of both states.</w:t>
      </w:r>
      <w:r w:rsidRPr="001333C5">
        <w:rPr>
          <w:vertAlign w:val="superscript"/>
        </w:rPr>
        <w:t>21</w:t>
      </w:r>
      <w:r>
        <w:t xml:space="preserve"> Comparative national and jurisdictional data are accessible online from the Australian Government Department of Health, Therapeutic Goods Administration Database of Adverse Event Notifications (DAEN), however restricted by a 90 day access lag.</w:t>
      </w:r>
      <w:r>
        <w:rPr>
          <w:vertAlign w:val="superscript"/>
        </w:rPr>
        <w:t xml:space="preserve">22 </w:t>
      </w:r>
    </w:p>
    <w:p w14:paraId="0EE030BB" w14:textId="77777777" w:rsidR="00CE14CC" w:rsidRDefault="00CE14CC" w:rsidP="006C302B">
      <w:r>
        <w:t>Age-group vaccine-specific AEFI reporting rates were estimated using records of administered vaccines from the AIR, which was established in 2016 as an all-of-life expansion of the previous age-restricted Australian Childhood Immunisation Register (ACIR). AEFI reporting is predictably higher in Victoria than other jurisdictions as a result of the higher case ascertainment achieved through the SAEFVIC surveillance model. However, further rate elevations were notable in reporting for non-NIP vaccines such as meningococcal B in children and non-universal vaccines administered in adult age groups. This is anticipated as a consequence of under-reporting for non-NIP administered doses into AIR, widely attributed to a lack of incentive payments for notification.</w:t>
      </w:r>
      <w:r>
        <w:rPr>
          <w:vertAlign w:val="superscript"/>
        </w:rPr>
        <w:t>23</w:t>
      </w:r>
      <w:r>
        <w:t xml:space="preserve"> For this reason vaccine AEFI reporting rate estimations were not presented in this report beyond the infant age group. As AIR becomes established and systems for automated extraction of immunisation data from primary care software expand to include all encounters, regardless of funding drivers (for vaccine administration and/or data recording into AIR), AEFI reporting rate calculations will become more reliable. </w:t>
      </w:r>
    </w:p>
    <w:p w14:paraId="49BA26C7" w14:textId="77777777" w:rsidR="00CE14CC" w:rsidRDefault="00CE14CC" w:rsidP="006C302B">
      <w:r>
        <w:t>SAEFVIC provides vaccine safety insight into several important areas: antenatal; Indigenous Australians; specialist provider programs; and for individual vaccine programs. Routine capture of information on pregnancy and Indigenous status commenced in 2016. AEFI reporting for persons identifying as Indigenous (0.7% of reports in 2018) is commensurate with the Indigenous population in Victoria. However, the number of reports received for immunisations administered in pregnancy was low, at only 8% of reports from adult females. Eighty per cent of adult reports were for females, reflecting the NIP in this adult age group that targets predominantly vaccination in pregnancy and seasonal influenza vaccine in healthcare workers who are also predominantly female. This is an important contribution to AEFI surveillance in pregnancy, which is acknowledged as a global priority especially as new vaccines are introduced to this cohort.</w:t>
      </w:r>
      <w:r>
        <w:rPr>
          <w:vertAlign w:val="superscript"/>
        </w:rPr>
        <w:t>24,25</w:t>
      </w:r>
      <w:r>
        <w:t xml:space="preserve"> Integration with active surveillance, whereby activities can be specifically directed to populations of interest, will further strengthen monitoring of vaccine safety for population subgroups.</w:t>
      </w:r>
      <w:r>
        <w:rPr>
          <w:vertAlign w:val="superscript"/>
        </w:rPr>
        <w:t>26,</w:t>
      </w:r>
      <w:proofErr w:type="gramStart"/>
      <w:r>
        <w:rPr>
          <w:vertAlign w:val="superscript"/>
        </w:rPr>
        <w:t>27</w:t>
      </w:r>
      <w:proofErr w:type="gramEnd"/>
      <w:r>
        <w:t xml:space="preserve"> </w:t>
      </w:r>
    </w:p>
    <w:p w14:paraId="056E7B5F" w14:textId="77777777" w:rsidR="00CE14CC" w:rsidRDefault="00CE14CC" w:rsidP="006C302B">
      <w:r>
        <w:t>The pharmacist administration of vaccines program commenced in 2016 with provisions for seasonal influenza vaccines. The number of AEFI reports received for pharmacist administered vaccines in 2018 was small and predominantly for minor injection site reactions, reflective of findings in the Western Australia pharmacist program that commenced earlier in 2014.</w:t>
      </w:r>
      <w:r>
        <w:rPr>
          <w:vertAlign w:val="superscript"/>
        </w:rPr>
        <w:t>28</w:t>
      </w:r>
      <w:r>
        <w:t xml:space="preserve"> In September 2018 the program was expanded, authorising appropriately trained </w:t>
      </w:r>
      <w:r>
        <w:lastRenderedPageBreak/>
        <w:t xml:space="preserve">and registered pharmacists to administer measles-mumps-rubella (MMR) vaccine, along with influenza and pertussis-containing vaccines, to people aged 16 years and over subject to some exclusions. In 2019 we would expect to see an increase in AEFI reporting for pharmacist administered immunisations as the volume of vaccines administered through this pathway increases. The AIR does not record the immunisation provider so an alternative source of denominator data is required to accurately assess vaccine safety from this program. </w:t>
      </w:r>
    </w:p>
    <w:p w14:paraId="7A7FA9D9" w14:textId="77777777" w:rsidR="00CE14CC" w:rsidRDefault="00CE14CC" w:rsidP="006C302B">
      <w:r>
        <w:t>Global bacillus Calmette–Guérin</w:t>
      </w:r>
      <w:r w:rsidRPr="00D37946">
        <w:rPr>
          <w:rStyle w:val="Emphasis"/>
          <w:b w:val="0"/>
        </w:rPr>
        <w:t xml:space="preserve"> </w:t>
      </w:r>
      <w:r>
        <w:t>(BCG) vaccine supply shortages have resulted in frequent changes in BCG vaccine availability via the national authorised prescriber process, with recent transition to ‘19A regulations’ for approval to supply alternative brands within public health justifications.</w:t>
      </w:r>
      <w:r>
        <w:rPr>
          <w:vertAlign w:val="superscript"/>
        </w:rPr>
        <w:t>13</w:t>
      </w:r>
      <w:r>
        <w:t xml:space="preserve"> There is disparate jurisdictional administration of BCG and reporting on BCG AEFI, with such reporting predominantly from Victoria and Northern Territory; this is further exacerbated by low reporting in 2018, partially related to vaccine availability issues.</w:t>
      </w:r>
      <w:r>
        <w:rPr>
          <w:vertAlign w:val="superscript"/>
        </w:rPr>
        <w:t>29,30</w:t>
      </w:r>
      <w:r>
        <w:t xml:space="preserve"> SAEFVIC is currently comparing reporting by BCG vaccine product to inform future policy decision-making as BCG vaccine availability evolves. </w:t>
      </w:r>
    </w:p>
    <w:p w14:paraId="0EA3EED5" w14:textId="77777777" w:rsidR="00CE14CC" w:rsidRDefault="00CE14CC" w:rsidP="006C302B">
      <w:r>
        <w:t>As the largest contributor to AEFI reporting nationally,</w:t>
      </w:r>
      <w:r>
        <w:rPr>
          <w:vertAlign w:val="superscript"/>
        </w:rPr>
        <w:t>21</w:t>
      </w:r>
      <w:r>
        <w:t xml:space="preserve"> scrutiny of SAEFVIC surveillance data is likely to provide the earliest potential for signal hypothesis generation. In 2018 SAEFVIC referred suggestive signal events for SANE and SIRVA for further consideration by the national regulator (TGA). Additional innovations such as the incorporation of SAEFVIC data into business intelligence software, allowing improved visualisation, characterisation, mapping and statistical transformation, has enhanced our ability to understand and communicate our findings, as well as automating many of these processes to reduce delay. </w:t>
      </w:r>
    </w:p>
    <w:p w14:paraId="420E24BD" w14:textId="77777777" w:rsidR="00CE14CC" w:rsidRDefault="00CE14CC" w:rsidP="006C302B">
      <w:r>
        <w:t>Limitations of passive surveillance remain applicable to SAEFVIC and should be considered when drawing conclusions from these data.</w:t>
      </w:r>
      <w:r>
        <w:rPr>
          <w:rStyle w:val="Strong"/>
        </w:rPr>
        <w:t xml:space="preserve"> </w:t>
      </w:r>
      <w:r>
        <w:t>While reporting is presented as rates per population to provide trend estimation, they cannot be interpreted as AEFI incidence rates due to known ubiquitous under-reporting and biases associated with passive surveillance.</w:t>
      </w:r>
      <w:r>
        <w:rPr>
          <w:vertAlign w:val="superscript"/>
        </w:rPr>
        <w:t>31,32</w:t>
      </w:r>
      <w:r>
        <w:t xml:space="preserve"> Equally, AEFI are reported alongside all vaccines administered at a single encounter and cannot therefore be concluded as attributable to each individual vaccine. Vaccine program delivery scheduling is influenced by school terms, convenience and vaccine distribution constraints. These impact on AEFI reporting patterns and therefore seasonality is not analysed as part of this report. </w:t>
      </w:r>
    </w:p>
    <w:p w14:paraId="33A44BD0" w14:textId="77777777" w:rsidR="00CE14CC" w:rsidRDefault="00CE14CC" w:rsidP="006C302B">
      <w:r>
        <w:t>While passive AEFI surveillance is subject to under-reporting,</w:t>
      </w:r>
      <w:r>
        <w:rPr>
          <w:vertAlign w:val="superscript"/>
        </w:rPr>
        <w:t>31,32</w:t>
      </w:r>
      <w:r>
        <w:t xml:space="preserve"> we believe SAEFVIC has established a strong balance for ascertaining serious AEFI and representative data for common or mild AEFI. Case ascertainment is further supported through inclusion of AEFI notified in Victoria through the active surveillance platforms of PAEDS and </w:t>
      </w:r>
      <w:proofErr w:type="spellStart"/>
      <w:r>
        <w:t>AusVaxSafety</w:t>
      </w:r>
      <w:proofErr w:type="spellEnd"/>
      <w:r>
        <w:t>, the advent of which have improved immunisation safety surveillance in Australia.</w:t>
      </w:r>
      <w:r>
        <w:rPr>
          <w:vertAlign w:val="superscript"/>
        </w:rPr>
        <w:t>33,34</w:t>
      </w:r>
      <w:r>
        <w:t xml:space="preserve"> As an example, </w:t>
      </w:r>
      <w:proofErr w:type="spellStart"/>
      <w:r>
        <w:t>AusVaxSafety</w:t>
      </w:r>
      <w:proofErr w:type="spellEnd"/>
      <w:r>
        <w:t xml:space="preserve"> had almost 74,000 solicited participant-reported outcomes post-influenza vaccination recorded in 2017, with 6.6% reporting adverse events.</w:t>
      </w:r>
      <w:r>
        <w:rPr>
          <w:vertAlign w:val="superscript"/>
        </w:rPr>
        <w:t>34</w:t>
      </w:r>
      <w:r>
        <w:t xml:space="preserve"> One third of the 300 </w:t>
      </w:r>
      <w:proofErr w:type="spellStart"/>
      <w:r>
        <w:t>AusVaxSafety</w:t>
      </w:r>
      <w:proofErr w:type="spellEnd"/>
      <w:r>
        <w:t xml:space="preserve"> sentinel sites were within Victoria.</w:t>
      </w:r>
      <w:r w:rsidR="00E03227">
        <w:rPr>
          <w:rStyle w:val="FootnoteReference"/>
        </w:rPr>
        <w:footnoteReference w:id="8"/>
      </w:r>
      <w:r>
        <w:t xml:space="preserve"> AEFI requiring medical attention identified from the active surveillance pathways are incorporated into the SAEFVIC comprehensive state-based vaccine safety system. However, with only 2.0% of AEFI reported to SAEFVIC acquired through the partner active surveillance systems, effective passive AEFI surveillance remains crucial, particularly to detect rare, unexpected or delayed events post-immunisation. Through integrating surveillance platforms, our aim is to provide a comprehensive vaccine safety system that captures all serious AEFI and supports clinicians and patients through specialist immunisation clinical review where indicated. </w:t>
      </w:r>
    </w:p>
    <w:p w14:paraId="40FD4CA5" w14:textId="77777777" w:rsidR="00CE14CC" w:rsidRDefault="00CE14CC" w:rsidP="006C302B">
      <w:r>
        <w:t xml:space="preserve">SAEFVIC’s unique platform of surveillance integrated with clinical services is further complemented by the MVEC education website, enabling responsive action to emergent vaccine safety issues. For example, enhanced monitoring of Zoster vaccine and analyses of the opportunistic reporting of drug administration errors, facilitated identification of several addressable issues such as Zoster vaccine administration in contraindication to immunocompromised </w:t>
      </w:r>
      <w:r>
        <w:lastRenderedPageBreak/>
        <w:t>persons. This led to development of new educational resources for immunisers.</w:t>
      </w:r>
      <w:r w:rsidR="00E03227">
        <w:rPr>
          <w:rStyle w:val="FootnoteReference"/>
        </w:rPr>
        <w:footnoteReference w:id="9"/>
      </w:r>
      <w:r>
        <w:t xml:space="preserve"> Vaccines continue to be administered in contravention of age and interval guidelines, particularly with influenza vaccines, raising demand for strategies to minimise age and interval violations. </w:t>
      </w:r>
    </w:p>
    <w:p w14:paraId="507226DD" w14:textId="77777777" w:rsidR="00CE14CC" w:rsidRDefault="00CE14CC" w:rsidP="006C302B">
      <w:r>
        <w:t>The facility of the MVEC website for reactive and responsive publication and dissemination of resources meets the needs of immunisers and the increasing demand of community for directly accessible information.</w:t>
      </w:r>
      <w:r>
        <w:rPr>
          <w:vertAlign w:val="superscript"/>
        </w:rPr>
        <w:t>35</w:t>
      </w:r>
      <w:r>
        <w:t xml:space="preserve"> </w:t>
      </w:r>
    </w:p>
    <w:p w14:paraId="4649CCB8" w14:textId="77777777" w:rsidR="00CE14CC" w:rsidRDefault="00CE14CC" w:rsidP="006C302B">
      <w:r>
        <w:t xml:space="preserve">SAEFVIC continues to evolve as a leader in AEFI surveillance, providing a broad spectrum of pharmacovigilance services to community, immunisation providers and regulators. The SAEFVIC platform is now adoptable by other jurisdictions as an independent data silo or with collaborative reporting and analytic services. Goals for the future are to formalise robust amalgamated processes for signal detection and to substantiate Victorian and national clinical support services through MVEC and AEFI-CAN. Ongoing optimisation of data visualisation and signal detection algorithms incorporating not just AEFI reports but also alternate health datasets will help ensure jurisdictional and national immunisation programs remain among the safest in the world. </w:t>
      </w:r>
    </w:p>
    <w:p w14:paraId="183F7FEB" w14:textId="77777777" w:rsidR="00CE14CC" w:rsidRPr="006C302B" w:rsidRDefault="00CE14CC" w:rsidP="006C302B">
      <w:pPr>
        <w:pStyle w:val="Heading1"/>
      </w:pPr>
      <w:r w:rsidRPr="006C302B">
        <w:t xml:space="preserve">Conclusion </w:t>
      </w:r>
    </w:p>
    <w:p w14:paraId="571B2260" w14:textId="77777777" w:rsidR="00CE14CC" w:rsidRDefault="00CE14CC" w:rsidP="006C302B">
      <w:r>
        <w:t xml:space="preserve">SAEFVIC received 26.8 per 100,000 population reports in 2018, a tripling of the annual reporting rate since its inception, with no unexpected increases in the frequency or severity of AEFI reporting. Potential signal events were closely monitored with serious adverse neurological events (SANE) and SIRVA referred for national consideration but with no ongoing signal verified. Passive surveillance is useful for informing vaccine safety pharmacovigilance and for detecting potential safety signals. Integration with clinical services enhances the capacity for signal investigation and provides extended opportunity for collaborations to enhance pharmacovigilance nationally. </w:t>
      </w:r>
    </w:p>
    <w:p w14:paraId="4702AC12" w14:textId="77777777" w:rsidR="00CE14CC" w:rsidRPr="006C302B" w:rsidRDefault="00CE14CC" w:rsidP="006C302B">
      <w:pPr>
        <w:pStyle w:val="Heading1"/>
      </w:pPr>
      <w:r w:rsidRPr="006C302B">
        <w:t xml:space="preserve">Author details </w:t>
      </w:r>
    </w:p>
    <w:p w14:paraId="4C8FF74B" w14:textId="77777777" w:rsidR="00CE14CC" w:rsidRDefault="00CE14CC" w:rsidP="006C302B">
      <w:r>
        <w:t>Hazel J Clothier</w:t>
      </w:r>
      <w:r>
        <w:rPr>
          <w:vertAlign w:val="superscript"/>
        </w:rPr>
        <w:t>1,2,3</w:t>
      </w:r>
      <w:r>
        <w:t xml:space="preserve"> Jock Lawrie</w:t>
      </w:r>
      <w:r>
        <w:rPr>
          <w:vertAlign w:val="superscript"/>
        </w:rPr>
        <w:t>1,2</w:t>
      </w:r>
      <w:r>
        <w:t xml:space="preserve"> Georgina Lewis</w:t>
      </w:r>
      <w:r>
        <w:rPr>
          <w:vertAlign w:val="superscript"/>
        </w:rPr>
        <w:t>1</w:t>
      </w:r>
      <w:r>
        <w:t xml:space="preserve"> Melissa Russell</w:t>
      </w:r>
      <w:r>
        <w:rPr>
          <w:vertAlign w:val="superscript"/>
        </w:rPr>
        <w:t>3</w:t>
      </w:r>
      <w:r>
        <w:t xml:space="preserve"> Nigel W Crawford</w:t>
      </w:r>
      <w:r>
        <w:rPr>
          <w:vertAlign w:val="superscript"/>
        </w:rPr>
        <w:t>1,4,5</w:t>
      </w:r>
      <w:r>
        <w:t xml:space="preserve"> Jim P Buttery</w:t>
      </w:r>
      <w:r>
        <w:rPr>
          <w:vertAlign w:val="superscript"/>
        </w:rPr>
        <w:t>1,2,6</w:t>
      </w:r>
      <w:r>
        <w:t xml:space="preserve"> </w:t>
      </w:r>
    </w:p>
    <w:p w14:paraId="4A0EE065" w14:textId="77777777" w:rsidR="00CE14CC" w:rsidRPr="006C302B" w:rsidRDefault="00CE14CC" w:rsidP="006C302B">
      <w:pPr>
        <w:pStyle w:val="ListParagraph"/>
        <w:numPr>
          <w:ilvl w:val="0"/>
          <w:numId w:val="9"/>
        </w:numPr>
        <w:rPr>
          <w:rFonts w:eastAsia="Times New Roman"/>
        </w:rPr>
      </w:pPr>
      <w:r w:rsidRPr="006C302B">
        <w:rPr>
          <w:rFonts w:eastAsia="Times New Roman"/>
        </w:rPr>
        <w:t xml:space="preserve">SAEFVIC, Murdoch Children’s Research Institute, Melbourne, Victoria, Australia </w:t>
      </w:r>
    </w:p>
    <w:p w14:paraId="37C36EF7" w14:textId="77777777" w:rsidR="00CE14CC" w:rsidRPr="006C302B" w:rsidRDefault="00CE14CC" w:rsidP="006C302B">
      <w:pPr>
        <w:pStyle w:val="ListParagraph"/>
        <w:numPr>
          <w:ilvl w:val="0"/>
          <w:numId w:val="9"/>
        </w:numPr>
        <w:rPr>
          <w:rFonts w:eastAsia="Times New Roman"/>
        </w:rPr>
      </w:pPr>
      <w:r w:rsidRPr="006C302B">
        <w:rPr>
          <w:rFonts w:eastAsia="Times New Roman"/>
        </w:rPr>
        <w:t xml:space="preserve">Monash Centre for Health Research Implementation, Monash University, Clayton, Victoria, Australia </w:t>
      </w:r>
    </w:p>
    <w:p w14:paraId="5F84BF43" w14:textId="77777777" w:rsidR="00CE14CC" w:rsidRPr="006C302B" w:rsidRDefault="00CE14CC" w:rsidP="006C302B">
      <w:pPr>
        <w:pStyle w:val="ListParagraph"/>
        <w:numPr>
          <w:ilvl w:val="0"/>
          <w:numId w:val="9"/>
        </w:numPr>
        <w:rPr>
          <w:rFonts w:eastAsia="Times New Roman"/>
        </w:rPr>
      </w:pPr>
      <w:r w:rsidRPr="006C302B">
        <w:rPr>
          <w:rFonts w:eastAsia="Times New Roman"/>
        </w:rPr>
        <w:t xml:space="preserve">School of Population &amp; Global Health, University of Melbourne, Parkville, Victoria, Australia </w:t>
      </w:r>
    </w:p>
    <w:p w14:paraId="02AA5CC3" w14:textId="77777777" w:rsidR="00CE14CC" w:rsidRPr="006C302B" w:rsidRDefault="00CE14CC" w:rsidP="006C302B">
      <w:pPr>
        <w:pStyle w:val="ListParagraph"/>
        <w:numPr>
          <w:ilvl w:val="0"/>
          <w:numId w:val="9"/>
        </w:numPr>
        <w:rPr>
          <w:rFonts w:eastAsia="Times New Roman"/>
        </w:rPr>
      </w:pPr>
      <w:r w:rsidRPr="006C302B">
        <w:rPr>
          <w:rFonts w:eastAsia="Times New Roman"/>
        </w:rPr>
        <w:t xml:space="preserve">Immunisation Service, Royal Children’s Hospital, Parkville, Victoria, Australia </w:t>
      </w:r>
    </w:p>
    <w:p w14:paraId="5CB55C23" w14:textId="77777777" w:rsidR="00CE14CC" w:rsidRPr="006C302B" w:rsidRDefault="00CE14CC" w:rsidP="006C302B">
      <w:pPr>
        <w:pStyle w:val="ListParagraph"/>
        <w:numPr>
          <w:ilvl w:val="0"/>
          <w:numId w:val="9"/>
        </w:numPr>
        <w:rPr>
          <w:rFonts w:eastAsia="Times New Roman"/>
        </w:rPr>
      </w:pPr>
      <w:r w:rsidRPr="006C302B">
        <w:rPr>
          <w:rFonts w:eastAsia="Times New Roman"/>
        </w:rPr>
        <w:t xml:space="preserve">Department Paediatrics, University of Melbourne, Parkville, Victoria, Australia </w:t>
      </w:r>
    </w:p>
    <w:p w14:paraId="349C8681" w14:textId="77777777" w:rsidR="00CE14CC" w:rsidRPr="006C302B" w:rsidRDefault="00CE14CC" w:rsidP="006C302B">
      <w:pPr>
        <w:pStyle w:val="ListParagraph"/>
        <w:numPr>
          <w:ilvl w:val="0"/>
          <w:numId w:val="9"/>
        </w:numPr>
        <w:rPr>
          <w:rFonts w:eastAsia="Times New Roman"/>
        </w:rPr>
      </w:pPr>
      <w:r w:rsidRPr="006C302B">
        <w:rPr>
          <w:rFonts w:eastAsia="Times New Roman"/>
        </w:rPr>
        <w:t xml:space="preserve">Monash Immunisation, Monash Health, Clayton, Victoria, Australia </w:t>
      </w:r>
    </w:p>
    <w:p w14:paraId="73E0E0E5" w14:textId="77777777" w:rsidR="00CE14CC" w:rsidRPr="005875F1" w:rsidRDefault="00CE14CC" w:rsidP="005875F1">
      <w:pPr>
        <w:pStyle w:val="Heading2"/>
      </w:pPr>
      <w:r w:rsidRPr="005875F1">
        <w:t xml:space="preserve">Corresponding author </w:t>
      </w:r>
    </w:p>
    <w:p w14:paraId="1520AFD3" w14:textId="77777777" w:rsidR="00CE14CC" w:rsidRDefault="00CE14CC" w:rsidP="006C302B">
      <w:r>
        <w:t>Hazel J Clothier c/o SAEFVIC, Royal Children’s Hospital, Flemington Road</w:t>
      </w:r>
      <w:r w:rsidR="00250F1D">
        <w:t xml:space="preserve">, </w:t>
      </w:r>
      <w:proofErr w:type="spellStart"/>
      <w:r w:rsidR="00250F1D">
        <w:t>Parkvill</w:t>
      </w:r>
      <w:proofErr w:type="spellEnd"/>
      <w:r w:rsidR="00250F1D">
        <w:t>, Victoria, Australia</w:t>
      </w:r>
      <w:r w:rsidR="00250F1D">
        <w:br/>
      </w:r>
      <w:r w:rsidR="00250F1D" w:rsidRPr="00FE082E">
        <w:rPr>
          <w:b/>
        </w:rPr>
        <w:t>Phone:</w:t>
      </w:r>
      <w:r w:rsidR="00250F1D">
        <w:t xml:space="preserve"> 0421 900 113</w:t>
      </w:r>
      <w:r w:rsidR="00250F1D">
        <w:br/>
      </w:r>
      <w:r w:rsidRPr="00FE082E">
        <w:rPr>
          <w:b/>
        </w:rPr>
        <w:t>Email:</w:t>
      </w:r>
      <w:r>
        <w:t xml:space="preserve"> hazel.clothier@mcri.edu.au </w:t>
      </w:r>
    </w:p>
    <w:p w14:paraId="2205E43B" w14:textId="77777777" w:rsidR="00CE14CC" w:rsidRPr="005875F1" w:rsidRDefault="00CE14CC" w:rsidP="005875F1">
      <w:pPr>
        <w:pStyle w:val="Heading1"/>
      </w:pPr>
      <w:r w:rsidRPr="005875F1">
        <w:t xml:space="preserve">References </w:t>
      </w:r>
    </w:p>
    <w:p w14:paraId="57117636" w14:textId="77777777" w:rsidR="00CE14CC" w:rsidRPr="006C302B" w:rsidRDefault="00CE14CC" w:rsidP="006C302B">
      <w:pPr>
        <w:pStyle w:val="ListParagraph"/>
        <w:numPr>
          <w:ilvl w:val="0"/>
          <w:numId w:val="10"/>
        </w:numPr>
        <w:rPr>
          <w:rFonts w:eastAsia="Times New Roman"/>
        </w:rPr>
      </w:pPr>
      <w:r w:rsidRPr="006C302B">
        <w:rPr>
          <w:rFonts w:eastAsia="Times New Roman"/>
        </w:rPr>
        <w:lastRenderedPageBreak/>
        <w:t xml:space="preserve">Clothier HJ, Crawford NW, Kempe A, Buttery JP. Surveillance of adverse events following immunisation: The model of SAEFVIC, Victoria. </w:t>
      </w:r>
      <w:r w:rsidRPr="00D37946">
        <w:rPr>
          <w:rStyle w:val="Emphasis"/>
          <w:rFonts w:eastAsia="Times New Roman"/>
          <w:b w:val="0"/>
        </w:rPr>
        <w:t>Commun Dis Intell Q Rep</w:t>
      </w:r>
      <w:r w:rsidRPr="006C302B">
        <w:rPr>
          <w:rFonts w:eastAsia="Times New Roman"/>
        </w:rPr>
        <w:t xml:space="preserve">. 2011;35(4):294–8. </w:t>
      </w:r>
    </w:p>
    <w:p w14:paraId="53F0DA18" w14:textId="42CF1720" w:rsidR="00CE14CC" w:rsidRPr="006C302B" w:rsidRDefault="00CE14CC" w:rsidP="006C302B">
      <w:pPr>
        <w:pStyle w:val="ListParagraph"/>
        <w:numPr>
          <w:ilvl w:val="0"/>
          <w:numId w:val="10"/>
        </w:numPr>
        <w:rPr>
          <w:rFonts w:eastAsia="Times New Roman"/>
        </w:rPr>
      </w:pPr>
      <w:r w:rsidRPr="006C302B">
        <w:rPr>
          <w:rFonts w:eastAsia="Times New Roman"/>
        </w:rPr>
        <w:t xml:space="preserve">Clothier HJ, Crawford NW, Russell M, Kelly H, Buttery JP. Evaluation of ‘SAEFVIC’, a pharmacovigilance surveillance scheme for the spontaneous reporting of adverse events following immunisation in Victoria, Australia. </w:t>
      </w:r>
      <w:r w:rsidRPr="00D37946">
        <w:rPr>
          <w:rStyle w:val="Emphasis"/>
          <w:rFonts w:eastAsia="Times New Roman"/>
          <w:b w:val="0"/>
        </w:rPr>
        <w:t xml:space="preserve">Drug </w:t>
      </w:r>
      <w:proofErr w:type="spellStart"/>
      <w:r w:rsidRPr="00D37946">
        <w:rPr>
          <w:rStyle w:val="Emphasis"/>
          <w:rFonts w:eastAsia="Times New Roman"/>
          <w:b w:val="0"/>
        </w:rPr>
        <w:t>Saf</w:t>
      </w:r>
      <w:proofErr w:type="spellEnd"/>
      <w:r w:rsidRPr="006C302B">
        <w:rPr>
          <w:rFonts w:eastAsia="Times New Roman"/>
        </w:rPr>
        <w:t xml:space="preserve">. 2017;40(6):483–95. doi: https://doi.org/10.1007/s40264-017-0520-7. </w:t>
      </w:r>
    </w:p>
    <w:p w14:paraId="59EBBACF"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Melbourne Vaccine Education Centre Melbourne(MVEC). [Internet.] Melbourne: SAEFVIC, MVEC; 2020. [Accessed on 3 March 2020.] Available from: https://mvec.mcri.edu.au/ . </w:t>
      </w:r>
    </w:p>
    <w:p w14:paraId="436A8D36"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Clothier HJ, Selvaraj G, McMinn A, Lewis G, Crawford NW, Buttery JP. SAEFVIC: Surveillance of adverse events following immunisation (AEFI) in Victoria, 2012. </w:t>
      </w:r>
      <w:r w:rsidRPr="00D37946">
        <w:rPr>
          <w:rStyle w:val="Emphasis"/>
          <w:rFonts w:eastAsia="Times New Roman"/>
          <w:b w:val="0"/>
        </w:rPr>
        <w:t>Vic Infect Dis Bull</w:t>
      </w:r>
      <w:r w:rsidRPr="006C302B">
        <w:rPr>
          <w:rFonts w:eastAsia="Times New Roman"/>
        </w:rPr>
        <w:t xml:space="preserve">. 2013;16(4):2–9. </w:t>
      </w:r>
    </w:p>
    <w:p w14:paraId="69B82DAD" w14:textId="77777777" w:rsidR="00CE14CC" w:rsidRPr="006C302B" w:rsidRDefault="00CE14CC" w:rsidP="006C302B">
      <w:pPr>
        <w:pStyle w:val="ListParagraph"/>
        <w:numPr>
          <w:ilvl w:val="0"/>
          <w:numId w:val="10"/>
        </w:numPr>
        <w:rPr>
          <w:rFonts w:eastAsia="Times New Roman"/>
        </w:rPr>
      </w:pPr>
      <w:r w:rsidRPr="006C302B">
        <w:rPr>
          <w:rFonts w:eastAsia="Times New Roman"/>
        </w:rPr>
        <w:t>World Health Organization (WHO) Collaborating Centre for International Drug Monitoring. Uppsala monitoring centre. [Internet.] Uppsala: WHO; 2019. [Accessed on 25 July 2019.] Available</w:t>
      </w:r>
      <w:r w:rsidR="00E03227">
        <w:rPr>
          <w:rFonts w:eastAsia="Times New Roman"/>
        </w:rPr>
        <w:t xml:space="preserve"> from: https://www.who-umc.org/</w:t>
      </w:r>
      <w:r w:rsidRPr="006C302B">
        <w:rPr>
          <w:rFonts w:eastAsia="Times New Roman"/>
        </w:rPr>
        <w:t xml:space="preserve">. </w:t>
      </w:r>
    </w:p>
    <w:p w14:paraId="59BD369D"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Cross GB, </w:t>
      </w:r>
      <w:proofErr w:type="spellStart"/>
      <w:r w:rsidRPr="006C302B">
        <w:rPr>
          <w:rFonts w:eastAsia="Times New Roman"/>
        </w:rPr>
        <w:t>Moghaddas</w:t>
      </w:r>
      <w:proofErr w:type="spellEnd"/>
      <w:r w:rsidRPr="006C302B">
        <w:rPr>
          <w:rFonts w:eastAsia="Times New Roman"/>
        </w:rPr>
        <w:t xml:space="preserve"> J, Buttery J, Ayoub S, </w:t>
      </w:r>
      <w:proofErr w:type="spellStart"/>
      <w:r w:rsidRPr="006C302B">
        <w:rPr>
          <w:rFonts w:eastAsia="Times New Roman"/>
        </w:rPr>
        <w:t>Korman</w:t>
      </w:r>
      <w:proofErr w:type="spellEnd"/>
      <w:r w:rsidRPr="006C302B">
        <w:rPr>
          <w:rFonts w:eastAsia="Times New Roman"/>
        </w:rPr>
        <w:t xml:space="preserve"> TM. Don’t aim too high: avoiding shoulder injury related to vaccine administration. </w:t>
      </w:r>
      <w:r w:rsidRPr="00D37946">
        <w:rPr>
          <w:rStyle w:val="Emphasis"/>
          <w:rFonts w:eastAsia="Times New Roman"/>
          <w:b w:val="0"/>
        </w:rPr>
        <w:t>Aust Fam Physician</w:t>
      </w:r>
      <w:r w:rsidRPr="006C302B">
        <w:rPr>
          <w:rFonts w:eastAsia="Times New Roman"/>
        </w:rPr>
        <w:t xml:space="preserve">. 2016;45(5):303–6. </w:t>
      </w:r>
    </w:p>
    <w:p w14:paraId="4AE50D09"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National Centre for Immunisation Research &amp; Surveillance (NCIRS). </w:t>
      </w:r>
      <w:proofErr w:type="spellStart"/>
      <w:r w:rsidRPr="006C302B">
        <w:rPr>
          <w:rFonts w:eastAsia="Times New Roman"/>
        </w:rPr>
        <w:t>AusVaxSafety</w:t>
      </w:r>
      <w:proofErr w:type="spellEnd"/>
      <w:r w:rsidRPr="006C302B">
        <w:rPr>
          <w:rFonts w:eastAsia="Times New Roman"/>
        </w:rPr>
        <w:t xml:space="preserve">. [Internet.] Sydney: NCIRS; 2016. [Accessed in January 2017.] Available from: http://www.ncirs.edu.au/vaccine-safety/ausvaxsafety/ . </w:t>
      </w:r>
    </w:p>
    <w:p w14:paraId="5031F09B"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Australian Technical Advisory Group on Immunisation (ATAGI). </w:t>
      </w:r>
      <w:r w:rsidRPr="00D37946">
        <w:rPr>
          <w:rStyle w:val="Emphasis"/>
          <w:rFonts w:eastAsia="Times New Roman"/>
          <w:b w:val="0"/>
        </w:rPr>
        <w:t>Australian Immunisation Handbook</w:t>
      </w:r>
      <w:r w:rsidRPr="006C302B">
        <w:rPr>
          <w:rFonts w:eastAsia="Times New Roman"/>
        </w:rPr>
        <w:t xml:space="preserve">. Canberra: Australian Government Department of Health; 2018. Available from: https://immunisationhandbook.health.gov.au/. </w:t>
      </w:r>
    </w:p>
    <w:p w14:paraId="26E83816" w14:textId="77777777" w:rsidR="00CE14CC" w:rsidRPr="006C302B" w:rsidRDefault="00CE14CC" w:rsidP="006C302B">
      <w:pPr>
        <w:pStyle w:val="ListParagraph"/>
        <w:numPr>
          <w:ilvl w:val="0"/>
          <w:numId w:val="10"/>
        </w:numPr>
        <w:rPr>
          <w:rFonts w:eastAsia="Times New Roman"/>
        </w:rPr>
      </w:pPr>
      <w:r w:rsidRPr="006C302B">
        <w:rPr>
          <w:rFonts w:eastAsia="Times New Roman"/>
        </w:rPr>
        <w:t>Microsoft. Power BI. [Software.] Richmond: Microsoft Corporation; 2019. [Accessed on 27 June 2019.] Available from: https</w:t>
      </w:r>
      <w:r w:rsidR="00E03227">
        <w:rPr>
          <w:rFonts w:eastAsia="Times New Roman"/>
        </w:rPr>
        <w:t>://powerbi.microsoft.com/en-us/</w:t>
      </w:r>
      <w:r w:rsidRPr="006C302B">
        <w:rPr>
          <w:rFonts w:eastAsia="Times New Roman"/>
        </w:rPr>
        <w:t xml:space="preserve">. </w:t>
      </w:r>
    </w:p>
    <w:p w14:paraId="35BC6C4D"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Australian Bureau of Statistics. [Internet.] Canberra: Australian Government, Australian Bureau of Statistics; 2019. [Accessed on 10 September 2019.] Available from: https://www.abs.gov.au/websitedbs/D3310114.nsf/home/Home. </w:t>
      </w:r>
    </w:p>
    <w:p w14:paraId="18938451"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Clothier HJ, Selvaraj G, Easton ML, Lewis G, Crawford NW, Buttery JP. Consumer reporting of adverse events following immunization. </w:t>
      </w:r>
      <w:r w:rsidRPr="00D37946">
        <w:rPr>
          <w:rStyle w:val="Emphasis"/>
          <w:rFonts w:eastAsia="Times New Roman"/>
          <w:b w:val="0"/>
        </w:rPr>
        <w:t xml:space="preserve">Hum </w:t>
      </w:r>
      <w:proofErr w:type="spellStart"/>
      <w:r w:rsidRPr="00D37946">
        <w:rPr>
          <w:rStyle w:val="Emphasis"/>
          <w:rFonts w:eastAsia="Times New Roman"/>
          <w:b w:val="0"/>
        </w:rPr>
        <w:t>Vaccin</w:t>
      </w:r>
      <w:proofErr w:type="spellEnd"/>
      <w:r w:rsidRPr="00D37946">
        <w:rPr>
          <w:rStyle w:val="Emphasis"/>
          <w:rFonts w:eastAsia="Times New Roman"/>
          <w:b w:val="0"/>
        </w:rPr>
        <w:t xml:space="preserve"> </w:t>
      </w:r>
      <w:proofErr w:type="spellStart"/>
      <w:r w:rsidRPr="00D37946">
        <w:rPr>
          <w:rStyle w:val="Emphasis"/>
          <w:rFonts w:eastAsia="Times New Roman"/>
          <w:b w:val="0"/>
        </w:rPr>
        <w:t>Immunother</w:t>
      </w:r>
      <w:proofErr w:type="spellEnd"/>
      <w:r w:rsidRPr="006C302B">
        <w:rPr>
          <w:rFonts w:eastAsia="Times New Roman"/>
        </w:rPr>
        <w:t xml:space="preserve">. 2014;10(12):3726–30. doi: https://doi.org/10.4161/hv.34369. </w:t>
      </w:r>
    </w:p>
    <w:p w14:paraId="6E47CFB2"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Hoffman KB, </w:t>
      </w:r>
      <w:proofErr w:type="spellStart"/>
      <w:r w:rsidRPr="006C302B">
        <w:rPr>
          <w:rFonts w:eastAsia="Times New Roman"/>
        </w:rPr>
        <w:t>Dimbil</w:t>
      </w:r>
      <w:proofErr w:type="spellEnd"/>
      <w:r w:rsidRPr="006C302B">
        <w:rPr>
          <w:rFonts w:eastAsia="Times New Roman"/>
        </w:rPr>
        <w:t xml:space="preserve"> M, Erdman CB, </w:t>
      </w:r>
      <w:proofErr w:type="spellStart"/>
      <w:r w:rsidRPr="006C302B">
        <w:rPr>
          <w:rFonts w:eastAsia="Times New Roman"/>
        </w:rPr>
        <w:t>Tatonetti</w:t>
      </w:r>
      <w:proofErr w:type="spellEnd"/>
      <w:r w:rsidRPr="006C302B">
        <w:rPr>
          <w:rFonts w:eastAsia="Times New Roman"/>
        </w:rPr>
        <w:t xml:space="preserve"> NP, Overstreet BM. The Weber effect and the United States Food and Drug Administration’s adverse event reporting system (FAERS): analysis of sixty-two drugs approved from 2006 to 2010. </w:t>
      </w:r>
      <w:r w:rsidRPr="00D37946">
        <w:rPr>
          <w:rStyle w:val="Emphasis"/>
          <w:rFonts w:eastAsia="Times New Roman"/>
          <w:b w:val="0"/>
        </w:rPr>
        <w:t xml:space="preserve">Drug </w:t>
      </w:r>
      <w:proofErr w:type="spellStart"/>
      <w:r w:rsidRPr="00D37946">
        <w:rPr>
          <w:rStyle w:val="Emphasis"/>
          <w:rFonts w:eastAsia="Times New Roman"/>
          <w:b w:val="0"/>
        </w:rPr>
        <w:t>Saf</w:t>
      </w:r>
      <w:proofErr w:type="spellEnd"/>
      <w:r w:rsidRPr="006C302B">
        <w:rPr>
          <w:rFonts w:eastAsia="Times New Roman"/>
        </w:rPr>
        <w:t xml:space="preserve">. 2014;37(4):283–94. doi: https://doi.org/10.1007/s40264-014-0150-2. </w:t>
      </w:r>
    </w:p>
    <w:p w14:paraId="53F7C950"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Therapeutic Goods Administration (TGA). </w:t>
      </w:r>
      <w:r w:rsidRPr="00D37946">
        <w:rPr>
          <w:rStyle w:val="Emphasis"/>
          <w:rFonts w:eastAsia="Times New Roman"/>
          <w:b w:val="0"/>
        </w:rPr>
        <w:t>Section 19A: Guidance for industry. Supplying substitute medicines when registered medicines are unavailable or in short supply. Version 1.1, October 2017</w:t>
      </w:r>
      <w:r w:rsidRPr="006C302B">
        <w:rPr>
          <w:rFonts w:eastAsia="Times New Roman"/>
        </w:rPr>
        <w:t>. Canberra: Australian Government Department of Health, TGA; 2018. [Accessed on 25 September 2019.] Available from: https://www.tga.gov.au/publicatio</w:t>
      </w:r>
      <w:r w:rsidR="00E03227">
        <w:rPr>
          <w:rFonts w:eastAsia="Times New Roman"/>
        </w:rPr>
        <w:t>n/section-19a-guidance-industry</w:t>
      </w:r>
      <w:r w:rsidRPr="006C302B">
        <w:rPr>
          <w:rFonts w:eastAsia="Times New Roman"/>
        </w:rPr>
        <w:t xml:space="preserve">. </w:t>
      </w:r>
    </w:p>
    <w:p w14:paraId="63F2E065"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Alexander KE, Tong PL, Macartney K, Beresford R, Sheppeard V, Gupta M. Live zoster vaccination in an immunocompromised patient leading to death secondary to disseminated varicella zoster virus infection. </w:t>
      </w:r>
      <w:r w:rsidRPr="00D37946">
        <w:rPr>
          <w:rStyle w:val="Emphasis"/>
          <w:rFonts w:eastAsia="Times New Roman"/>
          <w:b w:val="0"/>
        </w:rPr>
        <w:t>Vaccine</w:t>
      </w:r>
      <w:r w:rsidRPr="006C302B">
        <w:rPr>
          <w:rFonts w:eastAsia="Times New Roman"/>
        </w:rPr>
        <w:t xml:space="preserve">. 2018;36(27):3890–3. doi: https://doi.org/10.1016/j.vaccine.2018.05.078. </w:t>
      </w:r>
    </w:p>
    <w:p w14:paraId="779776D4" w14:textId="77777777" w:rsidR="00CE14CC" w:rsidRPr="006C302B" w:rsidRDefault="00CE14CC" w:rsidP="006C302B">
      <w:pPr>
        <w:pStyle w:val="ListParagraph"/>
        <w:numPr>
          <w:ilvl w:val="0"/>
          <w:numId w:val="10"/>
        </w:numPr>
        <w:rPr>
          <w:rFonts w:eastAsia="Times New Roman"/>
        </w:rPr>
      </w:pPr>
      <w:r w:rsidRPr="006C302B">
        <w:rPr>
          <w:rFonts w:eastAsia="Times New Roman"/>
        </w:rPr>
        <w:t>Crawford NW, Cheng A, Andrews N, Charles PG, Clothier HJ, Day B et al</w:t>
      </w:r>
      <w:r w:rsidRPr="00D37946">
        <w:rPr>
          <w:rStyle w:val="Emphasis"/>
          <w:rFonts w:eastAsia="Times New Roman"/>
          <w:b w:val="0"/>
        </w:rPr>
        <w:t>.</w:t>
      </w:r>
      <w:r w:rsidRPr="006C302B">
        <w:rPr>
          <w:rFonts w:eastAsia="Times New Roman"/>
        </w:rPr>
        <w:t xml:space="preserve"> Guillain-Barré syndrome following pandemic (H1N1) 2009 Influenza A immunisation in Victoria: a self-controlled case series. </w:t>
      </w:r>
      <w:r w:rsidRPr="00D37946">
        <w:rPr>
          <w:rStyle w:val="Emphasis"/>
          <w:rFonts w:eastAsia="Times New Roman"/>
          <w:b w:val="0"/>
        </w:rPr>
        <w:t>Med J Aust</w:t>
      </w:r>
      <w:r w:rsidRPr="006C302B">
        <w:rPr>
          <w:rFonts w:eastAsia="Times New Roman"/>
        </w:rPr>
        <w:t xml:space="preserve">. 2012;197(10):574–8. </w:t>
      </w:r>
    </w:p>
    <w:p w14:paraId="08B691B0"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Clothier HJ, Lee KJ, Sundararajan V, Buttery JP, Crawford NW. Human papillomavirus vaccine in boys: background rates of potential adverse events. </w:t>
      </w:r>
      <w:r w:rsidRPr="00D37946">
        <w:rPr>
          <w:rStyle w:val="Emphasis"/>
          <w:rFonts w:eastAsia="Times New Roman"/>
          <w:b w:val="0"/>
        </w:rPr>
        <w:t>Med J Aust</w:t>
      </w:r>
      <w:r w:rsidRPr="006C302B">
        <w:rPr>
          <w:rFonts w:eastAsia="Times New Roman"/>
        </w:rPr>
        <w:t xml:space="preserve">. 2013;198(10):554–8. </w:t>
      </w:r>
    </w:p>
    <w:p w14:paraId="5EFFCB5A"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Williams SE, </w:t>
      </w:r>
      <w:proofErr w:type="spellStart"/>
      <w:r w:rsidRPr="006C302B">
        <w:rPr>
          <w:rFonts w:eastAsia="Times New Roman"/>
        </w:rPr>
        <w:t>Pahud</w:t>
      </w:r>
      <w:proofErr w:type="spellEnd"/>
      <w:r w:rsidRPr="006C302B">
        <w:rPr>
          <w:rFonts w:eastAsia="Times New Roman"/>
        </w:rPr>
        <w:t xml:space="preserve"> BA, </w:t>
      </w:r>
      <w:proofErr w:type="spellStart"/>
      <w:r w:rsidRPr="006C302B">
        <w:rPr>
          <w:rFonts w:eastAsia="Times New Roman"/>
        </w:rPr>
        <w:t>Vellozzi</w:t>
      </w:r>
      <w:proofErr w:type="spellEnd"/>
      <w:r w:rsidRPr="006C302B">
        <w:rPr>
          <w:rFonts w:eastAsia="Times New Roman"/>
        </w:rPr>
        <w:t xml:space="preserve"> C, Donofrio PD, Dekker CL, Halsey N et al</w:t>
      </w:r>
      <w:r w:rsidRPr="00D37946">
        <w:rPr>
          <w:rStyle w:val="Emphasis"/>
          <w:rFonts w:eastAsia="Times New Roman"/>
          <w:b w:val="0"/>
        </w:rPr>
        <w:t>.</w:t>
      </w:r>
      <w:r w:rsidRPr="006C302B">
        <w:rPr>
          <w:rFonts w:eastAsia="Times New Roman"/>
        </w:rPr>
        <w:t xml:space="preserve"> Causality assessment of serious neurologic adverse events following 2009 H1N1 vaccination. </w:t>
      </w:r>
      <w:r w:rsidRPr="00D37946">
        <w:rPr>
          <w:rStyle w:val="Emphasis"/>
          <w:rFonts w:eastAsia="Times New Roman"/>
          <w:b w:val="0"/>
        </w:rPr>
        <w:t>Vaccine</w:t>
      </w:r>
      <w:r w:rsidRPr="006C302B">
        <w:rPr>
          <w:rFonts w:eastAsia="Times New Roman"/>
        </w:rPr>
        <w:t xml:space="preserve">. 2011;29(46):8302–8. doi: https://doi.org/10.1016/j.vaccine.2011.08.093. </w:t>
      </w:r>
    </w:p>
    <w:p w14:paraId="1629214D" w14:textId="77777777" w:rsidR="00CE14CC" w:rsidRPr="006C302B" w:rsidRDefault="00CE14CC" w:rsidP="006C302B">
      <w:pPr>
        <w:pStyle w:val="ListParagraph"/>
        <w:numPr>
          <w:ilvl w:val="0"/>
          <w:numId w:val="10"/>
        </w:numPr>
        <w:rPr>
          <w:rFonts w:eastAsia="Times New Roman"/>
        </w:rPr>
      </w:pPr>
      <w:r w:rsidRPr="006C302B">
        <w:rPr>
          <w:rFonts w:eastAsia="Times New Roman"/>
        </w:rPr>
        <w:lastRenderedPageBreak/>
        <w:t>TGA. Advisory committee on vaccines meeting statement, meeting 11, 5 December 2018. [Internet.] Canberra: Australian Government Department of Health, TGA; 2018. [Accessed on 3 July 2019.] Available from: https://www.tga.gov.au/committee-meeting-info/acv-meeting-state</w:t>
      </w:r>
      <w:r w:rsidR="00E03227">
        <w:rPr>
          <w:rFonts w:eastAsia="Times New Roman"/>
        </w:rPr>
        <w:t>ment-meeting-11-5-december-2018</w:t>
      </w:r>
      <w:r w:rsidRPr="006C302B">
        <w:rPr>
          <w:rFonts w:eastAsia="Times New Roman"/>
        </w:rPr>
        <w:t xml:space="preserve">. </w:t>
      </w:r>
    </w:p>
    <w:p w14:paraId="42EF4623"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Victorian Government. No jab, no play. [Internet.] Melbourne: Victorian Government Department of Health and Human Services; 2019. [Accessed on 25 September 2019.] Available from: https://www2.health.vic.gov.au/public-health/immunisation/vaccination-children/no-jab-no-play. </w:t>
      </w:r>
    </w:p>
    <w:p w14:paraId="70628B46"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WHO. Vaccine safety net. [Internet.] Geneva: WHO; 2019. [Accessed on 3 July 2019.] Available from: https://www.who.int/vaccine_safety/initiative/communication/network/vaccine_safety_websites/en/. </w:t>
      </w:r>
    </w:p>
    <w:p w14:paraId="0F85DF1D" w14:textId="77777777" w:rsidR="00CE14CC" w:rsidRPr="006C302B" w:rsidRDefault="00CE14CC" w:rsidP="006C302B">
      <w:pPr>
        <w:pStyle w:val="ListParagraph"/>
        <w:numPr>
          <w:ilvl w:val="0"/>
          <w:numId w:val="10"/>
        </w:numPr>
        <w:rPr>
          <w:rFonts w:eastAsia="Times New Roman"/>
        </w:rPr>
      </w:pPr>
      <w:r w:rsidRPr="006C302B">
        <w:rPr>
          <w:rFonts w:eastAsia="Times New Roman"/>
        </w:rPr>
        <w:t>Dey A, Wang H, Quinn H, Hiam R, Wood N, Beard F et al</w:t>
      </w:r>
      <w:r w:rsidRPr="00D37946">
        <w:rPr>
          <w:rStyle w:val="Emphasis"/>
          <w:rFonts w:eastAsia="Times New Roman"/>
          <w:b w:val="0"/>
        </w:rPr>
        <w:t>.</w:t>
      </w:r>
      <w:r w:rsidRPr="006C302B">
        <w:rPr>
          <w:rFonts w:eastAsia="Times New Roman"/>
        </w:rPr>
        <w:t xml:space="preserve"> Surveillance of adverse events following immunisation in Australia annual report, 2017. </w:t>
      </w:r>
      <w:r w:rsidRPr="00D37946">
        <w:rPr>
          <w:rStyle w:val="Emphasis"/>
          <w:rFonts w:eastAsia="Times New Roman"/>
          <w:b w:val="0"/>
        </w:rPr>
        <w:t>Commun Dis Intell (2018)</w:t>
      </w:r>
      <w:r w:rsidRPr="006C302B">
        <w:rPr>
          <w:rFonts w:eastAsia="Times New Roman"/>
        </w:rPr>
        <w:t xml:space="preserve">. 2019;43. doi: https://doi.org/10.33321/cdi.2019.43.29. </w:t>
      </w:r>
    </w:p>
    <w:p w14:paraId="1DCD178E"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TGA. Database of adverse event notifications (DAEN). [Internet.] Canberra: Australian Government Department of Health, TGA; 2018. [Accessed on 20 May 2018.] Available from: https://www.tga.gov.au/database-adverse-event-notifications-daen. </w:t>
      </w:r>
    </w:p>
    <w:p w14:paraId="600D6904"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Hull B, Hendry AJ, Dey A, Brotherton BJ, Macartney K, Beard F. Annual immunisation coverage report 2017. </w:t>
      </w:r>
      <w:r w:rsidRPr="00D37946">
        <w:rPr>
          <w:rStyle w:val="Emphasis"/>
          <w:rFonts w:eastAsia="Times New Roman"/>
          <w:b w:val="0"/>
        </w:rPr>
        <w:t>Commun Dis Intell (2018)</w:t>
      </w:r>
      <w:r w:rsidRPr="006C302B">
        <w:rPr>
          <w:rFonts w:eastAsia="Times New Roman"/>
        </w:rPr>
        <w:t xml:space="preserve">. 2019;43. doi: https://doi.org/10.33321/cdi.2019.43.47. </w:t>
      </w:r>
    </w:p>
    <w:p w14:paraId="7D82B4C3"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Kochhar S, Edwards KM, </w:t>
      </w:r>
      <w:proofErr w:type="spellStart"/>
      <w:r w:rsidRPr="006C302B">
        <w:rPr>
          <w:rFonts w:eastAsia="Times New Roman"/>
        </w:rPr>
        <w:t>Ropero</w:t>
      </w:r>
      <w:proofErr w:type="spellEnd"/>
      <w:r w:rsidRPr="006C302B">
        <w:rPr>
          <w:rFonts w:eastAsia="Times New Roman"/>
        </w:rPr>
        <w:t xml:space="preserve"> Alvarez AM, Moro PL, Ortiz JR. Introduction of new vaccines for immunization in pregnancy - programmatic, regulatory, safety and ethical considerations. </w:t>
      </w:r>
      <w:r w:rsidRPr="00D37946">
        <w:rPr>
          <w:rStyle w:val="Emphasis"/>
          <w:rFonts w:eastAsia="Times New Roman"/>
          <w:b w:val="0"/>
        </w:rPr>
        <w:t>Vaccine</w:t>
      </w:r>
      <w:r w:rsidRPr="006C302B">
        <w:rPr>
          <w:rFonts w:eastAsia="Times New Roman"/>
        </w:rPr>
        <w:t xml:space="preserve">. 2019;37(25):3267–77. doi: https://doi.org/10.1016/j.vaccine.2019.04.075. </w:t>
      </w:r>
    </w:p>
    <w:p w14:paraId="1A5D95C7"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Cassidy C, MacDonald NE, </w:t>
      </w:r>
      <w:proofErr w:type="spellStart"/>
      <w:r w:rsidRPr="006C302B">
        <w:rPr>
          <w:rFonts w:eastAsia="Times New Roman"/>
        </w:rPr>
        <w:t>Steenbeek</w:t>
      </w:r>
      <w:proofErr w:type="spellEnd"/>
      <w:r w:rsidRPr="006C302B">
        <w:rPr>
          <w:rFonts w:eastAsia="Times New Roman"/>
        </w:rPr>
        <w:t xml:space="preserve"> A, Ortiz JR, Zuber PL, Top KA. A global survey of adverse event following immunization surveillance systems for pregnant women and their infants. </w:t>
      </w:r>
      <w:r w:rsidRPr="00D37946">
        <w:rPr>
          <w:rStyle w:val="Emphasis"/>
          <w:rFonts w:eastAsia="Times New Roman"/>
          <w:b w:val="0"/>
        </w:rPr>
        <w:t xml:space="preserve">Hum </w:t>
      </w:r>
      <w:proofErr w:type="spellStart"/>
      <w:r w:rsidRPr="00D37946">
        <w:rPr>
          <w:rStyle w:val="Emphasis"/>
          <w:rFonts w:eastAsia="Times New Roman"/>
          <w:b w:val="0"/>
        </w:rPr>
        <w:t>Vaccin</w:t>
      </w:r>
      <w:proofErr w:type="spellEnd"/>
      <w:r w:rsidRPr="00D37946">
        <w:rPr>
          <w:rStyle w:val="Emphasis"/>
          <w:rFonts w:eastAsia="Times New Roman"/>
          <w:b w:val="0"/>
        </w:rPr>
        <w:t xml:space="preserve"> </w:t>
      </w:r>
      <w:proofErr w:type="spellStart"/>
      <w:r w:rsidRPr="00D37946">
        <w:rPr>
          <w:rStyle w:val="Emphasis"/>
          <w:rFonts w:eastAsia="Times New Roman"/>
          <w:b w:val="0"/>
        </w:rPr>
        <w:t>Immunother</w:t>
      </w:r>
      <w:proofErr w:type="spellEnd"/>
      <w:r w:rsidRPr="006C302B">
        <w:rPr>
          <w:rFonts w:eastAsia="Times New Roman"/>
        </w:rPr>
        <w:t xml:space="preserve">. 2016;12(8):2010–6. doi: https://doi.org/10.1080/21645515.2016.1175697. </w:t>
      </w:r>
    </w:p>
    <w:p w14:paraId="1347AD5E"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McHugh L, Crooks K, Creighton A, Binks M, Andrews RM. Safety, equity and monitoring: a review of the gaps in maternal vaccination strategies for Aboriginal and Torres Strait Islander women. </w:t>
      </w:r>
      <w:r w:rsidRPr="00D37946">
        <w:rPr>
          <w:rStyle w:val="Emphasis"/>
          <w:rFonts w:eastAsia="Times New Roman"/>
          <w:b w:val="0"/>
        </w:rPr>
        <w:t xml:space="preserve">Hum </w:t>
      </w:r>
      <w:proofErr w:type="spellStart"/>
      <w:r w:rsidRPr="00D37946">
        <w:rPr>
          <w:rStyle w:val="Emphasis"/>
          <w:rFonts w:eastAsia="Times New Roman"/>
          <w:b w:val="0"/>
        </w:rPr>
        <w:t>Vaccin</w:t>
      </w:r>
      <w:proofErr w:type="spellEnd"/>
      <w:r w:rsidRPr="00D37946">
        <w:rPr>
          <w:rStyle w:val="Emphasis"/>
          <w:rFonts w:eastAsia="Times New Roman"/>
          <w:b w:val="0"/>
        </w:rPr>
        <w:t xml:space="preserve"> </w:t>
      </w:r>
      <w:proofErr w:type="spellStart"/>
      <w:r w:rsidRPr="00D37946">
        <w:rPr>
          <w:rStyle w:val="Emphasis"/>
          <w:rFonts w:eastAsia="Times New Roman"/>
          <w:b w:val="0"/>
        </w:rPr>
        <w:t>Immunother</w:t>
      </w:r>
      <w:proofErr w:type="spellEnd"/>
      <w:r w:rsidRPr="006C302B">
        <w:rPr>
          <w:rFonts w:eastAsia="Times New Roman"/>
        </w:rPr>
        <w:t xml:space="preserve">. 2020;16(2):371–6. doi: https://doi.org/10.1080/21645515.2019.1649552. </w:t>
      </w:r>
    </w:p>
    <w:p w14:paraId="3FD299DC" w14:textId="77777777" w:rsidR="00CE14CC" w:rsidRPr="006C302B" w:rsidRDefault="00CE14CC" w:rsidP="006C302B">
      <w:pPr>
        <w:pStyle w:val="ListParagraph"/>
        <w:numPr>
          <w:ilvl w:val="0"/>
          <w:numId w:val="10"/>
        </w:numPr>
        <w:rPr>
          <w:rFonts w:eastAsia="Times New Roman"/>
        </w:rPr>
      </w:pPr>
      <w:proofErr w:type="spellStart"/>
      <w:r w:rsidRPr="006C302B">
        <w:rPr>
          <w:rFonts w:eastAsia="Times New Roman"/>
        </w:rPr>
        <w:t>AusVaxSafety</w:t>
      </w:r>
      <w:proofErr w:type="spellEnd"/>
      <w:r w:rsidRPr="006C302B">
        <w:rPr>
          <w:rFonts w:eastAsia="Times New Roman"/>
        </w:rPr>
        <w:t xml:space="preserve">. Pertussis vaccine safety surveillance data: pregnant women. [Internet.] Sydney: NCIRS, </w:t>
      </w:r>
      <w:proofErr w:type="spellStart"/>
      <w:r w:rsidRPr="006C302B">
        <w:rPr>
          <w:rFonts w:eastAsia="Times New Roman"/>
        </w:rPr>
        <w:t>AusVaxSafety</w:t>
      </w:r>
      <w:proofErr w:type="spellEnd"/>
      <w:r w:rsidRPr="006C302B">
        <w:rPr>
          <w:rFonts w:eastAsia="Times New Roman"/>
        </w:rPr>
        <w:t xml:space="preserve">; 2019. [Accessed on 25 September 2019.] Available from: http://www.ausvaxsafety.org.au/safety-data/pertussis-vaccine. </w:t>
      </w:r>
    </w:p>
    <w:p w14:paraId="0D6554EE" w14:textId="77777777" w:rsidR="00CE14CC" w:rsidRPr="006C302B" w:rsidRDefault="00CE14CC" w:rsidP="006C302B">
      <w:pPr>
        <w:pStyle w:val="ListParagraph"/>
        <w:numPr>
          <w:ilvl w:val="0"/>
          <w:numId w:val="10"/>
        </w:numPr>
        <w:rPr>
          <w:rFonts w:eastAsia="Times New Roman"/>
        </w:rPr>
      </w:pPr>
      <w:proofErr w:type="spellStart"/>
      <w:r w:rsidRPr="006C302B">
        <w:rPr>
          <w:rFonts w:eastAsia="Times New Roman"/>
        </w:rPr>
        <w:t>Hattingh</w:t>
      </w:r>
      <w:proofErr w:type="spellEnd"/>
      <w:r w:rsidRPr="006C302B">
        <w:rPr>
          <w:rFonts w:eastAsia="Times New Roman"/>
        </w:rPr>
        <w:t xml:space="preserve"> HL, Sim TF, Parsons R, Czarniak P, Vickery A, </w:t>
      </w:r>
      <w:proofErr w:type="spellStart"/>
      <w:r w:rsidRPr="006C302B">
        <w:rPr>
          <w:rFonts w:eastAsia="Times New Roman"/>
        </w:rPr>
        <w:t>Ayadurai</w:t>
      </w:r>
      <w:proofErr w:type="spellEnd"/>
      <w:r w:rsidRPr="006C302B">
        <w:rPr>
          <w:rFonts w:eastAsia="Times New Roman"/>
        </w:rPr>
        <w:t xml:space="preserve"> S. Evaluation of the first pharmacist-administered vaccinations in Western Australia: a mixed-methods study. </w:t>
      </w:r>
      <w:r w:rsidRPr="00D37946">
        <w:rPr>
          <w:rStyle w:val="Emphasis"/>
          <w:rFonts w:eastAsia="Times New Roman"/>
          <w:b w:val="0"/>
        </w:rPr>
        <w:t>BMJ Open</w:t>
      </w:r>
      <w:r w:rsidRPr="006C302B">
        <w:rPr>
          <w:rFonts w:eastAsia="Times New Roman"/>
        </w:rPr>
        <w:t xml:space="preserve">. 2016;6(9):e011948. doi: https://doi.org/10.1136/bmjopen-2016-011948. </w:t>
      </w:r>
    </w:p>
    <w:p w14:paraId="0377F74C"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Hendry AJ, Dey A, Beard FH, Khandaker G, Hill R, Macartney KK. Adverse events following immunisation with bacille Calmette-Guérin vaccination: baseline data to inform monitoring in Australia following introduction of new unregistered BCG vaccine. </w:t>
      </w:r>
      <w:r w:rsidRPr="00D37946">
        <w:rPr>
          <w:rStyle w:val="Emphasis"/>
          <w:rFonts w:eastAsia="Times New Roman"/>
          <w:b w:val="0"/>
        </w:rPr>
        <w:t>Commun Dis Intell Q Rep</w:t>
      </w:r>
      <w:r w:rsidRPr="006C302B">
        <w:rPr>
          <w:rFonts w:eastAsia="Times New Roman"/>
        </w:rPr>
        <w:t xml:space="preserve">. 2016;40(4):E470–4. </w:t>
      </w:r>
    </w:p>
    <w:p w14:paraId="2C56C101"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Khandaker G, Beard FH, Dey A, Coulter C, Hendry AJ, Macartney KK. Evaluation of bacille Calmette-Guérin immunisation programs in Australia. </w:t>
      </w:r>
      <w:r w:rsidRPr="00D37946">
        <w:rPr>
          <w:rStyle w:val="Emphasis"/>
          <w:rFonts w:eastAsia="Times New Roman"/>
          <w:b w:val="0"/>
        </w:rPr>
        <w:t>Commun Dis Intell Q Rep</w:t>
      </w:r>
      <w:r w:rsidRPr="006C302B">
        <w:rPr>
          <w:rFonts w:eastAsia="Times New Roman"/>
        </w:rPr>
        <w:t xml:space="preserve">. 2017;41(1):E33–48. </w:t>
      </w:r>
    </w:p>
    <w:p w14:paraId="17370527"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Gibbons CL, </w:t>
      </w:r>
      <w:proofErr w:type="spellStart"/>
      <w:r w:rsidRPr="006C302B">
        <w:rPr>
          <w:rFonts w:eastAsia="Times New Roman"/>
        </w:rPr>
        <w:t>Mangen</w:t>
      </w:r>
      <w:proofErr w:type="spellEnd"/>
      <w:r w:rsidRPr="006C302B">
        <w:rPr>
          <w:rFonts w:eastAsia="Times New Roman"/>
        </w:rPr>
        <w:t xml:space="preserve"> MJ, </w:t>
      </w:r>
      <w:proofErr w:type="spellStart"/>
      <w:r w:rsidRPr="006C302B">
        <w:rPr>
          <w:rFonts w:eastAsia="Times New Roman"/>
        </w:rPr>
        <w:t>Plass</w:t>
      </w:r>
      <w:proofErr w:type="spellEnd"/>
      <w:r w:rsidRPr="006C302B">
        <w:rPr>
          <w:rFonts w:eastAsia="Times New Roman"/>
        </w:rPr>
        <w:t xml:space="preserve"> D, </w:t>
      </w:r>
      <w:proofErr w:type="spellStart"/>
      <w:r w:rsidRPr="006C302B">
        <w:rPr>
          <w:rFonts w:eastAsia="Times New Roman"/>
        </w:rPr>
        <w:t>Havelaar</w:t>
      </w:r>
      <w:proofErr w:type="spellEnd"/>
      <w:r w:rsidRPr="006C302B">
        <w:rPr>
          <w:rFonts w:eastAsia="Times New Roman"/>
        </w:rPr>
        <w:t xml:space="preserve"> AH, Brooke RJ, </w:t>
      </w:r>
      <w:proofErr w:type="spellStart"/>
      <w:r w:rsidRPr="006C302B">
        <w:rPr>
          <w:rFonts w:eastAsia="Times New Roman"/>
        </w:rPr>
        <w:t>Kramarz</w:t>
      </w:r>
      <w:proofErr w:type="spellEnd"/>
      <w:r w:rsidRPr="006C302B">
        <w:rPr>
          <w:rFonts w:eastAsia="Times New Roman"/>
        </w:rPr>
        <w:t xml:space="preserve"> P et al</w:t>
      </w:r>
      <w:r w:rsidRPr="00D37946">
        <w:rPr>
          <w:rStyle w:val="Emphasis"/>
          <w:rFonts w:eastAsia="Times New Roman"/>
          <w:b w:val="0"/>
        </w:rPr>
        <w:t>.</w:t>
      </w:r>
      <w:r w:rsidRPr="006C302B">
        <w:rPr>
          <w:rFonts w:eastAsia="Times New Roman"/>
        </w:rPr>
        <w:t xml:space="preserve"> Measuring underreporting and under-ascertainment in infectious disease datasets: a comparison of methods. </w:t>
      </w:r>
      <w:r w:rsidRPr="00D37946">
        <w:rPr>
          <w:rStyle w:val="Emphasis"/>
          <w:rFonts w:eastAsia="Times New Roman"/>
          <w:b w:val="0"/>
        </w:rPr>
        <w:t>BMC Pub Health</w:t>
      </w:r>
      <w:r w:rsidRPr="006C302B">
        <w:rPr>
          <w:rFonts w:eastAsia="Times New Roman"/>
        </w:rPr>
        <w:t xml:space="preserve">. 2014;14:147. doi: https://doi.org/10.1186/1471-2458-14-147. </w:t>
      </w:r>
    </w:p>
    <w:p w14:paraId="34CD6F14"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Hazell L, Shakir SAW. Under-reporting of adverse drug reactions : a systematic review. </w:t>
      </w:r>
      <w:r w:rsidRPr="00D37946">
        <w:rPr>
          <w:rStyle w:val="Emphasis"/>
          <w:rFonts w:eastAsia="Times New Roman"/>
          <w:b w:val="0"/>
        </w:rPr>
        <w:t xml:space="preserve">Drug </w:t>
      </w:r>
      <w:proofErr w:type="spellStart"/>
      <w:r w:rsidRPr="00D37946">
        <w:rPr>
          <w:rStyle w:val="Emphasis"/>
          <w:rFonts w:eastAsia="Times New Roman"/>
          <w:b w:val="0"/>
        </w:rPr>
        <w:t>Saf</w:t>
      </w:r>
      <w:proofErr w:type="spellEnd"/>
      <w:r w:rsidRPr="006C302B">
        <w:rPr>
          <w:rFonts w:eastAsia="Times New Roman"/>
        </w:rPr>
        <w:t xml:space="preserve">. 2006;29(5):385–96. </w:t>
      </w:r>
    </w:p>
    <w:p w14:paraId="482B17CD"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Westphal DW, Williams SA, </w:t>
      </w:r>
      <w:proofErr w:type="spellStart"/>
      <w:r w:rsidRPr="006C302B">
        <w:rPr>
          <w:rFonts w:eastAsia="Times New Roman"/>
        </w:rPr>
        <w:t>Leeb</w:t>
      </w:r>
      <w:proofErr w:type="spellEnd"/>
      <w:r w:rsidRPr="006C302B">
        <w:rPr>
          <w:rFonts w:eastAsia="Times New Roman"/>
        </w:rPr>
        <w:t xml:space="preserve"> A, </w:t>
      </w:r>
      <w:proofErr w:type="spellStart"/>
      <w:r w:rsidRPr="006C302B">
        <w:rPr>
          <w:rFonts w:eastAsia="Times New Roman"/>
        </w:rPr>
        <w:t>Effler</w:t>
      </w:r>
      <w:proofErr w:type="spellEnd"/>
      <w:r w:rsidRPr="006C302B">
        <w:rPr>
          <w:rFonts w:eastAsia="Times New Roman"/>
        </w:rPr>
        <w:t xml:space="preserve"> PV. Continuous active surveillance of adverse events following immunisation using SMS technology. </w:t>
      </w:r>
      <w:r w:rsidRPr="00D37946">
        <w:rPr>
          <w:rStyle w:val="Emphasis"/>
          <w:rFonts w:eastAsia="Times New Roman"/>
          <w:b w:val="0"/>
        </w:rPr>
        <w:t>Vaccine</w:t>
      </w:r>
      <w:r w:rsidRPr="006C302B">
        <w:rPr>
          <w:rFonts w:eastAsia="Times New Roman"/>
        </w:rPr>
        <w:t xml:space="preserve">. 2016;34(29):3350–5. doi: https://doi.org/10.1016/j.vaccine.2016.05.015. </w:t>
      </w:r>
    </w:p>
    <w:p w14:paraId="383CDC87" w14:textId="77777777" w:rsidR="00CE14CC" w:rsidRPr="006C302B" w:rsidRDefault="00CE14CC" w:rsidP="006C302B">
      <w:pPr>
        <w:pStyle w:val="ListParagraph"/>
        <w:numPr>
          <w:ilvl w:val="0"/>
          <w:numId w:val="10"/>
        </w:numPr>
        <w:rPr>
          <w:rFonts w:eastAsia="Times New Roman"/>
        </w:rPr>
      </w:pPr>
      <w:r w:rsidRPr="006C302B">
        <w:rPr>
          <w:rFonts w:eastAsia="Times New Roman"/>
        </w:rPr>
        <w:lastRenderedPageBreak/>
        <w:t>Pillsbury AJ, Glover C, Jacoby P, Quinn HE, Fathima P, Cashman P et al</w:t>
      </w:r>
      <w:r w:rsidRPr="00D37946">
        <w:rPr>
          <w:rStyle w:val="Emphasis"/>
          <w:rFonts w:eastAsia="Times New Roman"/>
          <w:b w:val="0"/>
        </w:rPr>
        <w:t>.</w:t>
      </w:r>
      <w:r w:rsidRPr="006C302B">
        <w:rPr>
          <w:rFonts w:eastAsia="Times New Roman"/>
        </w:rPr>
        <w:t xml:space="preserve"> Active surveillance of 2017 seasonal influenza vaccine safety: an observational cohort study of individuals aged 6 months and older in Australia. </w:t>
      </w:r>
      <w:r w:rsidRPr="00D37946">
        <w:rPr>
          <w:rStyle w:val="Emphasis"/>
          <w:rFonts w:eastAsia="Times New Roman"/>
          <w:b w:val="0"/>
        </w:rPr>
        <w:t>BMJ Open</w:t>
      </w:r>
      <w:r w:rsidRPr="006C302B">
        <w:rPr>
          <w:rFonts w:eastAsia="Times New Roman"/>
        </w:rPr>
        <w:t xml:space="preserve">. 2018;8(10):e023263. doi: https://doi.org/10.1136/bmjopen-2018-023263. </w:t>
      </w:r>
    </w:p>
    <w:p w14:paraId="11E504B5" w14:textId="77777777" w:rsidR="00CE14CC" w:rsidRPr="006C302B" w:rsidRDefault="00CE14CC" w:rsidP="006C302B">
      <w:pPr>
        <w:pStyle w:val="ListParagraph"/>
        <w:numPr>
          <w:ilvl w:val="0"/>
          <w:numId w:val="10"/>
        </w:numPr>
        <w:rPr>
          <w:rFonts w:eastAsia="Times New Roman"/>
        </w:rPr>
      </w:pPr>
      <w:r w:rsidRPr="006C302B">
        <w:rPr>
          <w:rFonts w:eastAsia="Times New Roman"/>
        </w:rPr>
        <w:t xml:space="preserve">Mus M, </w:t>
      </w:r>
      <w:proofErr w:type="spellStart"/>
      <w:r w:rsidRPr="006C302B">
        <w:rPr>
          <w:rFonts w:eastAsia="Times New Roman"/>
        </w:rPr>
        <w:t>Kreijkamp-Kaspers</w:t>
      </w:r>
      <w:proofErr w:type="spellEnd"/>
      <w:r w:rsidRPr="006C302B">
        <w:rPr>
          <w:rFonts w:eastAsia="Times New Roman"/>
        </w:rPr>
        <w:t xml:space="preserve"> S, McGuire T, </w:t>
      </w:r>
      <w:proofErr w:type="spellStart"/>
      <w:r w:rsidRPr="006C302B">
        <w:rPr>
          <w:rFonts w:eastAsia="Times New Roman"/>
        </w:rPr>
        <w:t>Deckx</w:t>
      </w:r>
      <w:proofErr w:type="spellEnd"/>
      <w:r w:rsidRPr="006C302B">
        <w:rPr>
          <w:rFonts w:eastAsia="Times New Roman"/>
        </w:rPr>
        <w:t xml:space="preserve"> L, van </w:t>
      </w:r>
      <w:proofErr w:type="spellStart"/>
      <w:r w:rsidRPr="006C302B">
        <w:rPr>
          <w:rFonts w:eastAsia="Times New Roman"/>
        </w:rPr>
        <w:t>Driel</w:t>
      </w:r>
      <w:proofErr w:type="spellEnd"/>
      <w:r w:rsidRPr="006C302B">
        <w:rPr>
          <w:rFonts w:eastAsia="Times New Roman"/>
        </w:rPr>
        <w:t xml:space="preserve"> M. What do health consumers want to know about childhood vaccination? An evaluation of data from an Australian medicines call centre. </w:t>
      </w:r>
      <w:r w:rsidRPr="00D37946">
        <w:rPr>
          <w:rStyle w:val="Emphasis"/>
          <w:rFonts w:eastAsia="Times New Roman"/>
          <w:b w:val="0"/>
        </w:rPr>
        <w:t>Aust N Z J Public Health</w:t>
      </w:r>
      <w:r w:rsidRPr="006C302B">
        <w:rPr>
          <w:rFonts w:eastAsia="Times New Roman"/>
        </w:rPr>
        <w:t>. 2017;41(1):74–9. doi: https://doi.org/10.1111/1753-6405.12607.</w:t>
      </w:r>
    </w:p>
    <w:p w14:paraId="19F2492E"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7EEE30B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2D0CA5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EEFDD19" w14:textId="77777777" w:rsidR="000A5F42" w:rsidRPr="000606CC" w:rsidRDefault="000A5F42" w:rsidP="000A5F42">
      <w:pPr>
        <w:pStyle w:val="NoSpacing"/>
        <w:rPr>
          <w:rStyle w:val="URI"/>
          <w:rFonts w:cstheme="minorHAnsi"/>
          <w:sz w:val="20"/>
          <w:szCs w:val="18"/>
        </w:rPr>
      </w:pPr>
    </w:p>
    <w:p w14:paraId="0301F25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CBA703B" w14:textId="77777777" w:rsidR="000A5F42" w:rsidRPr="000606CC" w:rsidRDefault="000A5F42" w:rsidP="000A5F42">
      <w:pPr>
        <w:pStyle w:val="NoSpacing"/>
        <w:rPr>
          <w:rStyle w:val="Strong"/>
          <w:rFonts w:cstheme="minorHAnsi"/>
          <w:sz w:val="20"/>
          <w:szCs w:val="18"/>
        </w:rPr>
      </w:pPr>
    </w:p>
    <w:p w14:paraId="177080F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52108C7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FE9EAC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BDFBE1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18B3E62" w14:textId="77777777" w:rsidR="000A5F42" w:rsidRPr="000606CC" w:rsidRDefault="000A5F42" w:rsidP="000A5F42">
      <w:pPr>
        <w:pStyle w:val="NoSpacing"/>
        <w:rPr>
          <w:rStyle w:val="Strong"/>
          <w:rFonts w:cstheme="minorHAnsi"/>
          <w:sz w:val="20"/>
          <w:szCs w:val="18"/>
        </w:rPr>
      </w:pPr>
    </w:p>
    <w:p w14:paraId="15E515E3" w14:textId="3F325BB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085689B" w14:textId="77777777" w:rsidR="000A5F42" w:rsidRPr="000606CC" w:rsidRDefault="000A5F42" w:rsidP="000A5F42">
      <w:pPr>
        <w:pStyle w:val="NoSpacing"/>
        <w:rPr>
          <w:rStyle w:val="Strong"/>
          <w:rFonts w:cstheme="minorHAnsi"/>
          <w:sz w:val="20"/>
          <w:szCs w:val="18"/>
        </w:rPr>
      </w:pPr>
    </w:p>
    <w:p w14:paraId="690AAC3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97CC23E" w14:textId="77777777" w:rsidR="000A5F42" w:rsidRPr="000606CC" w:rsidRDefault="000A5F42" w:rsidP="000A5F42">
      <w:pPr>
        <w:pStyle w:val="NoSpacing"/>
        <w:rPr>
          <w:rStyle w:val="Strong"/>
          <w:rFonts w:cstheme="minorHAnsi"/>
          <w:sz w:val="20"/>
          <w:szCs w:val="18"/>
        </w:rPr>
      </w:pPr>
    </w:p>
    <w:p w14:paraId="2234BAB0" w14:textId="51473BB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BEAB692" w14:textId="77777777" w:rsidR="000A5F42" w:rsidRPr="000606CC" w:rsidRDefault="000A5F42" w:rsidP="000A5F42">
      <w:pPr>
        <w:pStyle w:val="NoSpacing"/>
        <w:rPr>
          <w:rStyle w:val="Strong"/>
          <w:rFonts w:cstheme="minorHAnsi"/>
          <w:sz w:val="20"/>
          <w:szCs w:val="18"/>
        </w:rPr>
      </w:pPr>
    </w:p>
    <w:p w14:paraId="566AE790" w14:textId="7EC6332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E426810" w14:textId="22609AE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14:paraId="349F051B" w14:textId="77777777" w:rsidR="000A5F42" w:rsidRPr="000606CC" w:rsidRDefault="000A5F42" w:rsidP="000A5F42">
      <w:pPr>
        <w:pStyle w:val="NoSpacing"/>
        <w:pBdr>
          <w:bottom w:val="single" w:sz="6" w:space="1" w:color="auto"/>
        </w:pBdr>
        <w:rPr>
          <w:rStyle w:val="Strong"/>
          <w:rFonts w:cstheme="minorHAnsi"/>
          <w:sz w:val="12"/>
          <w:szCs w:val="18"/>
        </w:rPr>
      </w:pPr>
    </w:p>
    <w:p w14:paraId="5393A7BC" w14:textId="77777777" w:rsidR="000A5F42" w:rsidRPr="000606CC" w:rsidRDefault="000A5F42" w:rsidP="000A5F42">
      <w:pPr>
        <w:pStyle w:val="NoSpacing"/>
        <w:rPr>
          <w:rFonts w:cstheme="minorHAnsi"/>
          <w:sz w:val="20"/>
          <w:szCs w:val="18"/>
        </w:rPr>
      </w:pPr>
    </w:p>
    <w:p w14:paraId="6296C9B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DC532F8" w14:textId="77777777" w:rsidR="000A5F42" w:rsidRPr="000606CC" w:rsidRDefault="000A5F42" w:rsidP="000A5F42">
      <w:pPr>
        <w:pStyle w:val="NoSpacing"/>
        <w:rPr>
          <w:rFonts w:cstheme="minorHAnsi"/>
          <w:sz w:val="20"/>
          <w:szCs w:val="18"/>
        </w:rPr>
      </w:pPr>
    </w:p>
    <w:p w14:paraId="2141247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B21CBC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3A93F24E" w14:textId="72A116B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8C35FB8" w14:textId="77777777" w:rsidR="000A5F42" w:rsidRPr="000606CC" w:rsidRDefault="000A5F42" w:rsidP="000A5F42">
      <w:pPr>
        <w:pStyle w:val="NoSpacing"/>
        <w:rPr>
          <w:rFonts w:cstheme="minorHAnsi"/>
          <w:sz w:val="20"/>
          <w:szCs w:val="18"/>
        </w:rPr>
      </w:pPr>
    </w:p>
    <w:p w14:paraId="5A3BF75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98C110E" w14:textId="34FBF35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D77212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E3E96B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228353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B8E068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29E0FF6" w14:textId="77777777" w:rsidR="000A5F42" w:rsidRPr="000606CC" w:rsidRDefault="000A5F42" w:rsidP="000A5F42">
      <w:pPr>
        <w:pStyle w:val="NoSpacing"/>
        <w:rPr>
          <w:rStyle w:val="Strong"/>
          <w:rFonts w:cstheme="minorHAnsi"/>
          <w:sz w:val="20"/>
          <w:szCs w:val="18"/>
        </w:rPr>
      </w:pPr>
    </w:p>
    <w:p w14:paraId="74D727C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D1F0910" w14:textId="77777777" w:rsidR="000A5F42" w:rsidRPr="000606CC" w:rsidRDefault="000A5F42" w:rsidP="000A5F42">
      <w:pPr>
        <w:pStyle w:val="NoSpacing"/>
        <w:rPr>
          <w:rStyle w:val="Strong"/>
          <w:rFonts w:cstheme="minorHAnsi"/>
          <w:sz w:val="20"/>
          <w:szCs w:val="18"/>
        </w:rPr>
      </w:pPr>
    </w:p>
    <w:p w14:paraId="2AAB9523" w14:textId="7919F91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3852FF7" w14:textId="77777777" w:rsidR="000A5F42" w:rsidRPr="000606CC" w:rsidRDefault="000A5F42" w:rsidP="000A5F42">
      <w:pPr>
        <w:pStyle w:val="NoSpacing"/>
        <w:rPr>
          <w:rStyle w:val="URI"/>
          <w:rFonts w:cstheme="minorHAnsi"/>
          <w:sz w:val="20"/>
          <w:szCs w:val="18"/>
        </w:rPr>
      </w:pPr>
    </w:p>
    <w:p w14:paraId="778DDECF" w14:textId="52469C6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14:paraId="18A9A15D" w14:textId="77777777" w:rsidR="001B37B8" w:rsidRPr="00E92237" w:rsidRDefault="001B37B8" w:rsidP="001B37B8">
      <w:pPr>
        <w:rPr>
          <w:rFonts w:cs="Myriad Pro"/>
          <w:color w:val="211D1E"/>
          <w:sz w:val="20"/>
          <w:szCs w:val="20"/>
        </w:rPr>
      </w:pPr>
    </w:p>
    <w:sectPr w:rsidR="001B37B8" w:rsidRPr="00E92237" w:rsidSect="002B75A9">
      <w:headerReference w:type="default" r:id="rId28"/>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1DB60" w14:textId="77777777" w:rsidR="00182A93" w:rsidRDefault="00182A93" w:rsidP="00E54DBA">
      <w:r>
        <w:separator/>
      </w:r>
    </w:p>
    <w:p w14:paraId="0AB9DB14" w14:textId="77777777" w:rsidR="00182A93" w:rsidRDefault="00182A93"/>
    <w:p w14:paraId="171642A5" w14:textId="77777777" w:rsidR="00182A93" w:rsidRDefault="00182A93" w:rsidP="008714B0"/>
  </w:endnote>
  <w:endnote w:type="continuationSeparator" w:id="0">
    <w:p w14:paraId="52E667BE" w14:textId="77777777" w:rsidR="00182A93" w:rsidRDefault="00182A93" w:rsidP="00E54DBA">
      <w:r>
        <w:continuationSeparator/>
      </w:r>
    </w:p>
    <w:p w14:paraId="6C26B6BE" w14:textId="77777777" w:rsidR="00182A93" w:rsidRDefault="00182A93"/>
    <w:p w14:paraId="243D853F" w14:textId="77777777" w:rsidR="00182A93" w:rsidRDefault="00182A9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82B2" w14:textId="06E60A10" w:rsidR="00182A93" w:rsidRPr="0042435E" w:rsidRDefault="00182A9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F7355">
      <w:rPr>
        <w:noProof/>
        <w:sz w:val="18"/>
      </w:rPr>
      <w:t>18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0F7355">
      <w:rPr>
        <w:noProof/>
        <w:sz w:val="18"/>
      </w:rPr>
      <w:t>31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D3794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F7355">
      <w:rPr>
        <w:sz w:val="18"/>
      </w:rPr>
      <w:t>https://doi.org/10.33321/cdi.2020.44.46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0F7355">
      <w:rPr>
        <w:sz w:val="18"/>
      </w:rPr>
      <w:t>15/06/2020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0ABE" w14:textId="78AA590B" w:rsidR="00182A93" w:rsidRPr="00BB5378" w:rsidRDefault="00182A9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F7355">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0F7355">
      <w:rPr>
        <w:noProof/>
        <w:sz w:val="18"/>
      </w:rPr>
      <w:t>31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D3794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F7355">
      <w:rPr>
        <w:sz w:val="18"/>
      </w:rPr>
      <w:t>https://doi.org/10.33321/cdi.2020.44.46</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0F7355">
      <w:rPr>
        <w:sz w:val="18"/>
      </w:rPr>
      <w:t>15/06/2020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BE557" w14:textId="77777777" w:rsidR="00182A93" w:rsidRDefault="00182A93" w:rsidP="00E54DBA">
      <w:r>
        <w:separator/>
      </w:r>
    </w:p>
  </w:footnote>
  <w:footnote w:type="continuationSeparator" w:id="0">
    <w:p w14:paraId="06C91014" w14:textId="77777777" w:rsidR="00182A93" w:rsidRDefault="00182A93" w:rsidP="00E54DBA">
      <w:r>
        <w:continuationSeparator/>
      </w:r>
    </w:p>
  </w:footnote>
  <w:footnote w:type="continuationNotice" w:id="1">
    <w:p w14:paraId="774D17D5" w14:textId="77777777" w:rsidR="00182A93" w:rsidRPr="00224EFF" w:rsidRDefault="00182A93" w:rsidP="00224EFF">
      <w:pPr>
        <w:pStyle w:val="Footer"/>
      </w:pPr>
    </w:p>
  </w:footnote>
  <w:footnote w:id="2">
    <w:p w14:paraId="49519911" w14:textId="77777777" w:rsidR="00182A93" w:rsidRPr="00E345EF" w:rsidRDefault="00182A93">
      <w:pPr>
        <w:pStyle w:val="FootnoteText"/>
      </w:pPr>
      <w:r w:rsidRPr="00E345EF">
        <w:rPr>
          <w:rStyle w:val="FootnoteReference"/>
          <w:vertAlign w:val="baseline"/>
        </w:rPr>
        <w:footnoteRef/>
      </w:r>
      <w:r w:rsidRPr="00E345EF">
        <w:t xml:space="preserve"> </w:t>
      </w:r>
      <w:r w:rsidR="00E345EF">
        <w:tab/>
      </w:r>
      <w:r w:rsidR="00E345EF" w:rsidRPr="00E345EF">
        <w:t>https://www.abs.gov.au/Population</w:t>
      </w:r>
    </w:p>
  </w:footnote>
  <w:footnote w:id="3">
    <w:p w14:paraId="5A6A06B4" w14:textId="77777777" w:rsidR="00E345EF" w:rsidRPr="001333C5" w:rsidRDefault="00E345EF">
      <w:pPr>
        <w:pStyle w:val="FootnoteText"/>
      </w:pPr>
      <w:r w:rsidRPr="001333C5">
        <w:rPr>
          <w:rStyle w:val="FootnoteReference"/>
          <w:vertAlign w:val="baseline"/>
        </w:rPr>
        <w:footnoteRef/>
      </w:r>
      <w:r w:rsidRPr="001333C5">
        <w:t xml:space="preserve"> </w:t>
      </w:r>
      <w:r w:rsidRPr="001333C5">
        <w:tab/>
        <w:t>Cold chain breach is the exposure of vaccines to temperatures outside the recommended range of 2 °C to 8 °C.</w:t>
      </w:r>
    </w:p>
  </w:footnote>
  <w:footnote w:id="4">
    <w:p w14:paraId="309005F4" w14:textId="77777777" w:rsidR="001333C5" w:rsidRPr="001333C5" w:rsidRDefault="001333C5">
      <w:pPr>
        <w:pStyle w:val="FootnoteText"/>
      </w:pPr>
      <w:r w:rsidRPr="001333C5">
        <w:rPr>
          <w:rStyle w:val="FootnoteReference"/>
          <w:vertAlign w:val="baseline"/>
        </w:rPr>
        <w:footnoteRef/>
      </w:r>
      <w:r w:rsidRPr="001333C5">
        <w:t xml:space="preserve"> </w:t>
      </w:r>
      <w:r w:rsidRPr="001333C5">
        <w:tab/>
        <w:t>https://mvec.mcri.edu.au/immunisation-references/shoulder-injury-related-to-vaccine-administration</w:t>
      </w:r>
    </w:p>
  </w:footnote>
  <w:footnote w:id="5">
    <w:p w14:paraId="20411DF6" w14:textId="77777777" w:rsidR="001333C5" w:rsidRPr="001333C5" w:rsidRDefault="001333C5">
      <w:pPr>
        <w:pStyle w:val="FootnoteText"/>
      </w:pPr>
      <w:r w:rsidRPr="001333C5">
        <w:rPr>
          <w:rStyle w:val="FootnoteReference"/>
          <w:vertAlign w:val="baseline"/>
        </w:rPr>
        <w:footnoteRef/>
      </w:r>
      <w:r w:rsidRPr="001333C5">
        <w:t xml:space="preserve"> </w:t>
      </w:r>
      <w:r w:rsidRPr="001333C5">
        <w:tab/>
        <w:t>http://www.mvec.vic.edu.au</w:t>
      </w:r>
    </w:p>
  </w:footnote>
  <w:footnote w:id="6">
    <w:p w14:paraId="7D27224E" w14:textId="77777777" w:rsidR="001333C5" w:rsidRPr="001333C5" w:rsidRDefault="001333C5">
      <w:pPr>
        <w:pStyle w:val="FootnoteText"/>
      </w:pPr>
      <w:r w:rsidRPr="001333C5">
        <w:rPr>
          <w:rStyle w:val="FootnoteReference"/>
          <w:vertAlign w:val="baseline"/>
        </w:rPr>
        <w:footnoteRef/>
      </w:r>
      <w:r w:rsidRPr="001333C5">
        <w:t xml:space="preserve"> </w:t>
      </w:r>
      <w:r w:rsidRPr="001333C5">
        <w:tab/>
        <w:t>for example, https://mvec.mcri.edu.au/immunisation-references/nip-schedule-changes-july-1-2018-faqs</w:t>
      </w:r>
    </w:p>
  </w:footnote>
  <w:footnote w:id="7">
    <w:p w14:paraId="615C1686" w14:textId="77777777" w:rsidR="001333C5" w:rsidRPr="001333C5" w:rsidRDefault="001333C5">
      <w:pPr>
        <w:pStyle w:val="FootnoteText"/>
      </w:pPr>
      <w:r w:rsidRPr="001333C5">
        <w:rPr>
          <w:rStyle w:val="FootnoteReference"/>
          <w:vertAlign w:val="baseline"/>
        </w:rPr>
        <w:footnoteRef/>
      </w:r>
      <w:r w:rsidRPr="001333C5">
        <w:t xml:space="preserve"> </w:t>
      </w:r>
      <w:r w:rsidRPr="001333C5">
        <w:tab/>
        <w:t>http://www.mvec.vic.edu.au/clinical-vaccinology-update-2018/</w:t>
      </w:r>
    </w:p>
  </w:footnote>
  <w:footnote w:id="8">
    <w:p w14:paraId="24D90D30" w14:textId="77777777" w:rsidR="00E03227" w:rsidRPr="00E03227" w:rsidRDefault="00E03227">
      <w:pPr>
        <w:pStyle w:val="FootnoteText"/>
      </w:pPr>
      <w:r w:rsidRPr="00E03227">
        <w:rPr>
          <w:rStyle w:val="FootnoteReference"/>
          <w:vertAlign w:val="baseline"/>
        </w:rPr>
        <w:footnoteRef/>
      </w:r>
      <w:r w:rsidRPr="00E03227">
        <w:t xml:space="preserve"> </w:t>
      </w:r>
      <w:r>
        <w:tab/>
      </w:r>
      <w:r w:rsidRPr="00E03227">
        <w:t>www.ausvaxsafety.org.au/our-work/active-vaccine-safety-surveillance</w:t>
      </w:r>
    </w:p>
  </w:footnote>
  <w:footnote w:id="9">
    <w:p w14:paraId="35DBC39A" w14:textId="77777777" w:rsidR="00E03227" w:rsidRPr="00E03227" w:rsidRDefault="00E03227">
      <w:pPr>
        <w:pStyle w:val="FootnoteText"/>
      </w:pPr>
      <w:r w:rsidRPr="00E03227">
        <w:rPr>
          <w:rStyle w:val="FootnoteReference"/>
          <w:vertAlign w:val="baseline"/>
        </w:rPr>
        <w:footnoteRef/>
      </w:r>
      <w:r w:rsidRPr="00E03227">
        <w:t xml:space="preserve"> </w:t>
      </w:r>
      <w:r w:rsidRPr="00E03227">
        <w:tab/>
        <w:t>https://mvec.mcri.edu.au/immunisation-references/zoster/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B586" w14:textId="77777777" w:rsidR="00182A93" w:rsidRPr="00A153B6" w:rsidRDefault="00C95F4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82A93">
          <w:t>Annual report</w:t>
        </w:r>
      </w:sdtContent>
    </w:sdt>
    <w:r w:rsidR="00182A93">
      <w:ptab w:relativeTo="margin" w:alignment="right" w:leader="none"/>
    </w:r>
    <w:r w:rsidR="00182A9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0D6C" w14:textId="77777777" w:rsidR="00182A93" w:rsidRPr="000A5F42" w:rsidRDefault="00182A93" w:rsidP="000A5F42">
    <w:pPr>
      <w:pStyle w:val="Header"/>
      <w:jc w:val="center"/>
      <w:rPr>
        <w:b/>
      </w:rPr>
    </w:pPr>
    <w:r w:rsidRPr="00E810C5">
      <w:rPr>
        <w:rFonts w:cs="Myriad Pro"/>
        <w:noProof/>
        <w:color w:val="211D1E"/>
        <w:sz w:val="16"/>
      </w:rPr>
      <w:drawing>
        <wp:inline distT="0" distB="0" distL="0" distR="0" wp14:anchorId="458DEDCF" wp14:editId="70E8ED3F">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92BD0"/>
    <w:multiLevelType w:val="hybridMultilevel"/>
    <w:tmpl w:val="F34686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464E02"/>
    <w:multiLevelType w:val="multilevel"/>
    <w:tmpl w:val="D13C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BD411C"/>
    <w:multiLevelType w:val="multilevel"/>
    <w:tmpl w:val="3F109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4397E15"/>
    <w:multiLevelType w:val="hybridMultilevel"/>
    <w:tmpl w:val="A07892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01568788">
    <w:abstractNumId w:val="2"/>
  </w:num>
  <w:num w:numId="2" w16cid:durableId="510143291">
    <w:abstractNumId w:val="5"/>
  </w:num>
  <w:num w:numId="3" w16cid:durableId="1812555863">
    <w:abstractNumId w:val="6"/>
  </w:num>
  <w:num w:numId="4" w16cid:durableId="1716999509">
    <w:abstractNumId w:val="1"/>
  </w:num>
  <w:num w:numId="5" w16cid:durableId="105737653">
    <w:abstractNumId w:val="7"/>
  </w:num>
  <w:num w:numId="6" w16cid:durableId="1966083426">
    <w:abstractNumId w:val="8"/>
  </w:num>
  <w:num w:numId="7" w16cid:durableId="1193760863">
    <w:abstractNumId w:val="4"/>
  </w:num>
  <w:num w:numId="8" w16cid:durableId="462698235">
    <w:abstractNumId w:val="3"/>
  </w:num>
  <w:num w:numId="9" w16cid:durableId="1006592767">
    <w:abstractNumId w:val="0"/>
  </w:num>
  <w:num w:numId="10" w16cid:durableId="9165481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19"/>
    <w:rsid w:val="00000B5B"/>
    <w:rsid w:val="00001611"/>
    <w:rsid w:val="0000581E"/>
    <w:rsid w:val="000070C4"/>
    <w:rsid w:val="000104A8"/>
    <w:rsid w:val="0001246E"/>
    <w:rsid w:val="000124B1"/>
    <w:rsid w:val="00016FE6"/>
    <w:rsid w:val="00031064"/>
    <w:rsid w:val="00031692"/>
    <w:rsid w:val="00032531"/>
    <w:rsid w:val="000471BF"/>
    <w:rsid w:val="00047B68"/>
    <w:rsid w:val="00052600"/>
    <w:rsid w:val="0005643C"/>
    <w:rsid w:val="0006264A"/>
    <w:rsid w:val="00065448"/>
    <w:rsid w:val="00073D77"/>
    <w:rsid w:val="00081655"/>
    <w:rsid w:val="000864E0"/>
    <w:rsid w:val="000969B3"/>
    <w:rsid w:val="00097257"/>
    <w:rsid w:val="000A5F42"/>
    <w:rsid w:val="000B16CE"/>
    <w:rsid w:val="000B6B95"/>
    <w:rsid w:val="000C3010"/>
    <w:rsid w:val="000D4B4D"/>
    <w:rsid w:val="000E3C8A"/>
    <w:rsid w:val="000F7355"/>
    <w:rsid w:val="00101C8D"/>
    <w:rsid w:val="00106907"/>
    <w:rsid w:val="00113D58"/>
    <w:rsid w:val="001200CB"/>
    <w:rsid w:val="001333C5"/>
    <w:rsid w:val="001378A3"/>
    <w:rsid w:val="00151445"/>
    <w:rsid w:val="0015492D"/>
    <w:rsid w:val="00155582"/>
    <w:rsid w:val="00161590"/>
    <w:rsid w:val="00166196"/>
    <w:rsid w:val="00171CC0"/>
    <w:rsid w:val="00175494"/>
    <w:rsid w:val="00175629"/>
    <w:rsid w:val="00182A93"/>
    <w:rsid w:val="001830EC"/>
    <w:rsid w:val="00183534"/>
    <w:rsid w:val="001A4A96"/>
    <w:rsid w:val="001A5D05"/>
    <w:rsid w:val="001A796C"/>
    <w:rsid w:val="001B2614"/>
    <w:rsid w:val="001B37B8"/>
    <w:rsid w:val="001B552F"/>
    <w:rsid w:val="001C0893"/>
    <w:rsid w:val="001C1303"/>
    <w:rsid w:val="001C70B2"/>
    <w:rsid w:val="001D37C7"/>
    <w:rsid w:val="001D6888"/>
    <w:rsid w:val="001E7405"/>
    <w:rsid w:val="001F1913"/>
    <w:rsid w:val="001F2E72"/>
    <w:rsid w:val="00214B78"/>
    <w:rsid w:val="00217368"/>
    <w:rsid w:val="00224EFF"/>
    <w:rsid w:val="002276DC"/>
    <w:rsid w:val="00227E00"/>
    <w:rsid w:val="002307CB"/>
    <w:rsid w:val="00231046"/>
    <w:rsid w:val="002346FD"/>
    <w:rsid w:val="00234F21"/>
    <w:rsid w:val="00236F54"/>
    <w:rsid w:val="00242659"/>
    <w:rsid w:val="002428F7"/>
    <w:rsid w:val="0024315F"/>
    <w:rsid w:val="0024394D"/>
    <w:rsid w:val="00250F1D"/>
    <w:rsid w:val="00251150"/>
    <w:rsid w:val="00252C9A"/>
    <w:rsid w:val="00256309"/>
    <w:rsid w:val="00257484"/>
    <w:rsid w:val="00260636"/>
    <w:rsid w:val="002666AB"/>
    <w:rsid w:val="002726BD"/>
    <w:rsid w:val="00272963"/>
    <w:rsid w:val="00275C78"/>
    <w:rsid w:val="00280594"/>
    <w:rsid w:val="00281EE3"/>
    <w:rsid w:val="002828EB"/>
    <w:rsid w:val="00283D6C"/>
    <w:rsid w:val="00284E4A"/>
    <w:rsid w:val="0028579B"/>
    <w:rsid w:val="002A3799"/>
    <w:rsid w:val="002A3BCC"/>
    <w:rsid w:val="002A4516"/>
    <w:rsid w:val="002A569F"/>
    <w:rsid w:val="002A7066"/>
    <w:rsid w:val="002B001E"/>
    <w:rsid w:val="002B09B7"/>
    <w:rsid w:val="002B131D"/>
    <w:rsid w:val="002B75A9"/>
    <w:rsid w:val="002C21B0"/>
    <w:rsid w:val="002C3897"/>
    <w:rsid w:val="002C451F"/>
    <w:rsid w:val="002D0792"/>
    <w:rsid w:val="002D1AE0"/>
    <w:rsid w:val="002D4D7C"/>
    <w:rsid w:val="002E18FB"/>
    <w:rsid w:val="002E2FB3"/>
    <w:rsid w:val="002F327B"/>
    <w:rsid w:val="002F5B10"/>
    <w:rsid w:val="00301626"/>
    <w:rsid w:val="003059EC"/>
    <w:rsid w:val="00316CCD"/>
    <w:rsid w:val="00324F7E"/>
    <w:rsid w:val="003323BC"/>
    <w:rsid w:val="00346D42"/>
    <w:rsid w:val="00346E11"/>
    <w:rsid w:val="003601C0"/>
    <w:rsid w:val="003622D4"/>
    <w:rsid w:val="003635F5"/>
    <w:rsid w:val="00372A88"/>
    <w:rsid w:val="00381A0F"/>
    <w:rsid w:val="003A1B3A"/>
    <w:rsid w:val="003A40F5"/>
    <w:rsid w:val="003B5B8C"/>
    <w:rsid w:val="003C2B4A"/>
    <w:rsid w:val="003D28E8"/>
    <w:rsid w:val="003D79B1"/>
    <w:rsid w:val="003E5980"/>
    <w:rsid w:val="003E74EE"/>
    <w:rsid w:val="003F0552"/>
    <w:rsid w:val="003F3BC2"/>
    <w:rsid w:val="00401ED1"/>
    <w:rsid w:val="0040224C"/>
    <w:rsid w:val="00403910"/>
    <w:rsid w:val="00413EE1"/>
    <w:rsid w:val="004164BB"/>
    <w:rsid w:val="00421ECE"/>
    <w:rsid w:val="00422FEB"/>
    <w:rsid w:val="0042435E"/>
    <w:rsid w:val="004315F5"/>
    <w:rsid w:val="00433456"/>
    <w:rsid w:val="00433DFA"/>
    <w:rsid w:val="00435D67"/>
    <w:rsid w:val="004446BA"/>
    <w:rsid w:val="00456D02"/>
    <w:rsid w:val="00461ED4"/>
    <w:rsid w:val="00462C0A"/>
    <w:rsid w:val="00464A58"/>
    <w:rsid w:val="00473D2D"/>
    <w:rsid w:val="00475B6C"/>
    <w:rsid w:val="00485535"/>
    <w:rsid w:val="004A2125"/>
    <w:rsid w:val="004A38F6"/>
    <w:rsid w:val="004B4EB6"/>
    <w:rsid w:val="004C083C"/>
    <w:rsid w:val="004C67C6"/>
    <w:rsid w:val="004D29DE"/>
    <w:rsid w:val="004E2342"/>
    <w:rsid w:val="004F110B"/>
    <w:rsid w:val="004F527F"/>
    <w:rsid w:val="004F7C43"/>
    <w:rsid w:val="00500915"/>
    <w:rsid w:val="00510EAC"/>
    <w:rsid w:val="00514AA0"/>
    <w:rsid w:val="0053791D"/>
    <w:rsid w:val="00542A57"/>
    <w:rsid w:val="005434B5"/>
    <w:rsid w:val="005561CB"/>
    <w:rsid w:val="00565974"/>
    <w:rsid w:val="005732C0"/>
    <w:rsid w:val="0057336D"/>
    <w:rsid w:val="0057489A"/>
    <w:rsid w:val="00574ACF"/>
    <w:rsid w:val="00581588"/>
    <w:rsid w:val="0058540B"/>
    <w:rsid w:val="005875F1"/>
    <w:rsid w:val="00587C87"/>
    <w:rsid w:val="00590B80"/>
    <w:rsid w:val="0059420F"/>
    <w:rsid w:val="005A44B9"/>
    <w:rsid w:val="005A4507"/>
    <w:rsid w:val="005B07F1"/>
    <w:rsid w:val="005B3134"/>
    <w:rsid w:val="005B4E61"/>
    <w:rsid w:val="005B595A"/>
    <w:rsid w:val="005B66C2"/>
    <w:rsid w:val="005C5DD8"/>
    <w:rsid w:val="005D2465"/>
    <w:rsid w:val="005E33DD"/>
    <w:rsid w:val="005E4229"/>
    <w:rsid w:val="005E540E"/>
    <w:rsid w:val="005E55FB"/>
    <w:rsid w:val="005E6251"/>
    <w:rsid w:val="005F16BB"/>
    <w:rsid w:val="005F29DD"/>
    <w:rsid w:val="00607115"/>
    <w:rsid w:val="00614426"/>
    <w:rsid w:val="00620768"/>
    <w:rsid w:val="00622335"/>
    <w:rsid w:val="0062594B"/>
    <w:rsid w:val="00631406"/>
    <w:rsid w:val="006324FF"/>
    <w:rsid w:val="006351D6"/>
    <w:rsid w:val="00636E0D"/>
    <w:rsid w:val="0064142F"/>
    <w:rsid w:val="00643CB4"/>
    <w:rsid w:val="00644E4D"/>
    <w:rsid w:val="00650E07"/>
    <w:rsid w:val="00656427"/>
    <w:rsid w:val="00660255"/>
    <w:rsid w:val="00670CC9"/>
    <w:rsid w:val="00675C1F"/>
    <w:rsid w:val="006971F3"/>
    <w:rsid w:val="006A2115"/>
    <w:rsid w:val="006A2BD6"/>
    <w:rsid w:val="006C196D"/>
    <w:rsid w:val="006C302B"/>
    <w:rsid w:val="006C74A3"/>
    <w:rsid w:val="006D1381"/>
    <w:rsid w:val="006D31BC"/>
    <w:rsid w:val="006E5528"/>
    <w:rsid w:val="006E7943"/>
    <w:rsid w:val="006F24EA"/>
    <w:rsid w:val="006F56E1"/>
    <w:rsid w:val="00704CA9"/>
    <w:rsid w:val="00706850"/>
    <w:rsid w:val="0071048D"/>
    <w:rsid w:val="00710F86"/>
    <w:rsid w:val="007111A8"/>
    <w:rsid w:val="00731BC3"/>
    <w:rsid w:val="007408A9"/>
    <w:rsid w:val="00741192"/>
    <w:rsid w:val="0074165D"/>
    <w:rsid w:val="00743A33"/>
    <w:rsid w:val="00746080"/>
    <w:rsid w:val="0075144A"/>
    <w:rsid w:val="0075633A"/>
    <w:rsid w:val="007713F4"/>
    <w:rsid w:val="007718F9"/>
    <w:rsid w:val="00786329"/>
    <w:rsid w:val="00792C7D"/>
    <w:rsid w:val="00793500"/>
    <w:rsid w:val="00794A4D"/>
    <w:rsid w:val="007A5234"/>
    <w:rsid w:val="007B1135"/>
    <w:rsid w:val="007B7854"/>
    <w:rsid w:val="007C56A1"/>
    <w:rsid w:val="007C6454"/>
    <w:rsid w:val="007E01E0"/>
    <w:rsid w:val="007F0B93"/>
    <w:rsid w:val="007F2ECA"/>
    <w:rsid w:val="008018E0"/>
    <w:rsid w:val="00811708"/>
    <w:rsid w:val="0081271E"/>
    <w:rsid w:val="00816B90"/>
    <w:rsid w:val="00817799"/>
    <w:rsid w:val="00822F5F"/>
    <w:rsid w:val="00824FD3"/>
    <w:rsid w:val="00826589"/>
    <w:rsid w:val="00834BCC"/>
    <w:rsid w:val="00837E62"/>
    <w:rsid w:val="00847FFA"/>
    <w:rsid w:val="00850D54"/>
    <w:rsid w:val="008714B0"/>
    <w:rsid w:val="00876331"/>
    <w:rsid w:val="00880726"/>
    <w:rsid w:val="008969F0"/>
    <w:rsid w:val="008A3544"/>
    <w:rsid w:val="008B0541"/>
    <w:rsid w:val="008B1FE1"/>
    <w:rsid w:val="008B3AA9"/>
    <w:rsid w:val="008B48B8"/>
    <w:rsid w:val="008B5348"/>
    <w:rsid w:val="008B5588"/>
    <w:rsid w:val="008B58F8"/>
    <w:rsid w:val="008C0712"/>
    <w:rsid w:val="008C4520"/>
    <w:rsid w:val="008C5F09"/>
    <w:rsid w:val="008D470F"/>
    <w:rsid w:val="008E0063"/>
    <w:rsid w:val="008E1F8F"/>
    <w:rsid w:val="008E4768"/>
    <w:rsid w:val="008E761E"/>
    <w:rsid w:val="008F4EE2"/>
    <w:rsid w:val="008F77B3"/>
    <w:rsid w:val="009008F5"/>
    <w:rsid w:val="00903481"/>
    <w:rsid w:val="00904CC1"/>
    <w:rsid w:val="009066AF"/>
    <w:rsid w:val="009066F0"/>
    <w:rsid w:val="00911212"/>
    <w:rsid w:val="00912050"/>
    <w:rsid w:val="00912E48"/>
    <w:rsid w:val="00920060"/>
    <w:rsid w:val="0092746F"/>
    <w:rsid w:val="00935DC9"/>
    <w:rsid w:val="00940EAA"/>
    <w:rsid w:val="009446C0"/>
    <w:rsid w:val="0095139E"/>
    <w:rsid w:val="009575DB"/>
    <w:rsid w:val="0096082E"/>
    <w:rsid w:val="00961347"/>
    <w:rsid w:val="00967410"/>
    <w:rsid w:val="00967D73"/>
    <w:rsid w:val="009750FA"/>
    <w:rsid w:val="0098119A"/>
    <w:rsid w:val="00984AAF"/>
    <w:rsid w:val="00985A5B"/>
    <w:rsid w:val="00987918"/>
    <w:rsid w:val="00991B09"/>
    <w:rsid w:val="00993CB2"/>
    <w:rsid w:val="009A5166"/>
    <w:rsid w:val="009A63FD"/>
    <w:rsid w:val="009A76F8"/>
    <w:rsid w:val="009B0F81"/>
    <w:rsid w:val="009B2B83"/>
    <w:rsid w:val="009C49F8"/>
    <w:rsid w:val="009D77CC"/>
    <w:rsid w:val="009E0818"/>
    <w:rsid w:val="009E2423"/>
    <w:rsid w:val="009E3765"/>
    <w:rsid w:val="009E55D7"/>
    <w:rsid w:val="009E574F"/>
    <w:rsid w:val="009F140C"/>
    <w:rsid w:val="009F4150"/>
    <w:rsid w:val="009F5665"/>
    <w:rsid w:val="009F5DAD"/>
    <w:rsid w:val="00A01BCA"/>
    <w:rsid w:val="00A10458"/>
    <w:rsid w:val="00A149DE"/>
    <w:rsid w:val="00A15371"/>
    <w:rsid w:val="00A153B6"/>
    <w:rsid w:val="00A164D5"/>
    <w:rsid w:val="00A17920"/>
    <w:rsid w:val="00A273C3"/>
    <w:rsid w:val="00A30C37"/>
    <w:rsid w:val="00A323E7"/>
    <w:rsid w:val="00A33DC8"/>
    <w:rsid w:val="00A36C65"/>
    <w:rsid w:val="00A41BBE"/>
    <w:rsid w:val="00A45BDD"/>
    <w:rsid w:val="00A46A0A"/>
    <w:rsid w:val="00A553F8"/>
    <w:rsid w:val="00A6708F"/>
    <w:rsid w:val="00A71BF6"/>
    <w:rsid w:val="00A82CEA"/>
    <w:rsid w:val="00A86913"/>
    <w:rsid w:val="00A86F9A"/>
    <w:rsid w:val="00AA35E6"/>
    <w:rsid w:val="00AA50B6"/>
    <w:rsid w:val="00AB3472"/>
    <w:rsid w:val="00AD0762"/>
    <w:rsid w:val="00AE4452"/>
    <w:rsid w:val="00AE7C38"/>
    <w:rsid w:val="00B01C67"/>
    <w:rsid w:val="00B01F99"/>
    <w:rsid w:val="00B02B37"/>
    <w:rsid w:val="00B05276"/>
    <w:rsid w:val="00B06A5B"/>
    <w:rsid w:val="00B132DB"/>
    <w:rsid w:val="00B27F5E"/>
    <w:rsid w:val="00B31427"/>
    <w:rsid w:val="00B33861"/>
    <w:rsid w:val="00B40DE2"/>
    <w:rsid w:val="00B46BF1"/>
    <w:rsid w:val="00B50210"/>
    <w:rsid w:val="00B53955"/>
    <w:rsid w:val="00B63D00"/>
    <w:rsid w:val="00B6408A"/>
    <w:rsid w:val="00B67DB3"/>
    <w:rsid w:val="00B714B8"/>
    <w:rsid w:val="00B74B40"/>
    <w:rsid w:val="00B82C2C"/>
    <w:rsid w:val="00B8720B"/>
    <w:rsid w:val="00B876EF"/>
    <w:rsid w:val="00BA4697"/>
    <w:rsid w:val="00BB5378"/>
    <w:rsid w:val="00BC0BD3"/>
    <w:rsid w:val="00BC745A"/>
    <w:rsid w:val="00BD0107"/>
    <w:rsid w:val="00BE0C33"/>
    <w:rsid w:val="00BE262C"/>
    <w:rsid w:val="00BE6C3D"/>
    <w:rsid w:val="00BF16F4"/>
    <w:rsid w:val="00C00571"/>
    <w:rsid w:val="00C041A8"/>
    <w:rsid w:val="00C07606"/>
    <w:rsid w:val="00C109F6"/>
    <w:rsid w:val="00C12542"/>
    <w:rsid w:val="00C13F42"/>
    <w:rsid w:val="00C24725"/>
    <w:rsid w:val="00C30BA9"/>
    <w:rsid w:val="00C31DFB"/>
    <w:rsid w:val="00C33DBF"/>
    <w:rsid w:val="00C3541E"/>
    <w:rsid w:val="00C36A8F"/>
    <w:rsid w:val="00C40081"/>
    <w:rsid w:val="00C42834"/>
    <w:rsid w:val="00C42FFA"/>
    <w:rsid w:val="00C507D8"/>
    <w:rsid w:val="00C54EE3"/>
    <w:rsid w:val="00C62EAC"/>
    <w:rsid w:val="00C63F9F"/>
    <w:rsid w:val="00C7723C"/>
    <w:rsid w:val="00C838F5"/>
    <w:rsid w:val="00C84F9E"/>
    <w:rsid w:val="00C95F4D"/>
    <w:rsid w:val="00CA1AF4"/>
    <w:rsid w:val="00CA3329"/>
    <w:rsid w:val="00CA4D02"/>
    <w:rsid w:val="00CA6068"/>
    <w:rsid w:val="00CB15E1"/>
    <w:rsid w:val="00CB3D46"/>
    <w:rsid w:val="00CC4115"/>
    <w:rsid w:val="00CD1A87"/>
    <w:rsid w:val="00CD2C94"/>
    <w:rsid w:val="00CD35F3"/>
    <w:rsid w:val="00CD5C93"/>
    <w:rsid w:val="00CE14CC"/>
    <w:rsid w:val="00CE342B"/>
    <w:rsid w:val="00CE57F9"/>
    <w:rsid w:val="00CF2022"/>
    <w:rsid w:val="00CF320C"/>
    <w:rsid w:val="00CF3A4B"/>
    <w:rsid w:val="00CF4001"/>
    <w:rsid w:val="00D05837"/>
    <w:rsid w:val="00D1045E"/>
    <w:rsid w:val="00D12D8A"/>
    <w:rsid w:val="00D13E0C"/>
    <w:rsid w:val="00D25896"/>
    <w:rsid w:val="00D373A1"/>
    <w:rsid w:val="00D37946"/>
    <w:rsid w:val="00D37C0F"/>
    <w:rsid w:val="00D40AB2"/>
    <w:rsid w:val="00D42260"/>
    <w:rsid w:val="00D45661"/>
    <w:rsid w:val="00D45943"/>
    <w:rsid w:val="00D47D22"/>
    <w:rsid w:val="00D51865"/>
    <w:rsid w:val="00D51D0C"/>
    <w:rsid w:val="00D54598"/>
    <w:rsid w:val="00D61BAF"/>
    <w:rsid w:val="00D673B3"/>
    <w:rsid w:val="00D674D5"/>
    <w:rsid w:val="00D73F00"/>
    <w:rsid w:val="00D74140"/>
    <w:rsid w:val="00D94020"/>
    <w:rsid w:val="00DA5C19"/>
    <w:rsid w:val="00DA6E56"/>
    <w:rsid w:val="00DC6705"/>
    <w:rsid w:val="00DD2018"/>
    <w:rsid w:val="00DD2DE8"/>
    <w:rsid w:val="00DD7F90"/>
    <w:rsid w:val="00DE38B4"/>
    <w:rsid w:val="00DE4895"/>
    <w:rsid w:val="00DE5D02"/>
    <w:rsid w:val="00DE6F85"/>
    <w:rsid w:val="00E005A9"/>
    <w:rsid w:val="00E03227"/>
    <w:rsid w:val="00E03A49"/>
    <w:rsid w:val="00E1166E"/>
    <w:rsid w:val="00E24DC0"/>
    <w:rsid w:val="00E2519C"/>
    <w:rsid w:val="00E25F2A"/>
    <w:rsid w:val="00E345EF"/>
    <w:rsid w:val="00E41455"/>
    <w:rsid w:val="00E42AD2"/>
    <w:rsid w:val="00E42FB7"/>
    <w:rsid w:val="00E50856"/>
    <w:rsid w:val="00E538CC"/>
    <w:rsid w:val="00E54DBA"/>
    <w:rsid w:val="00E63D7C"/>
    <w:rsid w:val="00E640D5"/>
    <w:rsid w:val="00E6500E"/>
    <w:rsid w:val="00E66E2E"/>
    <w:rsid w:val="00E67691"/>
    <w:rsid w:val="00E92237"/>
    <w:rsid w:val="00E951EF"/>
    <w:rsid w:val="00EA3D54"/>
    <w:rsid w:val="00EA56D9"/>
    <w:rsid w:val="00EA5CE3"/>
    <w:rsid w:val="00EB4DDF"/>
    <w:rsid w:val="00EB51C1"/>
    <w:rsid w:val="00EB5AE1"/>
    <w:rsid w:val="00EB5E0B"/>
    <w:rsid w:val="00EC2171"/>
    <w:rsid w:val="00ED442D"/>
    <w:rsid w:val="00ED70C2"/>
    <w:rsid w:val="00EE18FF"/>
    <w:rsid w:val="00EE489F"/>
    <w:rsid w:val="00EE7853"/>
    <w:rsid w:val="00EF275B"/>
    <w:rsid w:val="00EF4536"/>
    <w:rsid w:val="00F01A9B"/>
    <w:rsid w:val="00F0647F"/>
    <w:rsid w:val="00F10CE3"/>
    <w:rsid w:val="00F14F3B"/>
    <w:rsid w:val="00F15A7A"/>
    <w:rsid w:val="00F16362"/>
    <w:rsid w:val="00F20469"/>
    <w:rsid w:val="00F207C7"/>
    <w:rsid w:val="00F2393A"/>
    <w:rsid w:val="00F30760"/>
    <w:rsid w:val="00F36B6D"/>
    <w:rsid w:val="00F43FA3"/>
    <w:rsid w:val="00F5124A"/>
    <w:rsid w:val="00F518B7"/>
    <w:rsid w:val="00F5486E"/>
    <w:rsid w:val="00F55496"/>
    <w:rsid w:val="00F55648"/>
    <w:rsid w:val="00F70046"/>
    <w:rsid w:val="00F748C2"/>
    <w:rsid w:val="00F74CC3"/>
    <w:rsid w:val="00F76C5C"/>
    <w:rsid w:val="00F81EF3"/>
    <w:rsid w:val="00F82485"/>
    <w:rsid w:val="00F84496"/>
    <w:rsid w:val="00F85DCB"/>
    <w:rsid w:val="00F85E72"/>
    <w:rsid w:val="00F86F9C"/>
    <w:rsid w:val="00F90D76"/>
    <w:rsid w:val="00FA0251"/>
    <w:rsid w:val="00FC002E"/>
    <w:rsid w:val="00FC4C23"/>
    <w:rsid w:val="00FC642E"/>
    <w:rsid w:val="00FD0A78"/>
    <w:rsid w:val="00FE082E"/>
    <w:rsid w:val="00FE2AE4"/>
    <w:rsid w:val="00FE3F60"/>
    <w:rsid w:val="00FE689F"/>
    <w:rsid w:val="00FE7809"/>
    <w:rsid w:val="00FF27BB"/>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2E27BEE"/>
  <w15:docId w15:val="{CADBF320-AD52-40C6-94C2-8077E7A05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CE14CC"/>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1333C5"/>
    <w:rPr>
      <w:sz w:val="16"/>
      <w:szCs w:val="16"/>
    </w:rPr>
  </w:style>
  <w:style w:type="paragraph" w:styleId="CommentText">
    <w:name w:val="annotation text"/>
    <w:basedOn w:val="Normal"/>
    <w:link w:val="CommentTextChar"/>
    <w:uiPriority w:val="99"/>
    <w:semiHidden/>
    <w:unhideWhenUsed/>
    <w:rsid w:val="001333C5"/>
    <w:pPr>
      <w:spacing w:line="240" w:lineRule="auto"/>
    </w:pPr>
    <w:rPr>
      <w:sz w:val="20"/>
      <w:szCs w:val="20"/>
    </w:rPr>
  </w:style>
  <w:style w:type="character" w:customStyle="1" w:styleId="CommentTextChar">
    <w:name w:val="Comment Text Char"/>
    <w:basedOn w:val="DefaultParagraphFont"/>
    <w:link w:val="CommentText"/>
    <w:uiPriority w:val="99"/>
    <w:semiHidden/>
    <w:rsid w:val="001333C5"/>
    <w:rPr>
      <w:sz w:val="20"/>
      <w:szCs w:val="20"/>
    </w:rPr>
  </w:style>
  <w:style w:type="paragraph" w:styleId="CommentSubject">
    <w:name w:val="annotation subject"/>
    <w:basedOn w:val="CommentText"/>
    <w:next w:val="CommentText"/>
    <w:link w:val="CommentSubjectChar"/>
    <w:uiPriority w:val="99"/>
    <w:semiHidden/>
    <w:unhideWhenUsed/>
    <w:rsid w:val="001333C5"/>
    <w:rPr>
      <w:b/>
      <w:bCs/>
    </w:rPr>
  </w:style>
  <w:style w:type="character" w:customStyle="1" w:styleId="CommentSubjectChar">
    <w:name w:val="Comment Subject Char"/>
    <w:basedOn w:val="CommentTextChar"/>
    <w:link w:val="CommentSubject"/>
    <w:uiPriority w:val="99"/>
    <w:semiHidden/>
    <w:rsid w:val="001333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CDE568-ABFD-4AC6-A4A4-325DBBFC2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7973</Words>
  <Characters>48733</Characters>
  <Application>Microsoft Office Word</Application>
  <DocSecurity>0</DocSecurity>
  <Lines>406</Lines>
  <Paragraphs>113</Paragraphs>
  <ScaleCrop>false</ScaleCrop>
  <HeadingPairs>
    <vt:vector size="2" baseType="variant">
      <vt:variant>
        <vt:lpstr>Title</vt:lpstr>
      </vt:variant>
      <vt:variant>
        <vt:i4>1</vt:i4>
      </vt:variant>
    </vt:vector>
  </HeadingPairs>
  <TitlesOfParts>
    <vt:vector size="1" baseType="lpstr">
      <vt:lpstr>Communicable Diseases Intelligence 2020 - SAEFVIC: Surveillance of adverse events following immunisation (AEFI) in Victoria, Australia, 2018</vt:lpstr>
    </vt:vector>
  </TitlesOfParts>
  <Company>Australian Government, Department of Health</Company>
  <LinksUpToDate>false</LinksUpToDate>
  <CharactersWithSpaces>56593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SAEFVIC: Surveillance of adverse events following immunisation (AEFI) in Victoria, Australia, 2018</dc:title>
  <dc:subject>Surveillance of Adverse Events Following Vaccination In the Community, referred to by the acronym SAEFVIC, is a public health partnership initiative of the Victorian Immunisation Program funded by the Department of Health, Victoria. It comprises a central reporting enhanced passive surveillance system integrated with clinical services and is focused on adverse events following immunisation (AEFI) identification for the state of Victoria.</dc:subject>
  <dc:creator>YOUSEFI, Kasra</dc:creator>
  <cp:keywords>Vaccine safety, adverse events, immunisation, surveillance, pharmacovigilance</cp:keywords>
  <dc:description>© Commonwealth of Australia CC BY-NC-ND ISSN: 2209-6051 (Online)</dc:description>
  <cp:lastPrinted>2018-05-10T02:19:00Z</cp:lastPrinted>
  <dcterms:created xsi:type="dcterms:W3CDTF">2024-08-29T01:07:00Z</dcterms:created>
  <dcterms:modified xsi:type="dcterms:W3CDTF">2024-08-29T01:07:00Z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15/06/2020</vt:lpwstr>
  </property>
  <property fmtid="{D5CDD505-2E9C-101B-9397-08002B2CF9AE}" pid="5" name="DOI">
    <vt:lpwstr>https://doi.org/10.33321/cdi.2020.44.46</vt:lpwstr>
  </property>
</Properties>
</file>