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48E5" w14:textId="77777777" w:rsidR="00EB75EE" w:rsidRDefault="00EB75EE" w:rsidP="000571C4">
      <w:pPr>
        <w:pStyle w:val="Title"/>
        <w:rPr>
          <w:sz w:val="24"/>
          <w:szCs w:val="24"/>
        </w:rPr>
      </w:pPr>
      <w:r>
        <w:t xml:space="preserve">Australian Gonococcal Surveillance Programme Annual Report, 2019 </w:t>
      </w:r>
    </w:p>
    <w:p w14:paraId="42814279" w14:textId="77777777" w:rsidR="00EB75EE" w:rsidRDefault="00EB75EE" w:rsidP="00B71FD3">
      <w:r>
        <w:t>Monica M Lahra,</w:t>
      </w:r>
      <w:r>
        <w:rPr>
          <w:vertAlign w:val="superscript"/>
        </w:rPr>
        <w:t xml:space="preserve"> </w:t>
      </w:r>
      <w:r>
        <w:t>Masoud Shoushtari,</w:t>
      </w:r>
      <w:r>
        <w:rPr>
          <w:vertAlign w:val="superscript"/>
        </w:rPr>
        <w:t xml:space="preserve"> </w:t>
      </w:r>
      <w:r>
        <w:t>CR Robert George,</w:t>
      </w:r>
      <w:r>
        <w:rPr>
          <w:vertAlign w:val="superscript"/>
        </w:rPr>
        <w:t xml:space="preserve"> </w:t>
      </w:r>
      <w:r>
        <w:t xml:space="preserve">Benjamin H Armstrong and Tiffany R Hogan for the National Neisseria Network, Australia </w:t>
      </w:r>
    </w:p>
    <w:p w14:paraId="73DFE828" w14:textId="77777777" w:rsidR="00EB75EE" w:rsidRPr="000571C4" w:rsidRDefault="00EB75EE" w:rsidP="000571C4">
      <w:pPr>
        <w:pStyle w:val="Heading1"/>
      </w:pPr>
      <w:r w:rsidRPr="000571C4">
        <w:t xml:space="preserve">Abstract </w:t>
      </w:r>
    </w:p>
    <w:p w14:paraId="6FDA3C51" w14:textId="77777777" w:rsidR="00EB75EE" w:rsidRDefault="00EB75EE" w:rsidP="00432E8C">
      <w:r>
        <w:t xml:space="preserve">The Australian Gonococcal Surveillance Programme (AGSP) has continuously monitored antimicrobial resistance in clinical isolates of </w:t>
      </w:r>
      <w:r w:rsidRPr="00D2062F">
        <w:rPr>
          <w:rStyle w:val="Emphasis"/>
          <w:b w:val="0"/>
        </w:rPr>
        <w:t>Neisseria gonorrhoeae</w:t>
      </w:r>
      <w:r>
        <w:t xml:space="preserve"> since 1981. In 2019, a total of 9,668 clinical isolates of gonococci from the public and private sector in all jurisdictions were tested for </w:t>
      </w:r>
      <w:r w:rsidRPr="00D2062F">
        <w:rPr>
          <w:rStyle w:val="Emphasis"/>
          <w:b w:val="0"/>
        </w:rPr>
        <w:t xml:space="preserve">in vitro </w:t>
      </w:r>
      <w:r>
        <w:t xml:space="preserve">antimicrobial susceptibility by standardised methods. </w:t>
      </w:r>
    </w:p>
    <w:p w14:paraId="2248DDF2" w14:textId="77777777" w:rsidR="00EB75EE" w:rsidRDefault="00EB75EE" w:rsidP="00211E37">
      <w:r>
        <w:t xml:space="preserve">The current treatment recommendation for gonorrhoea, for the majority of Australia, continues to be dual therapy with ceftriaxone and azithromycin. Decreased susceptibility (DS) to ceftriaxone (minimum inhibitory concentration [MIC] value ≥ 0.06 mg/L) was found nationally in 1.3% of isolates. Five </w:t>
      </w:r>
      <w:r w:rsidRPr="00D2062F">
        <w:rPr>
          <w:rStyle w:val="Emphasis"/>
          <w:b w:val="0"/>
        </w:rPr>
        <w:t>N. gonorrhoeae</w:t>
      </w:r>
      <w:r>
        <w:t xml:space="preserve"> clinical isolates were ceftriaxone-resistant (MIC value ≥ 0.25 mg/L), and therefore also resistant to penicillin; all were resistant to ciprofloxacin but susceptible to azithromycin. These isolates were reported from Victoria (3), non-remote Western Australia (1) and New South Wales (1). </w:t>
      </w:r>
    </w:p>
    <w:p w14:paraId="607763C1" w14:textId="77777777" w:rsidR="00EB75EE" w:rsidRDefault="00EB75EE" w:rsidP="00211E37">
      <w:r>
        <w:t xml:space="preserve">Resistance to azithromycin (MIC value ≥ 1.0 mg/L) was found nationally in 4.6% of </w:t>
      </w:r>
      <w:r w:rsidRPr="00D2062F">
        <w:rPr>
          <w:rStyle w:val="Emphasis"/>
          <w:b w:val="0"/>
        </w:rPr>
        <w:t>N. gonorrhoeae</w:t>
      </w:r>
      <w:r>
        <w:t xml:space="preserve"> isolates, continuing a downward trend observed and reported since 2017. Isolates with high-level resistance to azithromycin (MIC value ≥ 256 mg/L) continue to be reported sporadically in Australia, with eight detected in 2019</w:t>
      </w:r>
      <w:r w:rsidRPr="00D2062F">
        <w:rPr>
          <w:rStyle w:val="Emphasis"/>
          <w:b w:val="0"/>
        </w:rPr>
        <w:t xml:space="preserve">: </w:t>
      </w:r>
      <w:r>
        <w:t xml:space="preserve">two each from New South Wales, Queensland, and Victoria, and one each from Tasmania and non-remote Western Australia. </w:t>
      </w:r>
    </w:p>
    <w:p w14:paraId="5F3AD0F5" w14:textId="77777777" w:rsidR="00EB75EE" w:rsidRDefault="00EB75EE" w:rsidP="00211E37">
      <w:r>
        <w:t xml:space="preserve">In 2019, in Australia, 2,136 gonococcal isolates (22.1%) were penicillin resistant; however, there remains considerable variation by jurisdiction, and in some remote settings there is little resistance and this drug is recommended empiric therapy. In 2019, in the remote Northern Territory, no penicillin resistance was reported, however in remote Western Australia six out of 85 isolates (7.1%) were penicillin resistant. There was no ciprofloxacin resistance reported from isolates tested from remote regions of the Northern Territory, and ciprofloxacin resistance rates remain comparatively low (7/85; 8.2%) in remote Western Australia. </w:t>
      </w:r>
    </w:p>
    <w:p w14:paraId="6E6F2BC8" w14:textId="77777777" w:rsidR="00EB75EE" w:rsidRDefault="00EB75EE" w:rsidP="00211E37">
      <w:r>
        <w:t xml:space="preserve">Keywords: antimicrobial resistance; disease surveillance; gonococcal infection; </w:t>
      </w:r>
      <w:r w:rsidRPr="00D2062F">
        <w:rPr>
          <w:rStyle w:val="Emphasis"/>
          <w:b w:val="0"/>
        </w:rPr>
        <w:t xml:space="preserve">Neisseria gonorrhoeae </w:t>
      </w:r>
    </w:p>
    <w:p w14:paraId="39EF7D42" w14:textId="77777777" w:rsidR="00EB75EE" w:rsidRPr="00211E37" w:rsidRDefault="00EB75EE" w:rsidP="00211E37">
      <w:pPr>
        <w:pStyle w:val="Heading1"/>
      </w:pPr>
      <w:r w:rsidRPr="00211E37">
        <w:t xml:space="preserve">Introduction </w:t>
      </w:r>
    </w:p>
    <w:p w14:paraId="33A53281" w14:textId="77777777" w:rsidR="00EB75EE" w:rsidRDefault="00EB75EE" w:rsidP="00211E37">
      <w:r>
        <w:t xml:space="preserve">The National Neisseria Network (NNN) is a collaborative network of the jurisdictional </w:t>
      </w:r>
      <w:r w:rsidRPr="00D2062F">
        <w:rPr>
          <w:rStyle w:val="Emphasis"/>
          <w:b w:val="0"/>
        </w:rPr>
        <w:t>Neisseria</w:t>
      </w:r>
      <w:r>
        <w:t xml:space="preserve"> reference laboratories across Australia, established in the late 1970s, that perform testing of clinical isolates of the pathogenic </w:t>
      </w:r>
      <w:r w:rsidRPr="00D2062F">
        <w:rPr>
          <w:rStyle w:val="Emphasis"/>
          <w:b w:val="0"/>
        </w:rPr>
        <w:t xml:space="preserve">Neisseria species: Neisseria gonorrhoeae </w:t>
      </w:r>
      <w:r>
        <w:t>(NG)</w:t>
      </w:r>
      <w:r w:rsidRPr="00D2062F">
        <w:rPr>
          <w:rStyle w:val="Emphasis"/>
          <w:b w:val="0"/>
        </w:rPr>
        <w:t xml:space="preserve"> </w:t>
      </w:r>
      <w:r>
        <w:t>and</w:t>
      </w:r>
      <w:r w:rsidRPr="00D2062F">
        <w:rPr>
          <w:rStyle w:val="Emphasis"/>
          <w:b w:val="0"/>
        </w:rPr>
        <w:t xml:space="preserve"> N. meningitidis</w:t>
      </w:r>
      <w:r>
        <w:t>. The Australian Gonococcal Surveillance Programme (AGSP) is a key activity of the NNN. The AGSP has continuously monitored and reported gonococcal antimicrobial susceptibility since 1981,</w:t>
      </w:r>
      <w:r>
        <w:rPr>
          <w:vertAlign w:val="superscript"/>
        </w:rPr>
        <w:t>1</w:t>
      </w:r>
      <w:r>
        <w:t xml:space="preserve"> and is the longest continually-running national surveillance system for gonococcal antimicrobial resistance (AMR). Concerns regarding AMR in NG have been the focus of national and international public health agendas, with the predicted emergence and spread of multidrug-resistant gonorrhoea posing significant collateral health and financial costs.</w:t>
      </w:r>
      <w:r>
        <w:rPr>
          <w:vertAlign w:val="superscript"/>
        </w:rPr>
        <w:t>2</w:t>
      </w:r>
      <w:r>
        <w:t xml:space="preserve"> Globally, the majority of settings rely on a combination of ceftriaxone and azithromycin for the treatment of gonorrhoea. A number of sporadic reports of ceftriaxone resistance have been reported, both in Australia and elsewhere, in the last two decades, although it was not until </w:t>
      </w:r>
      <w:r>
        <w:lastRenderedPageBreak/>
        <w:t>2017 that the first evidence of sustained spread of multidrug-resistant gonorrhoea was reported.</w:t>
      </w:r>
      <w:r>
        <w:rPr>
          <w:vertAlign w:val="superscript"/>
        </w:rPr>
        <w:t>3</w:t>
      </w:r>
      <w:r>
        <w:t xml:space="preserve"> This was followed in 2018 by the report of the first extensively drug-resistant </w:t>
      </w:r>
      <w:r w:rsidRPr="00D2062F">
        <w:rPr>
          <w:rStyle w:val="Emphasis"/>
          <w:b w:val="0"/>
        </w:rPr>
        <w:t>N. gonorrhoeae</w:t>
      </w:r>
      <w:r>
        <w:t xml:space="preserve"> isolates, found in Australia and, at the same time, in the United Kingdom.</w:t>
      </w:r>
      <w:r>
        <w:rPr>
          <w:vertAlign w:val="superscript"/>
        </w:rPr>
        <w:t>4,5</w:t>
      </w:r>
      <w:r>
        <w:t xml:space="preserve"> Genomic investigations have shown that ceftriaxone resistance in these strains was associated with the </w:t>
      </w:r>
      <w:proofErr w:type="spellStart"/>
      <w:r w:rsidRPr="00D2062F">
        <w:rPr>
          <w:rStyle w:val="Emphasis"/>
          <w:b w:val="0"/>
        </w:rPr>
        <w:t>penA</w:t>
      </w:r>
      <w:proofErr w:type="spellEnd"/>
      <w:r w:rsidRPr="00D2062F">
        <w:rPr>
          <w:rStyle w:val="Emphasis"/>
          <w:b w:val="0"/>
        </w:rPr>
        <w:t xml:space="preserve"> </w:t>
      </w:r>
      <w:r>
        <w:t>allele (type 60.001) that encodes the key</w:t>
      </w:r>
      <w:r w:rsidRPr="00D2062F">
        <w:rPr>
          <w:rStyle w:val="Emphasis"/>
          <w:b w:val="0"/>
        </w:rPr>
        <w:t xml:space="preserve"> </w:t>
      </w:r>
      <w:r>
        <w:t>alterations A311V and T483S.</w:t>
      </w:r>
      <w:r>
        <w:rPr>
          <w:vertAlign w:val="superscript"/>
        </w:rPr>
        <w:t xml:space="preserve">4 </w:t>
      </w:r>
    </w:p>
    <w:p w14:paraId="638F5D6C" w14:textId="77777777" w:rsidR="00EB75EE" w:rsidRDefault="00EB75EE" w:rsidP="00211E37">
      <w:r>
        <w:t>The emergence of NG AMR in Australia has long been influenced by the introduction of multi-resistant strains from overseas.</w:t>
      </w:r>
      <w:r>
        <w:rPr>
          <w:vertAlign w:val="superscript"/>
        </w:rPr>
        <w:t>6</w:t>
      </w:r>
      <w:r>
        <w:t xml:space="preserve"> Recent work from the World Health Organization Collaborating Centre for STI and AMR (WHOCC), Sydney, investigating the emergence of resistance in ciprofloxacin (the previous first-line therapy for gonococcal infections) found that continued importation of ciprofloxacin-resistant NG isolates</w:t>
      </w:r>
      <w:r w:rsidRPr="00D2062F">
        <w:rPr>
          <w:rStyle w:val="Emphasis"/>
          <w:b w:val="0"/>
        </w:rPr>
        <w:t>,</w:t>
      </w:r>
      <w:r>
        <w:t xml:space="preserve"> rather than the expansion of a single genotype, led to ciprofloxacin resistance being established to the point that a change in therapeutic recommendations to ceftriaxone was required.</w:t>
      </w:r>
      <w:r>
        <w:rPr>
          <w:vertAlign w:val="superscript"/>
        </w:rPr>
        <w:t>7</w:t>
      </w:r>
      <w:r>
        <w:t xml:space="preserve"> The</w:t>
      </w:r>
      <w:r>
        <w:rPr>
          <w:rStyle w:val="Strong"/>
        </w:rPr>
        <w:t xml:space="preserve"> </w:t>
      </w:r>
      <w:r>
        <w:t xml:space="preserve">importation and spread of ceftriaxone-resistant gonococcal strains, and/or new resistance developing, remains an ongoing concern for disease control strategies and is a focus of the work of the NNN. </w:t>
      </w:r>
    </w:p>
    <w:p w14:paraId="0DFFDAEB" w14:textId="77777777" w:rsidR="00EB75EE" w:rsidRDefault="00EB75EE" w:rsidP="00211E37">
      <w:r>
        <w:t xml:space="preserve">Whilst the background rate of strains with ceftriaxone decreased susceptibility (minimum inhibitory concentration [MIC] value ≥ 0.06 mg/L) in Australia has remained low and relatively stable since the introduction of dual therapy for gonorrhoea in 2014, vigilance in continuing culture-based surveillance to detect novel resistant strains is imperative. The increased proportion of gonococcal isolates with azithromycin resistance in recent years has also added to concerns about management strategies; however, after an increase nationally to 9.3% in 2017, this resistance declined to 6.2% in 2018 and through the quarters of 2019. </w:t>
      </w:r>
    </w:p>
    <w:p w14:paraId="2B7E2551" w14:textId="77777777" w:rsidR="00EB75EE" w:rsidRDefault="00EB75EE" w:rsidP="00211E37">
      <w:r>
        <w:t>Coincident with, but unrelated to, increasing AMR in Australia, there are recent substantive increases in gonococcal disease in this country, with an overall 80% increase in notifications in 2015–2017 in both males and females. Conversely, over the same period, reported rates of gonorrhoea decreased by 19% in the Aboriginal and Torres Strait Islander population. Disease rates in Indigenous Australians remain markedly (6.6 times) higher than in the non-Indigenous population (627.5 per 100,000 versus 95.6 per 100,000),</w:t>
      </w:r>
      <w:r w:rsidRPr="00D2062F">
        <w:rPr>
          <w:rStyle w:val="Emphasis"/>
          <w:b w:val="0"/>
        </w:rPr>
        <w:t xml:space="preserve"> </w:t>
      </w:r>
      <w:r>
        <w:t>and are highest in remote and very remote areas (1,444 per 100,000; i.e., 30 times greater than the non-Indigenous population).</w:t>
      </w:r>
      <w:r>
        <w:rPr>
          <w:vertAlign w:val="superscript"/>
        </w:rPr>
        <w:t>8</w:t>
      </w:r>
      <w:r>
        <w:t xml:space="preserve"> In contrast to non-remote Australia, NG AMR in remote regions remains low in locally-acquired infections, with the recommended therapeutic strategy based on oral penicillin.</w:t>
      </w:r>
      <w:r>
        <w:rPr>
          <w:vertAlign w:val="superscript"/>
        </w:rPr>
        <w:t>9</w:t>
      </w:r>
      <w:r>
        <w:t xml:space="preserve"> </w:t>
      </w:r>
    </w:p>
    <w:p w14:paraId="216A53E4" w14:textId="77777777" w:rsidR="00EB75EE" w:rsidRDefault="00EB75EE" w:rsidP="00211E37">
      <w:r>
        <w:t>Paradoxically, the current heightened global awareness of AMR, and increasing disease notification rates reported in Australia and elsewhere,</w:t>
      </w:r>
      <w:r>
        <w:rPr>
          <w:vertAlign w:val="superscript"/>
        </w:rPr>
        <w:t>8,10–13</w:t>
      </w:r>
      <w:r>
        <w:t xml:space="preserve"> have coincided with increased use of nucleic acid amplification testing (NAAT) for gonococcal diagnosis, replacing bacterial culture and antimicrobial susceptibility testing (AST). In remote regions in Australia, NAAT is used to detect penicillin resistance</w:t>
      </w:r>
      <w:r>
        <w:rPr>
          <w:vertAlign w:val="superscript"/>
        </w:rPr>
        <w:t>14,15</w:t>
      </w:r>
      <w:r>
        <w:t xml:space="preserve"> in NAAT-positive samples for NG; this is the first documented use of routine molecular testing for NG AMR detection and surveillance, and these data continue to inform local treatment guidelines.</w:t>
      </w:r>
      <w:r>
        <w:rPr>
          <w:vertAlign w:val="superscript"/>
        </w:rPr>
        <w:t xml:space="preserve">15 </w:t>
      </w:r>
    </w:p>
    <w:p w14:paraId="072125E7" w14:textId="77777777" w:rsidR="00EB75EE" w:rsidRDefault="00EB75EE" w:rsidP="00211E37">
      <w:r>
        <w:t>Strategies for treating and controlling gonorrhoea are based on regimens effecting cure in a minimum of 95% of cases. Surveillance data of antibiotics in clinical use are critical to monitor AMR, to detect imported or novel resistance, and to inform treatment guidelines.</w:t>
      </w:r>
      <w:r>
        <w:rPr>
          <w:vertAlign w:val="superscript"/>
        </w:rPr>
        <w:t>16</w:t>
      </w:r>
      <w:r>
        <w:t xml:space="preserve"> The WHO has called for enhanced surveillance as a fundamental component of its Global Action Plan to control the spread and impact of gonococcal AMR.</w:t>
      </w:r>
      <w:r>
        <w:rPr>
          <w:vertAlign w:val="superscript"/>
        </w:rPr>
        <w:t>17</w:t>
      </w:r>
      <w:r>
        <w:t xml:space="preserve"> </w:t>
      </w:r>
    </w:p>
    <w:p w14:paraId="1DB7BAC1" w14:textId="77777777" w:rsidR="00EB75EE" w:rsidRPr="00211E37" w:rsidRDefault="00EB75EE" w:rsidP="00211E37">
      <w:pPr>
        <w:pStyle w:val="Heading1"/>
      </w:pPr>
      <w:r w:rsidRPr="00211E37">
        <w:t xml:space="preserve">Methods </w:t>
      </w:r>
    </w:p>
    <w:p w14:paraId="2C843B8E" w14:textId="77777777" w:rsidR="00EB75EE" w:rsidRDefault="00EB75EE" w:rsidP="00211E37">
      <w:r>
        <w:t xml:space="preserve">All confirmed cases of gonorrhoea in Australia are notifiable to the National Notifiable Diseases Surveillance System (NNDSS) under legislation. The NG isolates tested by the NNN, and reported by the AGSP, therefore represent a proportion of the total number of notified cases. The NNN laboratories test gonococcal isolates for susceptibility to </w:t>
      </w:r>
      <w:r>
        <w:lastRenderedPageBreak/>
        <w:t>ceftriaxone; azithromycin; penicillin; ciprofloxacin; spectinomycin; and variably tetracycline, using previously-described standardised methodology to determine the minimum inhibitory concentration (MIC) values.</w:t>
      </w:r>
      <w:r>
        <w:rPr>
          <w:vertAlign w:val="superscript"/>
        </w:rPr>
        <w:t>18</w:t>
      </w:r>
      <w:r>
        <w:t xml:space="preserve"> The MIC value is the lowest antibiotic concentration that inhibits </w:t>
      </w:r>
      <w:r w:rsidRPr="00D2062F">
        <w:rPr>
          <w:rStyle w:val="Emphasis"/>
          <w:b w:val="0"/>
        </w:rPr>
        <w:t>in vitro</w:t>
      </w:r>
      <w:r>
        <w:t xml:space="preserve"> growth under defined conditions. The AGSP conducts a programme-specific quality assurance program.</w:t>
      </w:r>
      <w:r>
        <w:rPr>
          <w:vertAlign w:val="superscript"/>
        </w:rPr>
        <w:t>19</w:t>
      </w:r>
      <w:r>
        <w:t xml:space="preserve"> </w:t>
      </w:r>
    </w:p>
    <w:p w14:paraId="67ED8E53" w14:textId="77777777" w:rsidR="00EB75EE" w:rsidRDefault="00EB75EE" w:rsidP="00211E37">
      <w:r>
        <w:t xml:space="preserve">Gonococcal AST data from each jurisdiction are submitted quarterly to the coordinating laboratory (the Neisseria Reference Laboratory and WHOCC Sydney) which collates the data for reporting. Where available, the AGSP collects data on the sex of the patient, country of acquisition of infection, and site of isolation of gonococcal isolates. Data collected across jurisdictions are predominantly from urban centres. Data from the Northern Territory and Western Australia are further divided into non-remote and remote regions determined at the jurisdictional level, based on antibiograms, and therapeutic recommendations consequently differ. </w:t>
      </w:r>
    </w:p>
    <w:p w14:paraId="1F79FAE5" w14:textId="77777777" w:rsidR="00EB75EE" w:rsidRPr="00211E37" w:rsidRDefault="00EB75EE" w:rsidP="00211E37">
      <w:pPr>
        <w:pStyle w:val="Heading1"/>
      </w:pPr>
      <w:r w:rsidRPr="00211E37">
        <w:t xml:space="preserve">Results </w:t>
      </w:r>
    </w:p>
    <w:p w14:paraId="259AD685" w14:textId="77777777" w:rsidR="00EB75EE" w:rsidRPr="00211E37" w:rsidRDefault="00EB75EE" w:rsidP="00211E37">
      <w:pPr>
        <w:pStyle w:val="Heading2"/>
      </w:pPr>
      <w:r w:rsidRPr="00211E37">
        <w:t xml:space="preserve">Proportion of gonococcal infections with antimicrobial susceptibility testing </w:t>
      </w:r>
    </w:p>
    <w:p w14:paraId="4024700D" w14:textId="77777777" w:rsidR="00EB75EE" w:rsidRDefault="00EB75EE" w:rsidP="00211E37">
      <w:r>
        <w:t xml:space="preserve">Antimicrobial susceptibility testing is able to be performed when diagnosis is made by bacterial culture. Nucleic acid amplification testing, such as polymerase chain reaction (PCR), has been widely adopted for diagnosis of gonococcal infections, and whilst molecular detection of known antimicrobial markers is possible, currently available NAATs cannot detect resistance beyond that associated with known determinants. </w:t>
      </w:r>
    </w:p>
    <w:p w14:paraId="50EB845A" w14:textId="77777777" w:rsidR="00EB75EE" w:rsidRDefault="00EB75EE" w:rsidP="00211E37">
      <w:r>
        <w:t>In 2019 there were 34,265 gonococcal infections notified in Australia; the NNN laboratories received and tested 9,668 NG isolates, representing both the highest annual total of isolates and the highest number of annual gonococcal disease notifications since records commenced in 1991 (Figure 1</w:t>
      </w:r>
      <w:r>
        <w:rPr>
          <w:rStyle w:val="Strong"/>
        </w:rPr>
        <w:t>)</w:t>
      </w:r>
      <w:r>
        <w:t>.</w:t>
      </w:r>
      <w:r>
        <w:rPr>
          <w:vertAlign w:val="superscript"/>
        </w:rPr>
        <w:t>20</w:t>
      </w:r>
      <w:r>
        <w:t xml:space="preserve"> Overall, 28% of gonococcal infections notified had AST undertaken at NNN laboratories (Table 1). </w:t>
      </w:r>
    </w:p>
    <w:p w14:paraId="76416488" w14:textId="77777777" w:rsidR="009C37CD" w:rsidRDefault="009C37CD" w:rsidP="009C37CD">
      <w:pPr>
        <w:pStyle w:val="CDIFigures"/>
        <w:sectPr w:rsidR="009C37C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5BAAE91" w14:textId="77777777" w:rsidR="00EB75EE" w:rsidRDefault="00EB75EE" w:rsidP="009C37CD">
      <w:pPr>
        <w:pStyle w:val="CDIFigures"/>
      </w:pPr>
      <w:r>
        <w:lastRenderedPageBreak/>
        <w:t>Figure 1: Number of gonococcal disease cases reported to the National Notifiable Diseases Surveillance System compared with Neisseria gonorrhoeae isolates available for laboratory testing by the Australian Gonococcal Surveillance Programme, Australia, 1991–2019</w:t>
      </w:r>
    </w:p>
    <w:p w14:paraId="25C7BF94" w14:textId="77777777" w:rsidR="00EB75EE" w:rsidRDefault="00EB75EE">
      <w:pPr>
        <w:pStyle w:val="NormalWeb"/>
      </w:pPr>
      <w:r>
        <w:rPr>
          <w:noProof/>
        </w:rPr>
        <w:drawing>
          <wp:inline distT="0" distB="0" distL="0" distR="0" wp14:anchorId="7FADFA78" wp14:editId="080E37D1">
            <wp:extent cx="9391822" cy="4913194"/>
            <wp:effectExtent l="0" t="0" r="0" b="1905"/>
            <wp:docPr id="2" name="Picture 2" descr="Figure 1: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422741" cy="4929369"/>
                    </a:xfrm>
                    <a:prstGeom prst="rect">
                      <a:avLst/>
                    </a:prstGeom>
                  </pic:spPr>
                </pic:pic>
              </a:graphicData>
            </a:graphic>
          </wp:inline>
        </w:drawing>
      </w:r>
    </w:p>
    <w:p w14:paraId="7B0D4E81" w14:textId="77777777" w:rsidR="009C37CD" w:rsidRDefault="009C37CD" w:rsidP="00211E37">
      <w:pPr>
        <w:pStyle w:val="CDIFigures"/>
        <w:sectPr w:rsidR="009C37CD" w:rsidSect="009C37CD">
          <w:pgSz w:w="16838" w:h="11906" w:orient="landscape"/>
          <w:pgMar w:top="720" w:right="720" w:bottom="720" w:left="1134" w:header="709" w:footer="284" w:gutter="0"/>
          <w:cols w:space="708"/>
          <w:titlePg/>
          <w:docGrid w:linePitch="360"/>
        </w:sectPr>
      </w:pPr>
    </w:p>
    <w:p w14:paraId="48899E7A" w14:textId="77777777" w:rsidR="00EB75EE" w:rsidRDefault="00EB75EE" w:rsidP="00211E37">
      <w:pPr>
        <w:pStyle w:val="CDIFigures"/>
      </w:pPr>
      <w:r>
        <w:lastRenderedPageBreak/>
        <w:t xml:space="preserve">Table 1: Number of Australian Gonococcal Surveillance Programme gonococcal isolates tested as a proportion of National Notifiable Diseases Surveillance System (NNDSS) gonorrhoea notifications, Australia, 2019, by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proportion of gonococcal disease notifications that had antimicrobial susceptibility testing performed.  The total proportion nationally was 29%, but ranged between 11% in the Northern Territory to 62% in the Australian Capital Territory."/>
      </w:tblPr>
      <w:tblGrid>
        <w:gridCol w:w="2977"/>
        <w:gridCol w:w="2496"/>
        <w:gridCol w:w="2496"/>
        <w:gridCol w:w="2497"/>
      </w:tblGrid>
      <w:tr w:rsidR="000C7C82" w:rsidRPr="007F334E" w14:paraId="3882BED5" w14:textId="77777777" w:rsidTr="002B65D8">
        <w:trPr>
          <w:cnfStyle w:val="100000000000" w:firstRow="1" w:lastRow="0" w:firstColumn="0" w:lastColumn="0" w:oddVBand="0" w:evenVBand="0" w:oddHBand="0" w:evenHBand="0" w:firstRowFirstColumn="0" w:firstRowLastColumn="0" w:lastRowFirstColumn="0" w:lastRowLastColumn="0"/>
          <w:tblHeader/>
        </w:trPr>
        <w:tc>
          <w:tcPr>
            <w:tcW w:w="2977" w:type="dxa"/>
            <w:tcBorders>
              <w:right w:val="single" w:sz="2" w:space="0" w:color="FFFFFF" w:themeColor="background1"/>
            </w:tcBorders>
            <w:hideMark/>
          </w:tcPr>
          <w:p w14:paraId="629192A6" w14:textId="77777777" w:rsidR="00EB75EE" w:rsidRPr="007F334E" w:rsidRDefault="00EB75EE">
            <w:pPr>
              <w:pStyle w:val="NormalWeb"/>
              <w:rPr>
                <w:color w:val="FFFFFF" w:themeColor="background1"/>
                <w:sz w:val="18"/>
                <w:szCs w:val="18"/>
              </w:rPr>
            </w:pPr>
            <w:r w:rsidRPr="007F334E">
              <w:rPr>
                <w:color w:val="FFFFFF" w:themeColor="background1"/>
                <w:sz w:val="18"/>
                <w:szCs w:val="18"/>
              </w:rPr>
              <w:t>State or territory</w:t>
            </w:r>
          </w:p>
        </w:tc>
        <w:tc>
          <w:tcPr>
            <w:tcW w:w="2496" w:type="dxa"/>
            <w:tcBorders>
              <w:left w:val="single" w:sz="2" w:space="0" w:color="FFFFFF" w:themeColor="background1"/>
              <w:right w:val="single" w:sz="2" w:space="0" w:color="FFFFFF" w:themeColor="background1"/>
            </w:tcBorders>
            <w:hideMark/>
          </w:tcPr>
          <w:p w14:paraId="05B3CC77" w14:textId="77777777" w:rsidR="00EB75EE" w:rsidRPr="007F334E" w:rsidRDefault="00EB75EE" w:rsidP="000C7C82">
            <w:pPr>
              <w:pStyle w:val="NormalWeb"/>
              <w:jc w:val="center"/>
              <w:rPr>
                <w:color w:val="FFFFFF" w:themeColor="background1"/>
                <w:sz w:val="18"/>
                <w:szCs w:val="18"/>
              </w:rPr>
            </w:pPr>
            <w:r w:rsidRPr="007F334E">
              <w:rPr>
                <w:color w:val="FFFFFF" w:themeColor="background1"/>
                <w:sz w:val="18"/>
                <w:szCs w:val="18"/>
              </w:rPr>
              <w:t>Number of isolates tested</w:t>
            </w:r>
          </w:p>
        </w:tc>
        <w:tc>
          <w:tcPr>
            <w:tcW w:w="2496" w:type="dxa"/>
            <w:tcBorders>
              <w:left w:val="single" w:sz="2" w:space="0" w:color="FFFFFF" w:themeColor="background1"/>
              <w:right w:val="single" w:sz="2" w:space="0" w:color="FFFFFF" w:themeColor="background1"/>
            </w:tcBorders>
            <w:hideMark/>
          </w:tcPr>
          <w:p w14:paraId="5DB7A2C2" w14:textId="77777777" w:rsidR="00EB75EE" w:rsidRPr="007F334E" w:rsidRDefault="00EB75EE" w:rsidP="000C7C82">
            <w:pPr>
              <w:pStyle w:val="NormalWeb"/>
              <w:jc w:val="center"/>
              <w:rPr>
                <w:color w:val="FFFFFF" w:themeColor="background1"/>
                <w:sz w:val="18"/>
                <w:szCs w:val="18"/>
              </w:rPr>
            </w:pPr>
            <w:r w:rsidRPr="007F334E">
              <w:rPr>
                <w:color w:val="FFFFFF" w:themeColor="background1"/>
                <w:sz w:val="18"/>
                <w:szCs w:val="18"/>
              </w:rPr>
              <w:t>NNDSS Notifications</w:t>
            </w:r>
          </w:p>
        </w:tc>
        <w:tc>
          <w:tcPr>
            <w:tcW w:w="2497" w:type="dxa"/>
            <w:tcBorders>
              <w:left w:val="single" w:sz="2" w:space="0" w:color="FFFFFF" w:themeColor="background1"/>
            </w:tcBorders>
            <w:hideMark/>
          </w:tcPr>
          <w:p w14:paraId="68EBC8C9" w14:textId="77777777" w:rsidR="00EB75EE" w:rsidRPr="007F334E" w:rsidRDefault="00EB75EE" w:rsidP="000C7C82">
            <w:pPr>
              <w:pStyle w:val="NormalWeb"/>
              <w:jc w:val="center"/>
              <w:rPr>
                <w:color w:val="FFFFFF" w:themeColor="background1"/>
                <w:sz w:val="18"/>
                <w:szCs w:val="18"/>
              </w:rPr>
            </w:pPr>
            <w:r w:rsidRPr="007F334E">
              <w:rPr>
                <w:color w:val="FFFFFF" w:themeColor="background1"/>
                <w:sz w:val="18"/>
                <w:szCs w:val="18"/>
              </w:rPr>
              <w:t>Number of isolates tested/Number of cases notified</w:t>
            </w:r>
            <w:r w:rsidR="00F24BBC">
              <w:rPr>
                <w:color w:val="FFFFFF" w:themeColor="background1"/>
                <w:sz w:val="18"/>
                <w:szCs w:val="18"/>
              </w:rPr>
              <w:t xml:space="preserve"> </w:t>
            </w:r>
            <w:r w:rsidRPr="007F334E">
              <w:rPr>
                <w:color w:val="FFFFFF" w:themeColor="background1"/>
                <w:sz w:val="18"/>
                <w:szCs w:val="18"/>
              </w:rPr>
              <w:t>%</w:t>
            </w:r>
          </w:p>
        </w:tc>
      </w:tr>
      <w:tr w:rsidR="00EB75EE" w:rsidRPr="007F334E" w14:paraId="6DBCFB40" w14:textId="77777777" w:rsidTr="00563997">
        <w:tc>
          <w:tcPr>
            <w:tcW w:w="2977" w:type="dxa"/>
            <w:hideMark/>
          </w:tcPr>
          <w:p w14:paraId="0ADFB5DE" w14:textId="77777777" w:rsidR="00EB75EE" w:rsidRPr="007F334E" w:rsidRDefault="00EB75EE">
            <w:pPr>
              <w:pStyle w:val="NormalWeb"/>
              <w:rPr>
                <w:sz w:val="18"/>
                <w:szCs w:val="18"/>
              </w:rPr>
            </w:pPr>
            <w:r w:rsidRPr="007F334E">
              <w:rPr>
                <w:sz w:val="18"/>
                <w:szCs w:val="18"/>
              </w:rPr>
              <w:t>Australian Capital Territory</w:t>
            </w:r>
          </w:p>
        </w:tc>
        <w:tc>
          <w:tcPr>
            <w:tcW w:w="2496" w:type="dxa"/>
            <w:hideMark/>
          </w:tcPr>
          <w:p w14:paraId="4350B9E0" w14:textId="77777777" w:rsidR="00EB75EE" w:rsidRPr="007F334E" w:rsidRDefault="00EB75EE" w:rsidP="000C7C82">
            <w:pPr>
              <w:pStyle w:val="NormalWeb"/>
              <w:jc w:val="center"/>
              <w:rPr>
                <w:sz w:val="18"/>
                <w:szCs w:val="18"/>
              </w:rPr>
            </w:pPr>
            <w:r w:rsidRPr="007F334E">
              <w:rPr>
                <w:sz w:val="18"/>
                <w:szCs w:val="18"/>
              </w:rPr>
              <w:t>198</w:t>
            </w:r>
          </w:p>
        </w:tc>
        <w:tc>
          <w:tcPr>
            <w:tcW w:w="2496" w:type="dxa"/>
            <w:hideMark/>
          </w:tcPr>
          <w:p w14:paraId="0AF79102" w14:textId="77777777" w:rsidR="00EB75EE" w:rsidRPr="007F334E" w:rsidRDefault="00EB75EE" w:rsidP="000C7C82">
            <w:pPr>
              <w:pStyle w:val="NormalWeb"/>
              <w:jc w:val="center"/>
              <w:rPr>
                <w:sz w:val="18"/>
                <w:szCs w:val="18"/>
              </w:rPr>
            </w:pPr>
            <w:r w:rsidRPr="007F334E">
              <w:rPr>
                <w:sz w:val="18"/>
                <w:szCs w:val="18"/>
              </w:rPr>
              <w:t>333</w:t>
            </w:r>
          </w:p>
        </w:tc>
        <w:tc>
          <w:tcPr>
            <w:tcW w:w="2497" w:type="dxa"/>
            <w:hideMark/>
          </w:tcPr>
          <w:p w14:paraId="5682A9E8" w14:textId="77777777" w:rsidR="00EB75EE" w:rsidRPr="007F334E" w:rsidRDefault="00EB75EE" w:rsidP="000C7C82">
            <w:pPr>
              <w:pStyle w:val="NormalWeb"/>
              <w:jc w:val="center"/>
              <w:rPr>
                <w:sz w:val="18"/>
                <w:szCs w:val="18"/>
              </w:rPr>
            </w:pPr>
            <w:r w:rsidRPr="007F334E">
              <w:rPr>
                <w:sz w:val="18"/>
                <w:szCs w:val="18"/>
              </w:rPr>
              <w:t>59</w:t>
            </w:r>
          </w:p>
        </w:tc>
      </w:tr>
      <w:tr w:rsidR="00EB75EE" w:rsidRPr="007F334E" w14:paraId="130F7BBC" w14:textId="77777777"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14:paraId="05FFBB84" w14:textId="77777777" w:rsidR="00EB75EE" w:rsidRPr="007F334E" w:rsidRDefault="00EB75EE">
            <w:pPr>
              <w:pStyle w:val="NormalWeb"/>
              <w:rPr>
                <w:sz w:val="18"/>
                <w:szCs w:val="18"/>
              </w:rPr>
            </w:pPr>
            <w:r w:rsidRPr="007F334E">
              <w:rPr>
                <w:sz w:val="18"/>
                <w:szCs w:val="18"/>
              </w:rPr>
              <w:t>New South Wales</w:t>
            </w:r>
          </w:p>
        </w:tc>
        <w:tc>
          <w:tcPr>
            <w:tcW w:w="2496" w:type="dxa"/>
            <w:hideMark/>
          </w:tcPr>
          <w:p w14:paraId="3EC974C5" w14:textId="77777777" w:rsidR="00EB75EE" w:rsidRPr="007F334E" w:rsidRDefault="00EB75EE" w:rsidP="000C7C82">
            <w:pPr>
              <w:pStyle w:val="NormalWeb"/>
              <w:jc w:val="center"/>
              <w:rPr>
                <w:sz w:val="18"/>
                <w:szCs w:val="18"/>
              </w:rPr>
            </w:pPr>
            <w:r w:rsidRPr="007F334E">
              <w:rPr>
                <w:sz w:val="18"/>
                <w:szCs w:val="18"/>
              </w:rPr>
              <w:t>3,610</w:t>
            </w:r>
          </w:p>
        </w:tc>
        <w:tc>
          <w:tcPr>
            <w:tcW w:w="2496" w:type="dxa"/>
            <w:hideMark/>
          </w:tcPr>
          <w:p w14:paraId="51917DC9" w14:textId="77777777" w:rsidR="00EB75EE" w:rsidRPr="007F334E" w:rsidRDefault="00EB75EE" w:rsidP="000C7C82">
            <w:pPr>
              <w:pStyle w:val="NormalWeb"/>
              <w:jc w:val="center"/>
              <w:rPr>
                <w:sz w:val="18"/>
                <w:szCs w:val="18"/>
              </w:rPr>
            </w:pPr>
            <w:r w:rsidRPr="007F334E">
              <w:rPr>
                <w:sz w:val="18"/>
                <w:szCs w:val="18"/>
              </w:rPr>
              <w:t>11,720</w:t>
            </w:r>
          </w:p>
        </w:tc>
        <w:tc>
          <w:tcPr>
            <w:tcW w:w="2497" w:type="dxa"/>
            <w:hideMark/>
          </w:tcPr>
          <w:p w14:paraId="55936827" w14:textId="77777777" w:rsidR="00EB75EE" w:rsidRPr="007F334E" w:rsidRDefault="00EB75EE" w:rsidP="000C7C82">
            <w:pPr>
              <w:pStyle w:val="NormalWeb"/>
              <w:jc w:val="center"/>
              <w:rPr>
                <w:sz w:val="18"/>
                <w:szCs w:val="18"/>
              </w:rPr>
            </w:pPr>
            <w:r w:rsidRPr="007F334E">
              <w:rPr>
                <w:sz w:val="18"/>
                <w:szCs w:val="18"/>
              </w:rPr>
              <w:t>31</w:t>
            </w:r>
          </w:p>
        </w:tc>
      </w:tr>
      <w:tr w:rsidR="00EB75EE" w:rsidRPr="007F334E" w14:paraId="50D563B4" w14:textId="77777777" w:rsidTr="00563997">
        <w:tc>
          <w:tcPr>
            <w:tcW w:w="2977" w:type="dxa"/>
            <w:hideMark/>
          </w:tcPr>
          <w:p w14:paraId="540A8D6C" w14:textId="77777777" w:rsidR="00EB75EE" w:rsidRPr="007F334E" w:rsidRDefault="00EB75EE">
            <w:pPr>
              <w:pStyle w:val="NormalWeb"/>
              <w:rPr>
                <w:sz w:val="18"/>
                <w:szCs w:val="18"/>
              </w:rPr>
            </w:pPr>
            <w:r w:rsidRPr="007F334E">
              <w:rPr>
                <w:sz w:val="18"/>
                <w:szCs w:val="18"/>
              </w:rPr>
              <w:t>Northern Territory</w:t>
            </w:r>
          </w:p>
        </w:tc>
        <w:tc>
          <w:tcPr>
            <w:tcW w:w="2496" w:type="dxa"/>
            <w:hideMark/>
          </w:tcPr>
          <w:p w14:paraId="33E055EE" w14:textId="77777777" w:rsidR="00EB75EE" w:rsidRPr="007F334E" w:rsidRDefault="00EB75EE" w:rsidP="000C7C82">
            <w:pPr>
              <w:pStyle w:val="NormalWeb"/>
              <w:jc w:val="center"/>
              <w:rPr>
                <w:sz w:val="18"/>
                <w:szCs w:val="18"/>
              </w:rPr>
            </w:pPr>
            <w:r w:rsidRPr="007F334E">
              <w:rPr>
                <w:sz w:val="18"/>
                <w:szCs w:val="18"/>
              </w:rPr>
              <w:t>126</w:t>
            </w:r>
          </w:p>
        </w:tc>
        <w:tc>
          <w:tcPr>
            <w:tcW w:w="2496" w:type="dxa"/>
            <w:hideMark/>
          </w:tcPr>
          <w:p w14:paraId="404D624E" w14:textId="77777777" w:rsidR="00EB75EE" w:rsidRPr="007F334E" w:rsidRDefault="00EB75EE" w:rsidP="000C7C82">
            <w:pPr>
              <w:pStyle w:val="NormalWeb"/>
              <w:jc w:val="center"/>
              <w:rPr>
                <w:sz w:val="18"/>
                <w:szCs w:val="18"/>
              </w:rPr>
            </w:pPr>
            <w:r w:rsidRPr="007F334E">
              <w:rPr>
                <w:sz w:val="18"/>
                <w:szCs w:val="18"/>
              </w:rPr>
              <w:t>1,327</w:t>
            </w:r>
          </w:p>
        </w:tc>
        <w:tc>
          <w:tcPr>
            <w:tcW w:w="2497" w:type="dxa"/>
            <w:hideMark/>
          </w:tcPr>
          <w:p w14:paraId="73C111D1" w14:textId="77777777" w:rsidR="00EB75EE" w:rsidRPr="007F334E" w:rsidRDefault="00EB75EE" w:rsidP="000C7C82">
            <w:pPr>
              <w:pStyle w:val="NormalWeb"/>
              <w:jc w:val="center"/>
              <w:rPr>
                <w:sz w:val="18"/>
                <w:szCs w:val="18"/>
              </w:rPr>
            </w:pPr>
            <w:r w:rsidRPr="007F334E">
              <w:rPr>
                <w:sz w:val="18"/>
                <w:szCs w:val="18"/>
              </w:rPr>
              <w:t>9.5</w:t>
            </w:r>
          </w:p>
        </w:tc>
      </w:tr>
      <w:tr w:rsidR="00EB75EE" w:rsidRPr="007F334E" w14:paraId="4A3A122B" w14:textId="77777777"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14:paraId="255ED612" w14:textId="77777777" w:rsidR="00EB75EE" w:rsidRPr="007F334E" w:rsidRDefault="00EB75EE">
            <w:pPr>
              <w:pStyle w:val="NormalWeb"/>
              <w:rPr>
                <w:sz w:val="18"/>
                <w:szCs w:val="18"/>
              </w:rPr>
            </w:pPr>
            <w:r w:rsidRPr="007F334E">
              <w:rPr>
                <w:sz w:val="18"/>
                <w:szCs w:val="18"/>
              </w:rPr>
              <w:t>Queensland</w:t>
            </w:r>
          </w:p>
        </w:tc>
        <w:tc>
          <w:tcPr>
            <w:tcW w:w="2496" w:type="dxa"/>
            <w:hideMark/>
          </w:tcPr>
          <w:p w14:paraId="424736AC" w14:textId="77777777" w:rsidR="00EB75EE" w:rsidRPr="007F334E" w:rsidRDefault="00EB75EE" w:rsidP="000C7C82">
            <w:pPr>
              <w:pStyle w:val="NormalWeb"/>
              <w:jc w:val="center"/>
              <w:rPr>
                <w:sz w:val="18"/>
                <w:szCs w:val="18"/>
              </w:rPr>
            </w:pPr>
            <w:r w:rsidRPr="007F334E">
              <w:rPr>
                <w:sz w:val="18"/>
                <w:szCs w:val="18"/>
              </w:rPr>
              <w:t>1,677</w:t>
            </w:r>
          </w:p>
        </w:tc>
        <w:tc>
          <w:tcPr>
            <w:tcW w:w="2496" w:type="dxa"/>
            <w:hideMark/>
          </w:tcPr>
          <w:p w14:paraId="41093EEC" w14:textId="77777777" w:rsidR="00EB75EE" w:rsidRPr="007F334E" w:rsidRDefault="00EB75EE" w:rsidP="000C7C82">
            <w:pPr>
              <w:pStyle w:val="NormalWeb"/>
              <w:jc w:val="center"/>
              <w:rPr>
                <w:sz w:val="18"/>
                <w:szCs w:val="18"/>
              </w:rPr>
            </w:pPr>
            <w:r w:rsidRPr="007F334E">
              <w:rPr>
                <w:sz w:val="18"/>
                <w:szCs w:val="18"/>
              </w:rPr>
              <w:t>5,977</w:t>
            </w:r>
          </w:p>
        </w:tc>
        <w:tc>
          <w:tcPr>
            <w:tcW w:w="2497" w:type="dxa"/>
            <w:hideMark/>
          </w:tcPr>
          <w:p w14:paraId="1ABFC6CB" w14:textId="77777777" w:rsidR="00EB75EE" w:rsidRPr="007F334E" w:rsidRDefault="00EB75EE" w:rsidP="000C7C82">
            <w:pPr>
              <w:pStyle w:val="NormalWeb"/>
              <w:jc w:val="center"/>
              <w:rPr>
                <w:sz w:val="18"/>
                <w:szCs w:val="18"/>
              </w:rPr>
            </w:pPr>
            <w:r w:rsidRPr="007F334E">
              <w:rPr>
                <w:sz w:val="18"/>
                <w:szCs w:val="18"/>
              </w:rPr>
              <w:t>28</w:t>
            </w:r>
          </w:p>
        </w:tc>
      </w:tr>
      <w:tr w:rsidR="00EB75EE" w:rsidRPr="007F334E" w14:paraId="56EB4E99" w14:textId="77777777" w:rsidTr="00563997">
        <w:tc>
          <w:tcPr>
            <w:tcW w:w="2977" w:type="dxa"/>
            <w:hideMark/>
          </w:tcPr>
          <w:p w14:paraId="30D7CCD8" w14:textId="77777777" w:rsidR="00EB75EE" w:rsidRPr="007F334E" w:rsidRDefault="00EB75EE">
            <w:pPr>
              <w:pStyle w:val="NormalWeb"/>
              <w:rPr>
                <w:sz w:val="18"/>
                <w:szCs w:val="18"/>
              </w:rPr>
            </w:pPr>
            <w:r w:rsidRPr="007F334E">
              <w:rPr>
                <w:sz w:val="18"/>
                <w:szCs w:val="18"/>
              </w:rPr>
              <w:t>South Australia</w:t>
            </w:r>
          </w:p>
        </w:tc>
        <w:tc>
          <w:tcPr>
            <w:tcW w:w="2496" w:type="dxa"/>
            <w:hideMark/>
          </w:tcPr>
          <w:p w14:paraId="61DA5069" w14:textId="77777777" w:rsidR="00EB75EE" w:rsidRPr="007F334E" w:rsidRDefault="00EB75EE" w:rsidP="000C7C82">
            <w:pPr>
              <w:pStyle w:val="NormalWeb"/>
              <w:jc w:val="center"/>
              <w:rPr>
                <w:sz w:val="18"/>
                <w:szCs w:val="18"/>
              </w:rPr>
            </w:pPr>
            <w:r w:rsidRPr="007F334E">
              <w:rPr>
                <w:sz w:val="18"/>
                <w:szCs w:val="18"/>
              </w:rPr>
              <w:t>554</w:t>
            </w:r>
          </w:p>
        </w:tc>
        <w:tc>
          <w:tcPr>
            <w:tcW w:w="2496" w:type="dxa"/>
            <w:hideMark/>
          </w:tcPr>
          <w:p w14:paraId="0F4BB319" w14:textId="77777777" w:rsidR="00EB75EE" w:rsidRPr="007F334E" w:rsidRDefault="00EB75EE" w:rsidP="000C7C82">
            <w:pPr>
              <w:pStyle w:val="NormalWeb"/>
              <w:jc w:val="center"/>
              <w:rPr>
                <w:sz w:val="18"/>
                <w:szCs w:val="18"/>
              </w:rPr>
            </w:pPr>
            <w:r w:rsidRPr="007F334E">
              <w:rPr>
                <w:sz w:val="18"/>
                <w:szCs w:val="18"/>
              </w:rPr>
              <w:t>2,099</w:t>
            </w:r>
          </w:p>
        </w:tc>
        <w:tc>
          <w:tcPr>
            <w:tcW w:w="2497" w:type="dxa"/>
            <w:hideMark/>
          </w:tcPr>
          <w:p w14:paraId="66228F96" w14:textId="77777777" w:rsidR="00EB75EE" w:rsidRPr="007F334E" w:rsidRDefault="00EB75EE" w:rsidP="000C7C82">
            <w:pPr>
              <w:pStyle w:val="NormalWeb"/>
              <w:jc w:val="center"/>
              <w:rPr>
                <w:sz w:val="18"/>
                <w:szCs w:val="18"/>
              </w:rPr>
            </w:pPr>
            <w:r w:rsidRPr="007F334E">
              <w:rPr>
                <w:sz w:val="18"/>
                <w:szCs w:val="18"/>
              </w:rPr>
              <w:t>26</w:t>
            </w:r>
          </w:p>
        </w:tc>
      </w:tr>
      <w:tr w:rsidR="00EB75EE" w:rsidRPr="007F334E" w14:paraId="1D17A47E" w14:textId="77777777"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14:paraId="1C332D02" w14:textId="77777777" w:rsidR="00EB75EE" w:rsidRPr="007F334E" w:rsidRDefault="00EB75EE">
            <w:pPr>
              <w:pStyle w:val="NormalWeb"/>
              <w:rPr>
                <w:sz w:val="18"/>
                <w:szCs w:val="18"/>
              </w:rPr>
            </w:pPr>
            <w:r w:rsidRPr="007F334E">
              <w:rPr>
                <w:sz w:val="18"/>
                <w:szCs w:val="18"/>
              </w:rPr>
              <w:t>Tasmania</w:t>
            </w:r>
          </w:p>
        </w:tc>
        <w:tc>
          <w:tcPr>
            <w:tcW w:w="2496" w:type="dxa"/>
            <w:hideMark/>
          </w:tcPr>
          <w:p w14:paraId="72526F01" w14:textId="77777777" w:rsidR="00EB75EE" w:rsidRPr="007F334E" w:rsidRDefault="00EB75EE" w:rsidP="000C7C82">
            <w:pPr>
              <w:pStyle w:val="NormalWeb"/>
              <w:jc w:val="center"/>
              <w:rPr>
                <w:sz w:val="18"/>
                <w:szCs w:val="18"/>
              </w:rPr>
            </w:pPr>
            <w:r w:rsidRPr="007F334E">
              <w:rPr>
                <w:sz w:val="18"/>
                <w:szCs w:val="18"/>
              </w:rPr>
              <w:t>49</w:t>
            </w:r>
          </w:p>
        </w:tc>
        <w:tc>
          <w:tcPr>
            <w:tcW w:w="2496" w:type="dxa"/>
            <w:hideMark/>
          </w:tcPr>
          <w:p w14:paraId="5F796BED" w14:textId="77777777" w:rsidR="00EB75EE" w:rsidRPr="007F334E" w:rsidRDefault="00EB75EE" w:rsidP="000C7C82">
            <w:pPr>
              <w:pStyle w:val="NormalWeb"/>
              <w:jc w:val="center"/>
              <w:rPr>
                <w:sz w:val="18"/>
                <w:szCs w:val="18"/>
              </w:rPr>
            </w:pPr>
            <w:r w:rsidRPr="007F334E">
              <w:rPr>
                <w:sz w:val="18"/>
                <w:szCs w:val="18"/>
              </w:rPr>
              <w:t>157</w:t>
            </w:r>
          </w:p>
        </w:tc>
        <w:tc>
          <w:tcPr>
            <w:tcW w:w="2497" w:type="dxa"/>
            <w:hideMark/>
          </w:tcPr>
          <w:p w14:paraId="502E58F6" w14:textId="77777777" w:rsidR="00EB75EE" w:rsidRPr="007F334E" w:rsidRDefault="00EB75EE" w:rsidP="000C7C82">
            <w:pPr>
              <w:pStyle w:val="NormalWeb"/>
              <w:jc w:val="center"/>
              <w:rPr>
                <w:sz w:val="18"/>
                <w:szCs w:val="18"/>
              </w:rPr>
            </w:pPr>
            <w:r w:rsidRPr="007F334E">
              <w:rPr>
                <w:sz w:val="18"/>
                <w:szCs w:val="18"/>
              </w:rPr>
              <w:t>31</w:t>
            </w:r>
          </w:p>
        </w:tc>
      </w:tr>
      <w:tr w:rsidR="00EB75EE" w:rsidRPr="007F334E" w14:paraId="4ADAB573" w14:textId="77777777" w:rsidTr="00563997">
        <w:tc>
          <w:tcPr>
            <w:tcW w:w="2977" w:type="dxa"/>
            <w:hideMark/>
          </w:tcPr>
          <w:p w14:paraId="2F0E486C" w14:textId="77777777" w:rsidR="00EB75EE" w:rsidRPr="007F334E" w:rsidRDefault="00EB75EE">
            <w:pPr>
              <w:pStyle w:val="NormalWeb"/>
              <w:rPr>
                <w:sz w:val="18"/>
                <w:szCs w:val="18"/>
              </w:rPr>
            </w:pPr>
            <w:r w:rsidRPr="007F334E">
              <w:rPr>
                <w:sz w:val="18"/>
                <w:szCs w:val="18"/>
              </w:rPr>
              <w:t>Victoria</w:t>
            </w:r>
          </w:p>
        </w:tc>
        <w:tc>
          <w:tcPr>
            <w:tcW w:w="2496" w:type="dxa"/>
            <w:hideMark/>
          </w:tcPr>
          <w:p w14:paraId="51FD181F" w14:textId="77777777" w:rsidR="00EB75EE" w:rsidRPr="007F334E" w:rsidRDefault="00EB75EE" w:rsidP="000C7C82">
            <w:pPr>
              <w:pStyle w:val="NormalWeb"/>
              <w:jc w:val="center"/>
              <w:rPr>
                <w:sz w:val="18"/>
                <w:szCs w:val="18"/>
              </w:rPr>
            </w:pPr>
            <w:r w:rsidRPr="007F334E">
              <w:rPr>
                <w:sz w:val="18"/>
                <w:szCs w:val="18"/>
              </w:rPr>
              <w:t>2,616</w:t>
            </w:r>
          </w:p>
        </w:tc>
        <w:tc>
          <w:tcPr>
            <w:tcW w:w="2496" w:type="dxa"/>
            <w:hideMark/>
          </w:tcPr>
          <w:p w14:paraId="759342A3" w14:textId="77777777" w:rsidR="00EB75EE" w:rsidRPr="007F334E" w:rsidRDefault="00EB75EE" w:rsidP="000C7C82">
            <w:pPr>
              <w:pStyle w:val="NormalWeb"/>
              <w:jc w:val="center"/>
              <w:rPr>
                <w:sz w:val="18"/>
                <w:szCs w:val="18"/>
              </w:rPr>
            </w:pPr>
            <w:r w:rsidRPr="007F334E">
              <w:rPr>
                <w:sz w:val="18"/>
                <w:szCs w:val="18"/>
              </w:rPr>
              <w:t>8,728</w:t>
            </w:r>
          </w:p>
        </w:tc>
        <w:tc>
          <w:tcPr>
            <w:tcW w:w="2497" w:type="dxa"/>
            <w:hideMark/>
          </w:tcPr>
          <w:p w14:paraId="2D705E34" w14:textId="77777777" w:rsidR="00EB75EE" w:rsidRPr="007F334E" w:rsidRDefault="00EB75EE" w:rsidP="000C7C82">
            <w:pPr>
              <w:pStyle w:val="NormalWeb"/>
              <w:jc w:val="center"/>
              <w:rPr>
                <w:sz w:val="18"/>
                <w:szCs w:val="18"/>
              </w:rPr>
            </w:pPr>
            <w:r w:rsidRPr="007F334E">
              <w:rPr>
                <w:sz w:val="18"/>
                <w:szCs w:val="18"/>
              </w:rPr>
              <w:t>30</w:t>
            </w:r>
          </w:p>
        </w:tc>
      </w:tr>
      <w:tr w:rsidR="00EB75EE" w:rsidRPr="007F334E" w14:paraId="4B72BEC5" w14:textId="77777777" w:rsidTr="00563997">
        <w:trPr>
          <w:cnfStyle w:val="000000010000" w:firstRow="0" w:lastRow="0" w:firstColumn="0" w:lastColumn="0" w:oddVBand="0" w:evenVBand="0" w:oddHBand="0" w:evenHBand="1" w:firstRowFirstColumn="0" w:firstRowLastColumn="0" w:lastRowFirstColumn="0" w:lastRowLastColumn="0"/>
        </w:trPr>
        <w:tc>
          <w:tcPr>
            <w:tcW w:w="2977" w:type="dxa"/>
            <w:hideMark/>
          </w:tcPr>
          <w:p w14:paraId="436FDE56" w14:textId="77777777" w:rsidR="00EB75EE" w:rsidRPr="007F334E" w:rsidRDefault="00EB75EE">
            <w:pPr>
              <w:pStyle w:val="NormalWeb"/>
              <w:rPr>
                <w:sz w:val="18"/>
                <w:szCs w:val="18"/>
              </w:rPr>
            </w:pPr>
            <w:r w:rsidRPr="007F334E">
              <w:rPr>
                <w:sz w:val="18"/>
                <w:szCs w:val="18"/>
              </w:rPr>
              <w:t>Western Australia</w:t>
            </w:r>
          </w:p>
        </w:tc>
        <w:tc>
          <w:tcPr>
            <w:tcW w:w="2496" w:type="dxa"/>
            <w:hideMark/>
          </w:tcPr>
          <w:p w14:paraId="35B14FC0" w14:textId="77777777" w:rsidR="00EB75EE" w:rsidRPr="007F334E" w:rsidRDefault="00EB75EE" w:rsidP="000C7C82">
            <w:pPr>
              <w:pStyle w:val="NormalWeb"/>
              <w:jc w:val="center"/>
              <w:rPr>
                <w:sz w:val="18"/>
                <w:szCs w:val="18"/>
              </w:rPr>
            </w:pPr>
            <w:r w:rsidRPr="007F334E">
              <w:rPr>
                <w:sz w:val="18"/>
                <w:szCs w:val="18"/>
              </w:rPr>
              <w:t>838</w:t>
            </w:r>
          </w:p>
        </w:tc>
        <w:tc>
          <w:tcPr>
            <w:tcW w:w="2496" w:type="dxa"/>
            <w:hideMark/>
          </w:tcPr>
          <w:p w14:paraId="6E4D4FAA" w14:textId="77777777" w:rsidR="00EB75EE" w:rsidRPr="007F334E" w:rsidRDefault="00EB75EE" w:rsidP="000C7C82">
            <w:pPr>
              <w:pStyle w:val="NormalWeb"/>
              <w:jc w:val="center"/>
              <w:rPr>
                <w:sz w:val="18"/>
                <w:szCs w:val="18"/>
              </w:rPr>
            </w:pPr>
            <w:r w:rsidRPr="007F334E">
              <w:rPr>
                <w:sz w:val="18"/>
                <w:szCs w:val="18"/>
              </w:rPr>
              <w:t>3,924</w:t>
            </w:r>
          </w:p>
        </w:tc>
        <w:tc>
          <w:tcPr>
            <w:tcW w:w="2497" w:type="dxa"/>
            <w:hideMark/>
          </w:tcPr>
          <w:p w14:paraId="26F62193" w14:textId="77777777" w:rsidR="00EB75EE" w:rsidRPr="007F334E" w:rsidRDefault="00EB75EE" w:rsidP="000C7C82">
            <w:pPr>
              <w:pStyle w:val="NormalWeb"/>
              <w:jc w:val="center"/>
              <w:rPr>
                <w:sz w:val="18"/>
                <w:szCs w:val="18"/>
              </w:rPr>
            </w:pPr>
            <w:r w:rsidRPr="007F334E">
              <w:rPr>
                <w:sz w:val="18"/>
                <w:szCs w:val="18"/>
              </w:rPr>
              <w:t>21</w:t>
            </w:r>
          </w:p>
        </w:tc>
      </w:tr>
      <w:tr w:rsidR="00EB75EE" w:rsidRPr="007F334E" w14:paraId="164777B3" w14:textId="77777777" w:rsidTr="00563997">
        <w:tc>
          <w:tcPr>
            <w:tcW w:w="2977" w:type="dxa"/>
            <w:shd w:val="clear" w:color="auto" w:fill="FDE9D9" w:themeFill="accent6" w:themeFillTint="33"/>
            <w:hideMark/>
          </w:tcPr>
          <w:p w14:paraId="0C0D7884" w14:textId="77777777" w:rsidR="00EB75EE" w:rsidRPr="007F334E" w:rsidRDefault="00EB75EE">
            <w:pPr>
              <w:pStyle w:val="NormalWeb"/>
              <w:rPr>
                <w:b/>
                <w:sz w:val="18"/>
                <w:szCs w:val="18"/>
              </w:rPr>
            </w:pPr>
            <w:r w:rsidRPr="007F334E">
              <w:rPr>
                <w:b/>
                <w:sz w:val="18"/>
                <w:szCs w:val="18"/>
              </w:rPr>
              <w:t>Australia</w:t>
            </w:r>
          </w:p>
        </w:tc>
        <w:tc>
          <w:tcPr>
            <w:tcW w:w="2496" w:type="dxa"/>
            <w:shd w:val="clear" w:color="auto" w:fill="FDE9D9" w:themeFill="accent6" w:themeFillTint="33"/>
            <w:hideMark/>
          </w:tcPr>
          <w:p w14:paraId="7BD51779" w14:textId="77777777" w:rsidR="00EB75EE" w:rsidRPr="007F334E" w:rsidRDefault="00EB75EE" w:rsidP="000C7C82">
            <w:pPr>
              <w:pStyle w:val="NormalWeb"/>
              <w:jc w:val="center"/>
              <w:rPr>
                <w:b/>
                <w:sz w:val="18"/>
                <w:szCs w:val="18"/>
              </w:rPr>
            </w:pPr>
            <w:r w:rsidRPr="007F334E">
              <w:rPr>
                <w:b/>
                <w:sz w:val="18"/>
                <w:szCs w:val="18"/>
              </w:rPr>
              <w:t>9,668</w:t>
            </w:r>
          </w:p>
        </w:tc>
        <w:tc>
          <w:tcPr>
            <w:tcW w:w="2496" w:type="dxa"/>
            <w:shd w:val="clear" w:color="auto" w:fill="FDE9D9" w:themeFill="accent6" w:themeFillTint="33"/>
            <w:hideMark/>
          </w:tcPr>
          <w:p w14:paraId="38F26DA6" w14:textId="77777777" w:rsidR="00EB75EE" w:rsidRPr="007F334E" w:rsidRDefault="00EB75EE" w:rsidP="000C7C82">
            <w:pPr>
              <w:pStyle w:val="NormalWeb"/>
              <w:jc w:val="center"/>
              <w:rPr>
                <w:b/>
                <w:sz w:val="18"/>
                <w:szCs w:val="18"/>
              </w:rPr>
            </w:pPr>
            <w:r w:rsidRPr="007F334E">
              <w:rPr>
                <w:b/>
                <w:sz w:val="18"/>
                <w:szCs w:val="18"/>
              </w:rPr>
              <w:t>34,265</w:t>
            </w:r>
          </w:p>
        </w:tc>
        <w:tc>
          <w:tcPr>
            <w:tcW w:w="2497" w:type="dxa"/>
            <w:shd w:val="clear" w:color="auto" w:fill="FDE9D9" w:themeFill="accent6" w:themeFillTint="33"/>
            <w:hideMark/>
          </w:tcPr>
          <w:p w14:paraId="47655A56" w14:textId="77777777" w:rsidR="00EB75EE" w:rsidRPr="007F334E" w:rsidRDefault="00EB75EE" w:rsidP="000C7C82">
            <w:pPr>
              <w:pStyle w:val="NormalWeb"/>
              <w:jc w:val="center"/>
              <w:rPr>
                <w:b/>
                <w:sz w:val="18"/>
                <w:szCs w:val="18"/>
              </w:rPr>
            </w:pPr>
            <w:r w:rsidRPr="007F334E">
              <w:rPr>
                <w:b/>
                <w:sz w:val="18"/>
                <w:szCs w:val="18"/>
              </w:rPr>
              <w:t>28</w:t>
            </w:r>
          </w:p>
        </w:tc>
      </w:tr>
    </w:tbl>
    <w:p w14:paraId="4EC7DB6D" w14:textId="77777777" w:rsidR="00E1040D" w:rsidRDefault="00E1040D" w:rsidP="00211E37"/>
    <w:p w14:paraId="6439D6C9" w14:textId="77777777" w:rsidR="00EB75EE" w:rsidRDefault="00EB75EE" w:rsidP="00211E37">
      <w:r>
        <w:t xml:space="preserve">There were 7,835 isolates from males (81.0%) and 1,776 from females (18.4%) tested in 2019 (Table 2). There were 57 isolates from patients where gender was not recorded. The proportion of gonococcal isolates from males and females has remained stable over recent years (2009–2017), ranging between 17% to 20% for women and 80% to 83% for men. The infected site was reported as ‘other’ or not specified for 85 isolates from males and 36 isolates from females (Table 2). Isolates from urine samples were regarded as genital tract isolates. </w:t>
      </w:r>
    </w:p>
    <w:p w14:paraId="19F1D655" w14:textId="77777777" w:rsidR="00EB75EE" w:rsidRPr="0015223B" w:rsidRDefault="00EB75EE" w:rsidP="0015223B">
      <w:pPr>
        <w:pStyle w:val="CDIFigures"/>
      </w:pPr>
      <w:r w:rsidRPr="0015223B">
        <w:t>Table 2: Gonococcal isolates, Australia, 2019, by sex, site and jurisdiction tested</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the sites from which gonococcal isolates were cultured, including genital, rectal, pharyngeal, and isolates where the infection was considered to be disseminated. "/>
      </w:tblPr>
      <w:tblGrid>
        <w:gridCol w:w="949"/>
        <w:gridCol w:w="949"/>
        <w:gridCol w:w="949"/>
        <w:gridCol w:w="949"/>
        <w:gridCol w:w="949"/>
        <w:gridCol w:w="949"/>
        <w:gridCol w:w="949"/>
        <w:gridCol w:w="949"/>
        <w:gridCol w:w="949"/>
        <w:gridCol w:w="949"/>
        <w:gridCol w:w="950"/>
      </w:tblGrid>
      <w:tr w:rsidR="00590673" w:rsidRPr="003E31E0" w14:paraId="4A87875A" w14:textId="77777777" w:rsidTr="00F160ED">
        <w:trPr>
          <w:cnfStyle w:val="100000000000" w:firstRow="1" w:lastRow="0" w:firstColumn="0" w:lastColumn="0" w:oddVBand="0" w:evenVBand="0" w:oddHBand="0" w:evenHBand="0" w:firstRowFirstColumn="0" w:firstRowLastColumn="0" w:lastRowFirstColumn="0" w:lastRowLastColumn="0"/>
          <w:tblHeader/>
        </w:trPr>
        <w:tc>
          <w:tcPr>
            <w:tcW w:w="949" w:type="dxa"/>
            <w:hideMark/>
          </w:tcPr>
          <w:p w14:paraId="6DB83146" w14:textId="77777777" w:rsidR="00EB75EE" w:rsidRPr="003E31E0" w:rsidRDefault="00EB75EE">
            <w:pPr>
              <w:pStyle w:val="NormalWeb"/>
              <w:rPr>
                <w:color w:val="FFFFFF" w:themeColor="background1"/>
                <w:sz w:val="18"/>
                <w:szCs w:val="18"/>
              </w:rPr>
            </w:pPr>
            <w:r w:rsidRPr="003E31E0">
              <w:rPr>
                <w:color w:val="FFFFFF" w:themeColor="background1"/>
                <w:sz w:val="18"/>
                <w:szCs w:val="18"/>
              </w:rPr>
              <w:t>Sex</w:t>
            </w:r>
          </w:p>
        </w:tc>
        <w:tc>
          <w:tcPr>
            <w:tcW w:w="949" w:type="dxa"/>
            <w:hideMark/>
          </w:tcPr>
          <w:p w14:paraId="4E4745B0"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Site</w:t>
            </w:r>
          </w:p>
        </w:tc>
        <w:tc>
          <w:tcPr>
            <w:tcW w:w="949" w:type="dxa"/>
            <w:hideMark/>
          </w:tcPr>
          <w:p w14:paraId="1F494323"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ACT</w:t>
            </w:r>
          </w:p>
        </w:tc>
        <w:tc>
          <w:tcPr>
            <w:tcW w:w="949" w:type="dxa"/>
            <w:hideMark/>
          </w:tcPr>
          <w:p w14:paraId="58A15328"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NSW</w:t>
            </w:r>
          </w:p>
        </w:tc>
        <w:tc>
          <w:tcPr>
            <w:tcW w:w="949" w:type="dxa"/>
            <w:hideMark/>
          </w:tcPr>
          <w:p w14:paraId="3FFFFD46"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NT</w:t>
            </w:r>
          </w:p>
        </w:tc>
        <w:tc>
          <w:tcPr>
            <w:tcW w:w="949" w:type="dxa"/>
            <w:hideMark/>
          </w:tcPr>
          <w:p w14:paraId="5AA434CE"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Qld</w:t>
            </w:r>
          </w:p>
        </w:tc>
        <w:tc>
          <w:tcPr>
            <w:tcW w:w="949" w:type="dxa"/>
            <w:hideMark/>
          </w:tcPr>
          <w:p w14:paraId="688A9C86"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SA</w:t>
            </w:r>
          </w:p>
        </w:tc>
        <w:tc>
          <w:tcPr>
            <w:tcW w:w="949" w:type="dxa"/>
            <w:hideMark/>
          </w:tcPr>
          <w:p w14:paraId="28A3AAC8"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Vic</w:t>
            </w:r>
          </w:p>
        </w:tc>
        <w:tc>
          <w:tcPr>
            <w:tcW w:w="949" w:type="dxa"/>
            <w:hideMark/>
          </w:tcPr>
          <w:p w14:paraId="29DB75ED"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Tas</w:t>
            </w:r>
          </w:p>
        </w:tc>
        <w:tc>
          <w:tcPr>
            <w:tcW w:w="949" w:type="dxa"/>
            <w:hideMark/>
          </w:tcPr>
          <w:p w14:paraId="6347D292"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WA</w:t>
            </w:r>
          </w:p>
        </w:tc>
        <w:tc>
          <w:tcPr>
            <w:tcW w:w="950" w:type="dxa"/>
            <w:hideMark/>
          </w:tcPr>
          <w:p w14:paraId="55662432" w14:textId="77777777" w:rsidR="00EB75EE" w:rsidRPr="003E31E0" w:rsidRDefault="00EB75EE" w:rsidP="00590673">
            <w:pPr>
              <w:pStyle w:val="NormalWeb"/>
              <w:jc w:val="center"/>
              <w:rPr>
                <w:color w:val="FFFFFF" w:themeColor="background1"/>
                <w:sz w:val="18"/>
                <w:szCs w:val="18"/>
              </w:rPr>
            </w:pPr>
            <w:r w:rsidRPr="003E31E0">
              <w:rPr>
                <w:color w:val="FFFFFF" w:themeColor="background1"/>
                <w:sz w:val="18"/>
                <w:szCs w:val="18"/>
              </w:rPr>
              <w:t>Australia</w:t>
            </w:r>
          </w:p>
        </w:tc>
      </w:tr>
      <w:tr w:rsidR="00EB75EE" w:rsidRPr="003E31E0" w14:paraId="62CC74D3" w14:textId="77777777" w:rsidTr="00902D11">
        <w:tc>
          <w:tcPr>
            <w:tcW w:w="949" w:type="dxa"/>
            <w:shd w:val="clear" w:color="auto" w:fill="404040" w:themeFill="text1" w:themeFillTint="BF"/>
            <w:hideMark/>
          </w:tcPr>
          <w:p w14:paraId="4C6064D5" w14:textId="77777777" w:rsidR="00EB75EE" w:rsidRPr="00902D11" w:rsidRDefault="00EB75EE">
            <w:pPr>
              <w:pStyle w:val="NormalWeb"/>
              <w:rPr>
                <w:b/>
                <w:color w:val="FFFFFF" w:themeColor="background1"/>
                <w:sz w:val="18"/>
                <w:szCs w:val="18"/>
              </w:rPr>
            </w:pPr>
            <w:r w:rsidRPr="00902D11">
              <w:rPr>
                <w:b/>
                <w:color w:val="FFFFFF" w:themeColor="background1"/>
                <w:sz w:val="18"/>
                <w:szCs w:val="18"/>
              </w:rPr>
              <w:t>Male</w:t>
            </w:r>
          </w:p>
        </w:tc>
        <w:tc>
          <w:tcPr>
            <w:tcW w:w="949" w:type="dxa"/>
            <w:hideMark/>
          </w:tcPr>
          <w:p w14:paraId="290910C1" w14:textId="77777777" w:rsidR="00EB75EE" w:rsidRPr="003E31E0" w:rsidRDefault="00EB75EE" w:rsidP="00590673">
            <w:pPr>
              <w:pStyle w:val="NormalWeb"/>
              <w:jc w:val="center"/>
              <w:rPr>
                <w:sz w:val="18"/>
                <w:szCs w:val="18"/>
              </w:rPr>
            </w:pPr>
            <w:r w:rsidRPr="003E31E0">
              <w:rPr>
                <w:sz w:val="18"/>
                <w:szCs w:val="18"/>
              </w:rPr>
              <w:t>Genital</w:t>
            </w:r>
          </w:p>
        </w:tc>
        <w:tc>
          <w:tcPr>
            <w:tcW w:w="949" w:type="dxa"/>
            <w:hideMark/>
          </w:tcPr>
          <w:p w14:paraId="5BD479A1" w14:textId="77777777" w:rsidR="00EB75EE" w:rsidRPr="003E31E0" w:rsidRDefault="00EB75EE" w:rsidP="00590673">
            <w:pPr>
              <w:pStyle w:val="NormalWeb"/>
              <w:jc w:val="center"/>
              <w:rPr>
                <w:sz w:val="18"/>
                <w:szCs w:val="18"/>
              </w:rPr>
            </w:pPr>
            <w:r w:rsidRPr="003E31E0">
              <w:rPr>
                <w:sz w:val="18"/>
                <w:szCs w:val="18"/>
              </w:rPr>
              <w:t>59</w:t>
            </w:r>
          </w:p>
        </w:tc>
        <w:tc>
          <w:tcPr>
            <w:tcW w:w="949" w:type="dxa"/>
            <w:hideMark/>
          </w:tcPr>
          <w:p w14:paraId="014AF434" w14:textId="77777777" w:rsidR="00EB75EE" w:rsidRPr="003E31E0" w:rsidRDefault="00EB75EE" w:rsidP="00590673">
            <w:pPr>
              <w:pStyle w:val="NormalWeb"/>
              <w:jc w:val="center"/>
              <w:rPr>
                <w:sz w:val="18"/>
                <w:szCs w:val="18"/>
              </w:rPr>
            </w:pPr>
            <w:r w:rsidRPr="003E31E0">
              <w:rPr>
                <w:sz w:val="18"/>
                <w:szCs w:val="18"/>
              </w:rPr>
              <w:t>1,614</w:t>
            </w:r>
          </w:p>
        </w:tc>
        <w:tc>
          <w:tcPr>
            <w:tcW w:w="949" w:type="dxa"/>
            <w:hideMark/>
          </w:tcPr>
          <w:p w14:paraId="338712C8" w14:textId="77777777" w:rsidR="00EB75EE" w:rsidRPr="003E31E0" w:rsidRDefault="00EB75EE" w:rsidP="00590673">
            <w:pPr>
              <w:pStyle w:val="NormalWeb"/>
              <w:jc w:val="center"/>
              <w:rPr>
                <w:sz w:val="18"/>
                <w:szCs w:val="18"/>
              </w:rPr>
            </w:pPr>
            <w:r w:rsidRPr="003E31E0">
              <w:rPr>
                <w:sz w:val="18"/>
                <w:szCs w:val="18"/>
              </w:rPr>
              <w:t>77</w:t>
            </w:r>
          </w:p>
        </w:tc>
        <w:tc>
          <w:tcPr>
            <w:tcW w:w="949" w:type="dxa"/>
            <w:hideMark/>
          </w:tcPr>
          <w:p w14:paraId="5FE85CB8" w14:textId="77777777" w:rsidR="00EB75EE" w:rsidRPr="003E31E0" w:rsidRDefault="00EB75EE" w:rsidP="00590673">
            <w:pPr>
              <w:pStyle w:val="NormalWeb"/>
              <w:jc w:val="center"/>
              <w:rPr>
                <w:sz w:val="18"/>
                <w:szCs w:val="18"/>
              </w:rPr>
            </w:pPr>
            <w:r w:rsidRPr="003E31E0">
              <w:rPr>
                <w:sz w:val="18"/>
                <w:szCs w:val="18"/>
              </w:rPr>
              <w:t>738</w:t>
            </w:r>
          </w:p>
        </w:tc>
        <w:tc>
          <w:tcPr>
            <w:tcW w:w="949" w:type="dxa"/>
            <w:hideMark/>
          </w:tcPr>
          <w:p w14:paraId="7039F0EB" w14:textId="77777777" w:rsidR="00EB75EE" w:rsidRPr="003E31E0" w:rsidRDefault="00EB75EE" w:rsidP="00590673">
            <w:pPr>
              <w:pStyle w:val="NormalWeb"/>
              <w:jc w:val="center"/>
              <w:rPr>
                <w:sz w:val="18"/>
                <w:szCs w:val="18"/>
              </w:rPr>
            </w:pPr>
            <w:r w:rsidRPr="003E31E0">
              <w:rPr>
                <w:sz w:val="18"/>
                <w:szCs w:val="18"/>
              </w:rPr>
              <w:t>313</w:t>
            </w:r>
          </w:p>
        </w:tc>
        <w:tc>
          <w:tcPr>
            <w:tcW w:w="949" w:type="dxa"/>
            <w:hideMark/>
          </w:tcPr>
          <w:p w14:paraId="79DC6972" w14:textId="77777777" w:rsidR="00EB75EE" w:rsidRPr="003E31E0" w:rsidRDefault="00EB75EE" w:rsidP="00590673">
            <w:pPr>
              <w:pStyle w:val="NormalWeb"/>
              <w:jc w:val="center"/>
              <w:rPr>
                <w:sz w:val="18"/>
                <w:szCs w:val="18"/>
              </w:rPr>
            </w:pPr>
            <w:r w:rsidRPr="003E31E0">
              <w:rPr>
                <w:sz w:val="18"/>
                <w:szCs w:val="18"/>
              </w:rPr>
              <w:t>1,030</w:t>
            </w:r>
          </w:p>
        </w:tc>
        <w:tc>
          <w:tcPr>
            <w:tcW w:w="949" w:type="dxa"/>
            <w:hideMark/>
          </w:tcPr>
          <w:p w14:paraId="17C620D8" w14:textId="77777777" w:rsidR="00EB75EE" w:rsidRPr="003E31E0" w:rsidRDefault="00EB75EE" w:rsidP="00590673">
            <w:pPr>
              <w:pStyle w:val="NormalWeb"/>
              <w:jc w:val="center"/>
              <w:rPr>
                <w:sz w:val="18"/>
                <w:szCs w:val="18"/>
              </w:rPr>
            </w:pPr>
            <w:r w:rsidRPr="003E31E0">
              <w:rPr>
                <w:sz w:val="18"/>
                <w:szCs w:val="18"/>
              </w:rPr>
              <w:t>21</w:t>
            </w:r>
          </w:p>
        </w:tc>
        <w:tc>
          <w:tcPr>
            <w:tcW w:w="949" w:type="dxa"/>
            <w:hideMark/>
          </w:tcPr>
          <w:p w14:paraId="26E6BDA3" w14:textId="77777777" w:rsidR="00EB75EE" w:rsidRPr="003E31E0" w:rsidRDefault="00EB75EE" w:rsidP="00590673">
            <w:pPr>
              <w:pStyle w:val="NormalWeb"/>
              <w:jc w:val="center"/>
              <w:rPr>
                <w:sz w:val="18"/>
                <w:szCs w:val="18"/>
              </w:rPr>
            </w:pPr>
            <w:r w:rsidRPr="003E31E0">
              <w:rPr>
                <w:sz w:val="18"/>
                <w:szCs w:val="18"/>
              </w:rPr>
              <w:t>449</w:t>
            </w:r>
          </w:p>
        </w:tc>
        <w:tc>
          <w:tcPr>
            <w:tcW w:w="950" w:type="dxa"/>
            <w:hideMark/>
          </w:tcPr>
          <w:p w14:paraId="7D05CE68" w14:textId="77777777" w:rsidR="00EB75EE" w:rsidRPr="008039E9" w:rsidRDefault="00EB75EE" w:rsidP="00590673">
            <w:pPr>
              <w:pStyle w:val="NormalWeb"/>
              <w:jc w:val="center"/>
              <w:rPr>
                <w:b/>
                <w:sz w:val="18"/>
                <w:szCs w:val="18"/>
              </w:rPr>
            </w:pPr>
            <w:r w:rsidRPr="008039E9">
              <w:rPr>
                <w:b/>
                <w:sz w:val="18"/>
                <w:szCs w:val="18"/>
              </w:rPr>
              <w:t>4,301</w:t>
            </w:r>
          </w:p>
        </w:tc>
      </w:tr>
      <w:tr w:rsidR="003E31E0" w:rsidRPr="003E31E0" w14:paraId="34D84223" w14:textId="77777777" w:rsidTr="00902D11">
        <w:trPr>
          <w:cnfStyle w:val="000000010000" w:firstRow="0" w:lastRow="0" w:firstColumn="0" w:lastColumn="0" w:oddVBand="0" w:evenVBand="0" w:oddHBand="0" w:evenHBand="1" w:firstRowFirstColumn="0" w:firstRowLastColumn="0" w:lastRowFirstColumn="0" w:lastRowLastColumn="0"/>
        </w:trPr>
        <w:tc>
          <w:tcPr>
            <w:tcW w:w="949" w:type="dxa"/>
            <w:vMerge w:val="restart"/>
            <w:shd w:val="clear" w:color="auto" w:fill="404040" w:themeFill="text1" w:themeFillTint="BF"/>
            <w:hideMark/>
          </w:tcPr>
          <w:p w14:paraId="58AAA508" w14:textId="77777777" w:rsidR="00EB75EE" w:rsidRPr="00902D11" w:rsidRDefault="00EB75EE">
            <w:pPr>
              <w:rPr>
                <w:b/>
                <w:color w:val="FFFFFF" w:themeColor="background1"/>
                <w:sz w:val="18"/>
                <w:szCs w:val="18"/>
              </w:rPr>
            </w:pPr>
          </w:p>
        </w:tc>
        <w:tc>
          <w:tcPr>
            <w:tcW w:w="949" w:type="dxa"/>
            <w:hideMark/>
          </w:tcPr>
          <w:p w14:paraId="258A10B4" w14:textId="77777777" w:rsidR="00EB75EE" w:rsidRPr="003E31E0" w:rsidRDefault="00EB75EE" w:rsidP="00590673">
            <w:pPr>
              <w:pStyle w:val="NormalWeb"/>
              <w:jc w:val="center"/>
              <w:rPr>
                <w:sz w:val="18"/>
                <w:szCs w:val="18"/>
              </w:rPr>
            </w:pPr>
            <w:r w:rsidRPr="003E31E0">
              <w:rPr>
                <w:sz w:val="18"/>
                <w:szCs w:val="18"/>
              </w:rPr>
              <w:t>Rectal</w:t>
            </w:r>
          </w:p>
        </w:tc>
        <w:tc>
          <w:tcPr>
            <w:tcW w:w="949" w:type="dxa"/>
            <w:hideMark/>
          </w:tcPr>
          <w:p w14:paraId="3CAF9957" w14:textId="77777777" w:rsidR="00EB75EE" w:rsidRPr="003E31E0" w:rsidRDefault="00EB75EE" w:rsidP="00590673">
            <w:pPr>
              <w:pStyle w:val="NormalWeb"/>
              <w:jc w:val="center"/>
              <w:rPr>
                <w:sz w:val="18"/>
                <w:szCs w:val="18"/>
              </w:rPr>
            </w:pPr>
            <w:r w:rsidRPr="003E31E0">
              <w:rPr>
                <w:sz w:val="18"/>
                <w:szCs w:val="18"/>
              </w:rPr>
              <w:t>57</w:t>
            </w:r>
          </w:p>
        </w:tc>
        <w:tc>
          <w:tcPr>
            <w:tcW w:w="949" w:type="dxa"/>
            <w:hideMark/>
          </w:tcPr>
          <w:p w14:paraId="379A712D" w14:textId="77777777" w:rsidR="00EB75EE" w:rsidRPr="003E31E0" w:rsidRDefault="00EB75EE" w:rsidP="00590673">
            <w:pPr>
              <w:pStyle w:val="NormalWeb"/>
              <w:jc w:val="center"/>
              <w:rPr>
                <w:sz w:val="18"/>
                <w:szCs w:val="18"/>
              </w:rPr>
            </w:pPr>
            <w:r w:rsidRPr="003E31E0">
              <w:rPr>
                <w:sz w:val="18"/>
                <w:szCs w:val="18"/>
              </w:rPr>
              <w:t>880</w:t>
            </w:r>
          </w:p>
        </w:tc>
        <w:tc>
          <w:tcPr>
            <w:tcW w:w="949" w:type="dxa"/>
            <w:hideMark/>
          </w:tcPr>
          <w:p w14:paraId="3AF4ABA2" w14:textId="77777777" w:rsidR="00EB75EE" w:rsidRPr="003E31E0" w:rsidRDefault="00EB75EE" w:rsidP="00590673">
            <w:pPr>
              <w:pStyle w:val="NormalWeb"/>
              <w:jc w:val="center"/>
              <w:rPr>
                <w:sz w:val="18"/>
                <w:szCs w:val="18"/>
              </w:rPr>
            </w:pPr>
            <w:r w:rsidRPr="003E31E0">
              <w:rPr>
                <w:sz w:val="18"/>
                <w:szCs w:val="18"/>
              </w:rPr>
              <w:t>3</w:t>
            </w:r>
          </w:p>
        </w:tc>
        <w:tc>
          <w:tcPr>
            <w:tcW w:w="949" w:type="dxa"/>
            <w:hideMark/>
          </w:tcPr>
          <w:p w14:paraId="576928FC" w14:textId="77777777" w:rsidR="00EB75EE" w:rsidRPr="003E31E0" w:rsidRDefault="00EB75EE" w:rsidP="00590673">
            <w:pPr>
              <w:pStyle w:val="NormalWeb"/>
              <w:jc w:val="center"/>
              <w:rPr>
                <w:sz w:val="18"/>
                <w:szCs w:val="18"/>
              </w:rPr>
            </w:pPr>
            <w:r w:rsidRPr="003E31E0">
              <w:rPr>
                <w:sz w:val="18"/>
                <w:szCs w:val="18"/>
              </w:rPr>
              <w:t>298</w:t>
            </w:r>
          </w:p>
        </w:tc>
        <w:tc>
          <w:tcPr>
            <w:tcW w:w="949" w:type="dxa"/>
            <w:hideMark/>
          </w:tcPr>
          <w:p w14:paraId="78564228" w14:textId="77777777" w:rsidR="00EB75EE" w:rsidRPr="003E31E0" w:rsidRDefault="00EB75EE" w:rsidP="00590673">
            <w:pPr>
              <w:pStyle w:val="NormalWeb"/>
              <w:jc w:val="center"/>
              <w:rPr>
                <w:sz w:val="18"/>
                <w:szCs w:val="18"/>
              </w:rPr>
            </w:pPr>
            <w:r w:rsidRPr="003E31E0">
              <w:rPr>
                <w:sz w:val="18"/>
                <w:szCs w:val="18"/>
              </w:rPr>
              <w:t>84</w:t>
            </w:r>
          </w:p>
        </w:tc>
        <w:tc>
          <w:tcPr>
            <w:tcW w:w="949" w:type="dxa"/>
            <w:hideMark/>
          </w:tcPr>
          <w:p w14:paraId="2034E6FA" w14:textId="77777777" w:rsidR="00EB75EE" w:rsidRPr="003E31E0" w:rsidRDefault="00EB75EE" w:rsidP="00590673">
            <w:pPr>
              <w:pStyle w:val="NormalWeb"/>
              <w:jc w:val="center"/>
              <w:rPr>
                <w:sz w:val="18"/>
                <w:szCs w:val="18"/>
              </w:rPr>
            </w:pPr>
            <w:r w:rsidRPr="003E31E0">
              <w:rPr>
                <w:sz w:val="18"/>
                <w:szCs w:val="18"/>
              </w:rPr>
              <w:t>837</w:t>
            </w:r>
          </w:p>
        </w:tc>
        <w:tc>
          <w:tcPr>
            <w:tcW w:w="949" w:type="dxa"/>
            <w:hideMark/>
          </w:tcPr>
          <w:p w14:paraId="288DD4C5" w14:textId="77777777" w:rsidR="00EB75EE" w:rsidRPr="003E31E0" w:rsidRDefault="00EB75EE" w:rsidP="00590673">
            <w:pPr>
              <w:pStyle w:val="NormalWeb"/>
              <w:jc w:val="center"/>
              <w:rPr>
                <w:sz w:val="18"/>
                <w:szCs w:val="18"/>
              </w:rPr>
            </w:pPr>
            <w:r w:rsidRPr="003E31E0">
              <w:rPr>
                <w:sz w:val="18"/>
                <w:szCs w:val="18"/>
              </w:rPr>
              <w:t>6</w:t>
            </w:r>
          </w:p>
        </w:tc>
        <w:tc>
          <w:tcPr>
            <w:tcW w:w="949" w:type="dxa"/>
            <w:hideMark/>
          </w:tcPr>
          <w:p w14:paraId="64285C23" w14:textId="77777777" w:rsidR="00EB75EE" w:rsidRPr="003E31E0" w:rsidRDefault="00EB75EE" w:rsidP="00590673">
            <w:pPr>
              <w:pStyle w:val="NormalWeb"/>
              <w:jc w:val="center"/>
              <w:rPr>
                <w:sz w:val="18"/>
                <w:szCs w:val="18"/>
              </w:rPr>
            </w:pPr>
            <w:r w:rsidRPr="003E31E0">
              <w:rPr>
                <w:sz w:val="18"/>
                <w:szCs w:val="18"/>
              </w:rPr>
              <w:t>109</w:t>
            </w:r>
          </w:p>
        </w:tc>
        <w:tc>
          <w:tcPr>
            <w:tcW w:w="950" w:type="dxa"/>
            <w:hideMark/>
          </w:tcPr>
          <w:p w14:paraId="7B638AFF" w14:textId="77777777" w:rsidR="00EB75EE" w:rsidRPr="008039E9" w:rsidRDefault="00EB75EE" w:rsidP="00590673">
            <w:pPr>
              <w:pStyle w:val="NormalWeb"/>
              <w:jc w:val="center"/>
              <w:rPr>
                <w:b/>
                <w:sz w:val="18"/>
                <w:szCs w:val="18"/>
              </w:rPr>
            </w:pPr>
            <w:r w:rsidRPr="008039E9">
              <w:rPr>
                <w:b/>
                <w:sz w:val="18"/>
                <w:szCs w:val="18"/>
              </w:rPr>
              <w:t>2,274</w:t>
            </w:r>
          </w:p>
        </w:tc>
      </w:tr>
      <w:tr w:rsidR="00EB75EE" w:rsidRPr="003E31E0" w14:paraId="634830A6" w14:textId="77777777" w:rsidTr="00902D11">
        <w:tc>
          <w:tcPr>
            <w:tcW w:w="949" w:type="dxa"/>
            <w:vMerge/>
            <w:shd w:val="clear" w:color="auto" w:fill="404040" w:themeFill="text1" w:themeFillTint="BF"/>
            <w:hideMark/>
          </w:tcPr>
          <w:p w14:paraId="676E08F6" w14:textId="77777777" w:rsidR="00EB75EE" w:rsidRPr="00902D11" w:rsidRDefault="00EB75EE">
            <w:pPr>
              <w:rPr>
                <w:b/>
                <w:color w:val="FFFFFF" w:themeColor="background1"/>
                <w:sz w:val="18"/>
                <w:szCs w:val="18"/>
              </w:rPr>
            </w:pPr>
          </w:p>
        </w:tc>
        <w:tc>
          <w:tcPr>
            <w:tcW w:w="949" w:type="dxa"/>
            <w:hideMark/>
          </w:tcPr>
          <w:p w14:paraId="035AB3D1" w14:textId="77777777" w:rsidR="00EB75EE" w:rsidRPr="003E31E0" w:rsidRDefault="00EB75EE" w:rsidP="00590673">
            <w:pPr>
              <w:pStyle w:val="NormalWeb"/>
              <w:jc w:val="center"/>
              <w:rPr>
                <w:sz w:val="18"/>
                <w:szCs w:val="18"/>
              </w:rPr>
            </w:pPr>
            <w:r w:rsidRPr="003E31E0">
              <w:rPr>
                <w:sz w:val="18"/>
                <w:szCs w:val="18"/>
              </w:rPr>
              <w:t>Pharynx</w:t>
            </w:r>
          </w:p>
        </w:tc>
        <w:tc>
          <w:tcPr>
            <w:tcW w:w="949" w:type="dxa"/>
            <w:hideMark/>
          </w:tcPr>
          <w:p w14:paraId="49B1025C" w14:textId="77777777" w:rsidR="00EB75EE" w:rsidRPr="003E31E0" w:rsidRDefault="00EB75EE" w:rsidP="00590673">
            <w:pPr>
              <w:pStyle w:val="NormalWeb"/>
              <w:jc w:val="center"/>
              <w:rPr>
                <w:sz w:val="18"/>
                <w:szCs w:val="18"/>
              </w:rPr>
            </w:pPr>
            <w:r w:rsidRPr="003E31E0">
              <w:rPr>
                <w:sz w:val="18"/>
                <w:szCs w:val="18"/>
              </w:rPr>
              <w:t>59</w:t>
            </w:r>
          </w:p>
        </w:tc>
        <w:tc>
          <w:tcPr>
            <w:tcW w:w="949" w:type="dxa"/>
            <w:hideMark/>
          </w:tcPr>
          <w:p w14:paraId="26B46E6C" w14:textId="77777777" w:rsidR="00EB75EE" w:rsidRPr="003E31E0" w:rsidRDefault="00EB75EE" w:rsidP="00590673">
            <w:pPr>
              <w:pStyle w:val="NormalWeb"/>
              <w:jc w:val="center"/>
              <w:rPr>
                <w:sz w:val="18"/>
                <w:szCs w:val="18"/>
              </w:rPr>
            </w:pPr>
            <w:r w:rsidRPr="003E31E0">
              <w:rPr>
                <w:sz w:val="18"/>
                <w:szCs w:val="18"/>
              </w:rPr>
              <w:t>495</w:t>
            </w:r>
          </w:p>
        </w:tc>
        <w:tc>
          <w:tcPr>
            <w:tcW w:w="949" w:type="dxa"/>
            <w:hideMark/>
          </w:tcPr>
          <w:p w14:paraId="72FCE765" w14:textId="77777777" w:rsidR="00EB75EE" w:rsidRPr="003E31E0" w:rsidRDefault="00EB75EE" w:rsidP="00590673">
            <w:pPr>
              <w:pStyle w:val="NormalWeb"/>
              <w:jc w:val="center"/>
              <w:rPr>
                <w:sz w:val="18"/>
                <w:szCs w:val="18"/>
              </w:rPr>
            </w:pPr>
            <w:r w:rsidRPr="003E31E0">
              <w:rPr>
                <w:sz w:val="18"/>
                <w:szCs w:val="18"/>
              </w:rPr>
              <w:t>3</w:t>
            </w:r>
          </w:p>
        </w:tc>
        <w:tc>
          <w:tcPr>
            <w:tcW w:w="949" w:type="dxa"/>
            <w:hideMark/>
          </w:tcPr>
          <w:p w14:paraId="6B45F670" w14:textId="77777777" w:rsidR="00EB75EE" w:rsidRPr="003E31E0" w:rsidRDefault="00EB75EE" w:rsidP="00590673">
            <w:pPr>
              <w:pStyle w:val="NormalWeb"/>
              <w:jc w:val="center"/>
              <w:rPr>
                <w:sz w:val="18"/>
                <w:szCs w:val="18"/>
              </w:rPr>
            </w:pPr>
            <w:r w:rsidRPr="003E31E0">
              <w:rPr>
                <w:sz w:val="18"/>
                <w:szCs w:val="18"/>
              </w:rPr>
              <w:t>139</w:t>
            </w:r>
          </w:p>
        </w:tc>
        <w:tc>
          <w:tcPr>
            <w:tcW w:w="949" w:type="dxa"/>
            <w:hideMark/>
          </w:tcPr>
          <w:p w14:paraId="760C247D" w14:textId="77777777" w:rsidR="00EB75EE" w:rsidRPr="003E31E0" w:rsidRDefault="00EB75EE" w:rsidP="00590673">
            <w:pPr>
              <w:pStyle w:val="NormalWeb"/>
              <w:jc w:val="center"/>
              <w:rPr>
                <w:sz w:val="18"/>
                <w:szCs w:val="18"/>
              </w:rPr>
            </w:pPr>
            <w:r w:rsidRPr="003E31E0">
              <w:rPr>
                <w:sz w:val="18"/>
                <w:szCs w:val="18"/>
              </w:rPr>
              <w:t>31</w:t>
            </w:r>
          </w:p>
        </w:tc>
        <w:tc>
          <w:tcPr>
            <w:tcW w:w="949" w:type="dxa"/>
            <w:hideMark/>
          </w:tcPr>
          <w:p w14:paraId="4AE0CEB7" w14:textId="77777777" w:rsidR="00EB75EE" w:rsidRPr="003E31E0" w:rsidRDefault="00EB75EE" w:rsidP="00590673">
            <w:pPr>
              <w:pStyle w:val="NormalWeb"/>
              <w:jc w:val="center"/>
              <w:rPr>
                <w:sz w:val="18"/>
                <w:szCs w:val="18"/>
              </w:rPr>
            </w:pPr>
            <w:r w:rsidRPr="003E31E0">
              <w:rPr>
                <w:sz w:val="18"/>
                <w:szCs w:val="18"/>
              </w:rPr>
              <w:t>367</w:t>
            </w:r>
          </w:p>
        </w:tc>
        <w:tc>
          <w:tcPr>
            <w:tcW w:w="949" w:type="dxa"/>
            <w:hideMark/>
          </w:tcPr>
          <w:p w14:paraId="2D670D56" w14:textId="77777777" w:rsidR="00EB75EE" w:rsidRPr="003E31E0" w:rsidRDefault="00EB75EE" w:rsidP="00590673">
            <w:pPr>
              <w:pStyle w:val="NormalWeb"/>
              <w:jc w:val="center"/>
              <w:rPr>
                <w:sz w:val="18"/>
                <w:szCs w:val="18"/>
              </w:rPr>
            </w:pPr>
            <w:r w:rsidRPr="003E31E0">
              <w:rPr>
                <w:sz w:val="18"/>
                <w:szCs w:val="18"/>
              </w:rPr>
              <w:t>8</w:t>
            </w:r>
          </w:p>
        </w:tc>
        <w:tc>
          <w:tcPr>
            <w:tcW w:w="949" w:type="dxa"/>
            <w:hideMark/>
          </w:tcPr>
          <w:p w14:paraId="65776153" w14:textId="77777777" w:rsidR="00EB75EE" w:rsidRPr="003E31E0" w:rsidRDefault="00EB75EE" w:rsidP="00590673">
            <w:pPr>
              <w:pStyle w:val="NormalWeb"/>
              <w:jc w:val="center"/>
              <w:rPr>
                <w:sz w:val="18"/>
                <w:szCs w:val="18"/>
              </w:rPr>
            </w:pPr>
            <w:r w:rsidRPr="003E31E0">
              <w:rPr>
                <w:sz w:val="18"/>
                <w:szCs w:val="18"/>
              </w:rPr>
              <w:t>53</w:t>
            </w:r>
          </w:p>
        </w:tc>
        <w:tc>
          <w:tcPr>
            <w:tcW w:w="950" w:type="dxa"/>
            <w:hideMark/>
          </w:tcPr>
          <w:p w14:paraId="2FDD9920" w14:textId="77777777" w:rsidR="00EB75EE" w:rsidRPr="008039E9" w:rsidRDefault="00EB75EE" w:rsidP="00590673">
            <w:pPr>
              <w:pStyle w:val="NormalWeb"/>
              <w:jc w:val="center"/>
              <w:rPr>
                <w:b/>
                <w:sz w:val="18"/>
                <w:szCs w:val="18"/>
              </w:rPr>
            </w:pPr>
            <w:r w:rsidRPr="008039E9">
              <w:rPr>
                <w:b/>
                <w:sz w:val="18"/>
                <w:szCs w:val="18"/>
              </w:rPr>
              <w:t>1,155</w:t>
            </w:r>
          </w:p>
        </w:tc>
      </w:tr>
      <w:tr w:rsidR="003E31E0" w:rsidRPr="003E31E0" w14:paraId="769E146D" w14:textId="77777777"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14:paraId="637F29D8" w14:textId="77777777" w:rsidR="00EB75EE" w:rsidRPr="00902D11" w:rsidRDefault="00EB75EE">
            <w:pPr>
              <w:rPr>
                <w:b/>
                <w:color w:val="FFFFFF" w:themeColor="background1"/>
                <w:sz w:val="18"/>
                <w:szCs w:val="18"/>
              </w:rPr>
            </w:pPr>
          </w:p>
        </w:tc>
        <w:tc>
          <w:tcPr>
            <w:tcW w:w="949" w:type="dxa"/>
            <w:hideMark/>
          </w:tcPr>
          <w:p w14:paraId="20751FA2" w14:textId="77777777" w:rsidR="00EB75EE" w:rsidRPr="003E31E0" w:rsidRDefault="00EB75EE" w:rsidP="00590673">
            <w:pPr>
              <w:pStyle w:val="NormalWeb"/>
              <w:jc w:val="center"/>
              <w:rPr>
                <w:sz w:val="18"/>
                <w:szCs w:val="18"/>
              </w:rPr>
            </w:pPr>
            <w:proofErr w:type="spellStart"/>
            <w:r w:rsidRPr="003E31E0">
              <w:rPr>
                <w:sz w:val="18"/>
                <w:szCs w:val="18"/>
              </w:rPr>
              <w:t>DGI</w:t>
            </w:r>
            <w:r w:rsidRPr="0096009A">
              <w:rPr>
                <w:sz w:val="18"/>
                <w:szCs w:val="18"/>
                <w:vertAlign w:val="superscript"/>
              </w:rPr>
              <w:t>a</w:t>
            </w:r>
            <w:proofErr w:type="spellEnd"/>
          </w:p>
        </w:tc>
        <w:tc>
          <w:tcPr>
            <w:tcW w:w="949" w:type="dxa"/>
            <w:hideMark/>
          </w:tcPr>
          <w:p w14:paraId="484B4D5D"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0BE3B584" w14:textId="77777777" w:rsidR="00EB75EE" w:rsidRPr="003E31E0" w:rsidRDefault="00EB75EE" w:rsidP="00590673">
            <w:pPr>
              <w:pStyle w:val="NormalWeb"/>
              <w:jc w:val="center"/>
              <w:rPr>
                <w:sz w:val="18"/>
                <w:szCs w:val="18"/>
              </w:rPr>
            </w:pPr>
            <w:r w:rsidRPr="003E31E0">
              <w:rPr>
                <w:sz w:val="18"/>
                <w:szCs w:val="18"/>
              </w:rPr>
              <w:t>9</w:t>
            </w:r>
          </w:p>
        </w:tc>
        <w:tc>
          <w:tcPr>
            <w:tcW w:w="949" w:type="dxa"/>
            <w:hideMark/>
          </w:tcPr>
          <w:p w14:paraId="39B73C6E"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459619A2" w14:textId="77777777" w:rsidR="00EB75EE" w:rsidRPr="003E31E0" w:rsidRDefault="00EB75EE" w:rsidP="00590673">
            <w:pPr>
              <w:pStyle w:val="NormalWeb"/>
              <w:jc w:val="center"/>
              <w:rPr>
                <w:sz w:val="18"/>
                <w:szCs w:val="18"/>
              </w:rPr>
            </w:pPr>
            <w:r w:rsidRPr="003E31E0">
              <w:rPr>
                <w:sz w:val="18"/>
                <w:szCs w:val="18"/>
              </w:rPr>
              <w:t>5</w:t>
            </w:r>
          </w:p>
        </w:tc>
        <w:tc>
          <w:tcPr>
            <w:tcW w:w="949" w:type="dxa"/>
            <w:hideMark/>
          </w:tcPr>
          <w:p w14:paraId="2A62353E" w14:textId="77777777" w:rsidR="00EB75EE" w:rsidRPr="003E31E0" w:rsidRDefault="00EB75EE" w:rsidP="00590673">
            <w:pPr>
              <w:pStyle w:val="NormalWeb"/>
              <w:jc w:val="center"/>
              <w:rPr>
                <w:sz w:val="18"/>
                <w:szCs w:val="18"/>
              </w:rPr>
            </w:pPr>
            <w:r w:rsidRPr="003E31E0">
              <w:rPr>
                <w:sz w:val="18"/>
                <w:szCs w:val="18"/>
              </w:rPr>
              <w:t>1</w:t>
            </w:r>
          </w:p>
        </w:tc>
        <w:tc>
          <w:tcPr>
            <w:tcW w:w="949" w:type="dxa"/>
            <w:hideMark/>
          </w:tcPr>
          <w:p w14:paraId="14A159C0" w14:textId="77777777" w:rsidR="00EB75EE" w:rsidRPr="003E31E0" w:rsidRDefault="00EB75EE" w:rsidP="00590673">
            <w:pPr>
              <w:pStyle w:val="NormalWeb"/>
              <w:jc w:val="center"/>
              <w:rPr>
                <w:sz w:val="18"/>
                <w:szCs w:val="18"/>
              </w:rPr>
            </w:pPr>
            <w:r w:rsidRPr="003E31E0">
              <w:rPr>
                <w:sz w:val="18"/>
                <w:szCs w:val="18"/>
              </w:rPr>
              <w:t>1</w:t>
            </w:r>
          </w:p>
        </w:tc>
        <w:tc>
          <w:tcPr>
            <w:tcW w:w="949" w:type="dxa"/>
            <w:hideMark/>
          </w:tcPr>
          <w:p w14:paraId="0CFCE682"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5D23AED7" w14:textId="77777777" w:rsidR="00EB75EE" w:rsidRPr="003E31E0" w:rsidRDefault="00EB75EE" w:rsidP="00590673">
            <w:pPr>
              <w:pStyle w:val="NormalWeb"/>
              <w:jc w:val="center"/>
              <w:rPr>
                <w:sz w:val="18"/>
                <w:szCs w:val="18"/>
              </w:rPr>
            </w:pPr>
            <w:r w:rsidRPr="003E31E0">
              <w:rPr>
                <w:sz w:val="18"/>
                <w:szCs w:val="18"/>
              </w:rPr>
              <w:t>4</w:t>
            </w:r>
          </w:p>
        </w:tc>
        <w:tc>
          <w:tcPr>
            <w:tcW w:w="950" w:type="dxa"/>
            <w:hideMark/>
          </w:tcPr>
          <w:p w14:paraId="3CF74EFD" w14:textId="77777777" w:rsidR="00EB75EE" w:rsidRPr="008039E9" w:rsidRDefault="00EB75EE" w:rsidP="00590673">
            <w:pPr>
              <w:pStyle w:val="NormalWeb"/>
              <w:jc w:val="center"/>
              <w:rPr>
                <w:b/>
                <w:sz w:val="18"/>
                <w:szCs w:val="18"/>
              </w:rPr>
            </w:pPr>
            <w:r w:rsidRPr="008039E9">
              <w:rPr>
                <w:b/>
                <w:sz w:val="18"/>
                <w:szCs w:val="18"/>
              </w:rPr>
              <w:t>20</w:t>
            </w:r>
          </w:p>
        </w:tc>
      </w:tr>
      <w:tr w:rsidR="00EB75EE" w:rsidRPr="003E31E0" w14:paraId="4E1E8883" w14:textId="77777777" w:rsidTr="00902D11">
        <w:tc>
          <w:tcPr>
            <w:tcW w:w="949" w:type="dxa"/>
            <w:vMerge/>
            <w:shd w:val="clear" w:color="auto" w:fill="404040" w:themeFill="text1" w:themeFillTint="BF"/>
            <w:hideMark/>
          </w:tcPr>
          <w:p w14:paraId="2982959B" w14:textId="77777777" w:rsidR="00EB75EE" w:rsidRPr="00902D11" w:rsidRDefault="00EB75EE">
            <w:pPr>
              <w:rPr>
                <w:b/>
                <w:color w:val="FFFFFF" w:themeColor="background1"/>
                <w:sz w:val="18"/>
                <w:szCs w:val="18"/>
              </w:rPr>
            </w:pPr>
          </w:p>
        </w:tc>
        <w:tc>
          <w:tcPr>
            <w:tcW w:w="949" w:type="dxa"/>
            <w:hideMark/>
          </w:tcPr>
          <w:p w14:paraId="11B22677" w14:textId="77777777" w:rsidR="00EB75EE" w:rsidRPr="003E31E0" w:rsidRDefault="00EB75EE" w:rsidP="00590673">
            <w:pPr>
              <w:pStyle w:val="NormalWeb"/>
              <w:jc w:val="center"/>
              <w:rPr>
                <w:sz w:val="18"/>
                <w:szCs w:val="18"/>
              </w:rPr>
            </w:pPr>
            <w:r w:rsidRPr="003E31E0">
              <w:rPr>
                <w:sz w:val="18"/>
                <w:szCs w:val="18"/>
              </w:rPr>
              <w:t xml:space="preserve">Other/ </w:t>
            </w:r>
            <w:proofErr w:type="spellStart"/>
            <w:r w:rsidRPr="003E31E0">
              <w:rPr>
                <w:sz w:val="18"/>
                <w:szCs w:val="18"/>
              </w:rPr>
              <w:t>NS</w:t>
            </w:r>
            <w:r w:rsidRPr="0096009A">
              <w:rPr>
                <w:sz w:val="18"/>
                <w:szCs w:val="18"/>
                <w:vertAlign w:val="superscript"/>
              </w:rPr>
              <w:t>b</w:t>
            </w:r>
            <w:proofErr w:type="spellEnd"/>
          </w:p>
        </w:tc>
        <w:tc>
          <w:tcPr>
            <w:tcW w:w="949" w:type="dxa"/>
            <w:hideMark/>
          </w:tcPr>
          <w:p w14:paraId="7A7A5DD2" w14:textId="77777777" w:rsidR="00EB75EE" w:rsidRPr="003E31E0" w:rsidRDefault="00EB75EE" w:rsidP="00590673">
            <w:pPr>
              <w:pStyle w:val="NormalWeb"/>
              <w:jc w:val="center"/>
              <w:rPr>
                <w:sz w:val="18"/>
                <w:szCs w:val="18"/>
              </w:rPr>
            </w:pPr>
            <w:r w:rsidRPr="003E31E0">
              <w:rPr>
                <w:sz w:val="18"/>
                <w:szCs w:val="18"/>
              </w:rPr>
              <w:t>1</w:t>
            </w:r>
          </w:p>
        </w:tc>
        <w:tc>
          <w:tcPr>
            <w:tcW w:w="949" w:type="dxa"/>
            <w:hideMark/>
          </w:tcPr>
          <w:p w14:paraId="436E4324" w14:textId="77777777" w:rsidR="00EB75EE" w:rsidRPr="003E31E0" w:rsidRDefault="00EB75EE" w:rsidP="00590673">
            <w:pPr>
              <w:pStyle w:val="NormalWeb"/>
              <w:jc w:val="center"/>
              <w:rPr>
                <w:sz w:val="18"/>
                <w:szCs w:val="18"/>
              </w:rPr>
            </w:pPr>
            <w:r w:rsidRPr="003E31E0">
              <w:rPr>
                <w:sz w:val="18"/>
                <w:szCs w:val="18"/>
              </w:rPr>
              <w:t>24</w:t>
            </w:r>
          </w:p>
        </w:tc>
        <w:tc>
          <w:tcPr>
            <w:tcW w:w="949" w:type="dxa"/>
            <w:hideMark/>
          </w:tcPr>
          <w:p w14:paraId="78128DAC" w14:textId="77777777" w:rsidR="00EB75EE" w:rsidRPr="003E31E0" w:rsidRDefault="00EB75EE" w:rsidP="00590673">
            <w:pPr>
              <w:pStyle w:val="NormalWeb"/>
              <w:jc w:val="center"/>
              <w:rPr>
                <w:sz w:val="18"/>
                <w:szCs w:val="18"/>
              </w:rPr>
            </w:pPr>
            <w:r w:rsidRPr="003E31E0">
              <w:rPr>
                <w:sz w:val="18"/>
                <w:szCs w:val="18"/>
              </w:rPr>
              <w:t>6</w:t>
            </w:r>
          </w:p>
        </w:tc>
        <w:tc>
          <w:tcPr>
            <w:tcW w:w="949" w:type="dxa"/>
            <w:hideMark/>
          </w:tcPr>
          <w:p w14:paraId="7AD1F844" w14:textId="77777777" w:rsidR="00EB75EE" w:rsidRPr="003E31E0" w:rsidRDefault="00EB75EE" w:rsidP="00590673">
            <w:pPr>
              <w:pStyle w:val="NormalWeb"/>
              <w:jc w:val="center"/>
              <w:rPr>
                <w:sz w:val="18"/>
                <w:szCs w:val="18"/>
              </w:rPr>
            </w:pPr>
            <w:r w:rsidRPr="003E31E0">
              <w:rPr>
                <w:sz w:val="18"/>
                <w:szCs w:val="18"/>
              </w:rPr>
              <w:t>19</w:t>
            </w:r>
          </w:p>
        </w:tc>
        <w:tc>
          <w:tcPr>
            <w:tcW w:w="949" w:type="dxa"/>
            <w:hideMark/>
          </w:tcPr>
          <w:p w14:paraId="642E4169" w14:textId="77777777" w:rsidR="00EB75EE" w:rsidRPr="003E31E0" w:rsidRDefault="00EB75EE" w:rsidP="00590673">
            <w:pPr>
              <w:pStyle w:val="NormalWeb"/>
              <w:jc w:val="center"/>
              <w:rPr>
                <w:sz w:val="18"/>
                <w:szCs w:val="18"/>
              </w:rPr>
            </w:pPr>
            <w:r w:rsidRPr="003E31E0">
              <w:rPr>
                <w:sz w:val="18"/>
                <w:szCs w:val="18"/>
              </w:rPr>
              <w:t>4</w:t>
            </w:r>
          </w:p>
        </w:tc>
        <w:tc>
          <w:tcPr>
            <w:tcW w:w="949" w:type="dxa"/>
            <w:hideMark/>
          </w:tcPr>
          <w:p w14:paraId="5D904AF6" w14:textId="77777777" w:rsidR="00EB75EE" w:rsidRPr="003E31E0" w:rsidRDefault="00EB75EE" w:rsidP="00590673">
            <w:pPr>
              <w:pStyle w:val="NormalWeb"/>
              <w:jc w:val="center"/>
              <w:rPr>
                <w:sz w:val="18"/>
                <w:szCs w:val="18"/>
              </w:rPr>
            </w:pPr>
            <w:r w:rsidRPr="003E31E0">
              <w:rPr>
                <w:sz w:val="18"/>
                <w:szCs w:val="18"/>
              </w:rPr>
              <w:t>13</w:t>
            </w:r>
          </w:p>
        </w:tc>
        <w:tc>
          <w:tcPr>
            <w:tcW w:w="949" w:type="dxa"/>
            <w:hideMark/>
          </w:tcPr>
          <w:p w14:paraId="039895D7" w14:textId="77777777" w:rsidR="00EB75EE" w:rsidRPr="003E31E0" w:rsidRDefault="00EB75EE" w:rsidP="00590673">
            <w:pPr>
              <w:pStyle w:val="NormalWeb"/>
              <w:jc w:val="center"/>
              <w:rPr>
                <w:sz w:val="18"/>
                <w:szCs w:val="18"/>
              </w:rPr>
            </w:pPr>
            <w:r w:rsidRPr="003E31E0">
              <w:rPr>
                <w:sz w:val="18"/>
                <w:szCs w:val="18"/>
              </w:rPr>
              <w:t>6</w:t>
            </w:r>
          </w:p>
        </w:tc>
        <w:tc>
          <w:tcPr>
            <w:tcW w:w="949" w:type="dxa"/>
            <w:hideMark/>
          </w:tcPr>
          <w:p w14:paraId="0FB8FDC0" w14:textId="77777777" w:rsidR="00EB75EE" w:rsidRPr="003E31E0" w:rsidRDefault="00EB75EE" w:rsidP="00590673">
            <w:pPr>
              <w:pStyle w:val="NormalWeb"/>
              <w:jc w:val="center"/>
              <w:rPr>
                <w:sz w:val="18"/>
                <w:szCs w:val="18"/>
              </w:rPr>
            </w:pPr>
            <w:r w:rsidRPr="003E31E0">
              <w:rPr>
                <w:sz w:val="18"/>
                <w:szCs w:val="18"/>
              </w:rPr>
              <w:t>12</w:t>
            </w:r>
          </w:p>
        </w:tc>
        <w:tc>
          <w:tcPr>
            <w:tcW w:w="950" w:type="dxa"/>
            <w:hideMark/>
          </w:tcPr>
          <w:p w14:paraId="46EB5B68" w14:textId="77777777" w:rsidR="00EB75EE" w:rsidRPr="008039E9" w:rsidRDefault="00EB75EE" w:rsidP="00590673">
            <w:pPr>
              <w:pStyle w:val="NormalWeb"/>
              <w:jc w:val="center"/>
              <w:rPr>
                <w:b/>
                <w:sz w:val="18"/>
                <w:szCs w:val="18"/>
              </w:rPr>
            </w:pPr>
            <w:r w:rsidRPr="008039E9">
              <w:rPr>
                <w:b/>
                <w:sz w:val="18"/>
                <w:szCs w:val="18"/>
              </w:rPr>
              <w:t>85</w:t>
            </w:r>
          </w:p>
        </w:tc>
      </w:tr>
      <w:tr w:rsidR="003E31E0" w:rsidRPr="003E31E0" w14:paraId="6BEB4CDB" w14:textId="77777777"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14:paraId="0467DA5E" w14:textId="77777777" w:rsidR="00EB75EE" w:rsidRPr="00902D11" w:rsidRDefault="00EB75EE">
            <w:pPr>
              <w:rPr>
                <w:b/>
                <w:color w:val="FFFFFF" w:themeColor="background1"/>
                <w:sz w:val="18"/>
                <w:szCs w:val="18"/>
              </w:rPr>
            </w:pPr>
          </w:p>
        </w:tc>
        <w:tc>
          <w:tcPr>
            <w:tcW w:w="949" w:type="dxa"/>
            <w:hideMark/>
          </w:tcPr>
          <w:p w14:paraId="1F30F449" w14:textId="77777777" w:rsidR="00EB75EE" w:rsidRPr="00EC4A5A" w:rsidRDefault="00EB75EE" w:rsidP="00590673">
            <w:pPr>
              <w:pStyle w:val="NormalWeb"/>
              <w:jc w:val="center"/>
              <w:rPr>
                <w:b/>
                <w:sz w:val="18"/>
                <w:szCs w:val="18"/>
              </w:rPr>
            </w:pPr>
            <w:r w:rsidRPr="00EC4A5A">
              <w:rPr>
                <w:b/>
                <w:sz w:val="18"/>
                <w:szCs w:val="18"/>
              </w:rPr>
              <w:t>Total</w:t>
            </w:r>
          </w:p>
        </w:tc>
        <w:tc>
          <w:tcPr>
            <w:tcW w:w="949" w:type="dxa"/>
            <w:hideMark/>
          </w:tcPr>
          <w:p w14:paraId="34184779" w14:textId="77777777" w:rsidR="00EB75EE" w:rsidRPr="00EC4A5A" w:rsidRDefault="00EB75EE" w:rsidP="00590673">
            <w:pPr>
              <w:pStyle w:val="NormalWeb"/>
              <w:jc w:val="center"/>
              <w:rPr>
                <w:b/>
                <w:sz w:val="18"/>
                <w:szCs w:val="18"/>
              </w:rPr>
            </w:pPr>
            <w:r w:rsidRPr="00EC4A5A">
              <w:rPr>
                <w:b/>
                <w:sz w:val="18"/>
                <w:szCs w:val="18"/>
              </w:rPr>
              <w:t>176</w:t>
            </w:r>
          </w:p>
        </w:tc>
        <w:tc>
          <w:tcPr>
            <w:tcW w:w="949" w:type="dxa"/>
            <w:hideMark/>
          </w:tcPr>
          <w:p w14:paraId="227AB437" w14:textId="77777777" w:rsidR="00EB75EE" w:rsidRPr="00EC4A5A" w:rsidRDefault="00EB75EE" w:rsidP="00590673">
            <w:pPr>
              <w:pStyle w:val="NormalWeb"/>
              <w:jc w:val="center"/>
              <w:rPr>
                <w:b/>
                <w:sz w:val="18"/>
                <w:szCs w:val="18"/>
              </w:rPr>
            </w:pPr>
            <w:r w:rsidRPr="00EC4A5A">
              <w:rPr>
                <w:b/>
                <w:sz w:val="18"/>
                <w:szCs w:val="18"/>
              </w:rPr>
              <w:t>3,022</w:t>
            </w:r>
          </w:p>
        </w:tc>
        <w:tc>
          <w:tcPr>
            <w:tcW w:w="949" w:type="dxa"/>
            <w:hideMark/>
          </w:tcPr>
          <w:p w14:paraId="586071DA" w14:textId="77777777" w:rsidR="00EB75EE" w:rsidRPr="00EC4A5A" w:rsidRDefault="00EB75EE" w:rsidP="00590673">
            <w:pPr>
              <w:pStyle w:val="NormalWeb"/>
              <w:jc w:val="center"/>
              <w:rPr>
                <w:b/>
                <w:sz w:val="18"/>
                <w:szCs w:val="18"/>
              </w:rPr>
            </w:pPr>
            <w:r w:rsidRPr="00EC4A5A">
              <w:rPr>
                <w:b/>
                <w:sz w:val="18"/>
                <w:szCs w:val="18"/>
              </w:rPr>
              <w:t>89</w:t>
            </w:r>
          </w:p>
        </w:tc>
        <w:tc>
          <w:tcPr>
            <w:tcW w:w="949" w:type="dxa"/>
            <w:hideMark/>
          </w:tcPr>
          <w:p w14:paraId="06FCAA2A" w14:textId="77777777" w:rsidR="00EB75EE" w:rsidRPr="00EC4A5A" w:rsidRDefault="00EB75EE" w:rsidP="00590673">
            <w:pPr>
              <w:pStyle w:val="NormalWeb"/>
              <w:jc w:val="center"/>
              <w:rPr>
                <w:b/>
                <w:sz w:val="18"/>
                <w:szCs w:val="18"/>
              </w:rPr>
            </w:pPr>
            <w:r w:rsidRPr="00EC4A5A">
              <w:rPr>
                <w:b/>
                <w:sz w:val="18"/>
                <w:szCs w:val="18"/>
              </w:rPr>
              <w:t>1,199</w:t>
            </w:r>
          </w:p>
        </w:tc>
        <w:tc>
          <w:tcPr>
            <w:tcW w:w="949" w:type="dxa"/>
            <w:hideMark/>
          </w:tcPr>
          <w:p w14:paraId="2618CB4D" w14:textId="77777777" w:rsidR="00EB75EE" w:rsidRPr="00EC4A5A" w:rsidRDefault="00EB75EE" w:rsidP="00590673">
            <w:pPr>
              <w:pStyle w:val="NormalWeb"/>
              <w:jc w:val="center"/>
              <w:rPr>
                <w:b/>
                <w:sz w:val="18"/>
                <w:szCs w:val="18"/>
              </w:rPr>
            </w:pPr>
            <w:r w:rsidRPr="00EC4A5A">
              <w:rPr>
                <w:b/>
                <w:sz w:val="18"/>
                <w:szCs w:val="18"/>
              </w:rPr>
              <w:t>433</w:t>
            </w:r>
          </w:p>
        </w:tc>
        <w:tc>
          <w:tcPr>
            <w:tcW w:w="949" w:type="dxa"/>
            <w:hideMark/>
          </w:tcPr>
          <w:p w14:paraId="203C0BBC" w14:textId="77777777" w:rsidR="00EB75EE" w:rsidRPr="00EC4A5A" w:rsidRDefault="00EB75EE" w:rsidP="00590673">
            <w:pPr>
              <w:pStyle w:val="NormalWeb"/>
              <w:jc w:val="center"/>
              <w:rPr>
                <w:b/>
                <w:sz w:val="18"/>
                <w:szCs w:val="18"/>
              </w:rPr>
            </w:pPr>
            <w:r w:rsidRPr="00EC4A5A">
              <w:rPr>
                <w:b/>
                <w:sz w:val="18"/>
                <w:szCs w:val="18"/>
              </w:rPr>
              <w:t>2,248</w:t>
            </w:r>
          </w:p>
        </w:tc>
        <w:tc>
          <w:tcPr>
            <w:tcW w:w="949" w:type="dxa"/>
            <w:hideMark/>
          </w:tcPr>
          <w:p w14:paraId="3A9AFF11" w14:textId="77777777" w:rsidR="00EB75EE" w:rsidRPr="00EC4A5A" w:rsidRDefault="00EB75EE" w:rsidP="00590673">
            <w:pPr>
              <w:pStyle w:val="NormalWeb"/>
              <w:jc w:val="center"/>
              <w:rPr>
                <w:b/>
                <w:sz w:val="18"/>
                <w:szCs w:val="18"/>
              </w:rPr>
            </w:pPr>
            <w:r w:rsidRPr="00EC4A5A">
              <w:rPr>
                <w:b/>
                <w:sz w:val="18"/>
                <w:szCs w:val="18"/>
              </w:rPr>
              <w:t>41</w:t>
            </w:r>
          </w:p>
        </w:tc>
        <w:tc>
          <w:tcPr>
            <w:tcW w:w="949" w:type="dxa"/>
            <w:hideMark/>
          </w:tcPr>
          <w:p w14:paraId="67380BDC" w14:textId="77777777" w:rsidR="00EB75EE" w:rsidRPr="00EC4A5A" w:rsidRDefault="00EB75EE" w:rsidP="00590673">
            <w:pPr>
              <w:pStyle w:val="NormalWeb"/>
              <w:jc w:val="center"/>
              <w:rPr>
                <w:b/>
                <w:sz w:val="18"/>
                <w:szCs w:val="18"/>
              </w:rPr>
            </w:pPr>
            <w:r w:rsidRPr="00EC4A5A">
              <w:rPr>
                <w:b/>
                <w:sz w:val="18"/>
                <w:szCs w:val="18"/>
              </w:rPr>
              <w:t>627</w:t>
            </w:r>
          </w:p>
        </w:tc>
        <w:tc>
          <w:tcPr>
            <w:tcW w:w="950" w:type="dxa"/>
            <w:hideMark/>
          </w:tcPr>
          <w:p w14:paraId="6C2BEB35" w14:textId="77777777" w:rsidR="00EB75EE" w:rsidRPr="008039E9" w:rsidRDefault="00EB75EE" w:rsidP="00590673">
            <w:pPr>
              <w:pStyle w:val="NormalWeb"/>
              <w:jc w:val="center"/>
              <w:rPr>
                <w:b/>
                <w:sz w:val="18"/>
                <w:szCs w:val="18"/>
              </w:rPr>
            </w:pPr>
            <w:r w:rsidRPr="008039E9">
              <w:rPr>
                <w:b/>
                <w:sz w:val="18"/>
                <w:szCs w:val="18"/>
              </w:rPr>
              <w:t>7,835</w:t>
            </w:r>
          </w:p>
        </w:tc>
      </w:tr>
      <w:tr w:rsidR="00EB75EE" w:rsidRPr="003E31E0" w14:paraId="3AAB19BC" w14:textId="77777777" w:rsidTr="00902D11">
        <w:tc>
          <w:tcPr>
            <w:tcW w:w="949" w:type="dxa"/>
            <w:shd w:val="clear" w:color="auto" w:fill="404040" w:themeFill="text1" w:themeFillTint="BF"/>
            <w:hideMark/>
          </w:tcPr>
          <w:p w14:paraId="3CF07075" w14:textId="77777777" w:rsidR="00EB75EE" w:rsidRPr="00902D11" w:rsidRDefault="00EB75EE">
            <w:pPr>
              <w:pStyle w:val="NormalWeb"/>
              <w:rPr>
                <w:b/>
                <w:color w:val="FFFFFF" w:themeColor="background1"/>
                <w:sz w:val="18"/>
                <w:szCs w:val="18"/>
              </w:rPr>
            </w:pPr>
            <w:r w:rsidRPr="00902D11">
              <w:rPr>
                <w:b/>
                <w:color w:val="FFFFFF" w:themeColor="background1"/>
                <w:sz w:val="18"/>
                <w:szCs w:val="18"/>
              </w:rPr>
              <w:t>Female</w:t>
            </w:r>
          </w:p>
        </w:tc>
        <w:tc>
          <w:tcPr>
            <w:tcW w:w="949" w:type="dxa"/>
            <w:hideMark/>
          </w:tcPr>
          <w:p w14:paraId="6F171EEE" w14:textId="77777777" w:rsidR="00EB75EE" w:rsidRPr="003E31E0" w:rsidRDefault="00EB75EE" w:rsidP="00590673">
            <w:pPr>
              <w:pStyle w:val="NormalWeb"/>
              <w:jc w:val="center"/>
              <w:rPr>
                <w:sz w:val="18"/>
                <w:szCs w:val="18"/>
              </w:rPr>
            </w:pPr>
            <w:r w:rsidRPr="003E31E0">
              <w:rPr>
                <w:sz w:val="18"/>
                <w:szCs w:val="18"/>
              </w:rPr>
              <w:t>Genital</w:t>
            </w:r>
          </w:p>
        </w:tc>
        <w:tc>
          <w:tcPr>
            <w:tcW w:w="949" w:type="dxa"/>
            <w:hideMark/>
          </w:tcPr>
          <w:p w14:paraId="650A75E9" w14:textId="77777777" w:rsidR="00EB75EE" w:rsidRPr="003E31E0" w:rsidRDefault="00EB75EE" w:rsidP="00590673">
            <w:pPr>
              <w:pStyle w:val="NormalWeb"/>
              <w:jc w:val="center"/>
              <w:rPr>
                <w:sz w:val="18"/>
                <w:szCs w:val="18"/>
              </w:rPr>
            </w:pPr>
            <w:r w:rsidRPr="003E31E0">
              <w:rPr>
                <w:sz w:val="18"/>
                <w:szCs w:val="18"/>
              </w:rPr>
              <w:t>11</w:t>
            </w:r>
          </w:p>
        </w:tc>
        <w:tc>
          <w:tcPr>
            <w:tcW w:w="949" w:type="dxa"/>
            <w:hideMark/>
          </w:tcPr>
          <w:p w14:paraId="5D5A69BF" w14:textId="77777777" w:rsidR="00EB75EE" w:rsidRPr="003E31E0" w:rsidRDefault="00EB75EE" w:rsidP="00590673">
            <w:pPr>
              <w:pStyle w:val="NormalWeb"/>
              <w:jc w:val="center"/>
              <w:rPr>
                <w:sz w:val="18"/>
                <w:szCs w:val="18"/>
              </w:rPr>
            </w:pPr>
            <w:r w:rsidRPr="003E31E0">
              <w:rPr>
                <w:sz w:val="18"/>
                <w:szCs w:val="18"/>
              </w:rPr>
              <w:t>436</w:t>
            </w:r>
          </w:p>
        </w:tc>
        <w:tc>
          <w:tcPr>
            <w:tcW w:w="949" w:type="dxa"/>
            <w:hideMark/>
          </w:tcPr>
          <w:p w14:paraId="7097B91F" w14:textId="77777777" w:rsidR="00EB75EE" w:rsidRPr="003E31E0" w:rsidRDefault="00EB75EE" w:rsidP="00590673">
            <w:pPr>
              <w:pStyle w:val="NormalWeb"/>
              <w:jc w:val="center"/>
              <w:rPr>
                <w:sz w:val="18"/>
                <w:szCs w:val="18"/>
              </w:rPr>
            </w:pPr>
            <w:r w:rsidRPr="003E31E0">
              <w:rPr>
                <w:sz w:val="18"/>
                <w:szCs w:val="18"/>
              </w:rPr>
              <w:t>34</w:t>
            </w:r>
          </w:p>
        </w:tc>
        <w:tc>
          <w:tcPr>
            <w:tcW w:w="949" w:type="dxa"/>
            <w:hideMark/>
          </w:tcPr>
          <w:p w14:paraId="07A5DA51" w14:textId="77777777" w:rsidR="00EB75EE" w:rsidRPr="003E31E0" w:rsidRDefault="00EB75EE" w:rsidP="00590673">
            <w:pPr>
              <w:pStyle w:val="NormalWeb"/>
              <w:jc w:val="center"/>
              <w:rPr>
                <w:sz w:val="18"/>
                <w:szCs w:val="18"/>
              </w:rPr>
            </w:pPr>
            <w:r w:rsidRPr="003E31E0">
              <w:rPr>
                <w:sz w:val="18"/>
                <w:szCs w:val="18"/>
              </w:rPr>
              <w:t>433</w:t>
            </w:r>
          </w:p>
        </w:tc>
        <w:tc>
          <w:tcPr>
            <w:tcW w:w="949" w:type="dxa"/>
            <w:hideMark/>
          </w:tcPr>
          <w:p w14:paraId="00B5193D" w14:textId="77777777" w:rsidR="00EB75EE" w:rsidRPr="003E31E0" w:rsidRDefault="00EB75EE" w:rsidP="00590673">
            <w:pPr>
              <w:pStyle w:val="NormalWeb"/>
              <w:jc w:val="center"/>
              <w:rPr>
                <w:sz w:val="18"/>
                <w:szCs w:val="18"/>
              </w:rPr>
            </w:pPr>
            <w:r w:rsidRPr="003E31E0">
              <w:rPr>
                <w:sz w:val="18"/>
                <w:szCs w:val="18"/>
              </w:rPr>
              <w:t>117</w:t>
            </w:r>
          </w:p>
        </w:tc>
        <w:tc>
          <w:tcPr>
            <w:tcW w:w="949" w:type="dxa"/>
            <w:hideMark/>
          </w:tcPr>
          <w:p w14:paraId="3E95FB66" w14:textId="77777777" w:rsidR="00EB75EE" w:rsidRPr="003E31E0" w:rsidRDefault="00EB75EE" w:rsidP="00590673">
            <w:pPr>
              <w:pStyle w:val="NormalWeb"/>
              <w:jc w:val="center"/>
              <w:rPr>
                <w:sz w:val="18"/>
                <w:szCs w:val="18"/>
              </w:rPr>
            </w:pPr>
            <w:r w:rsidRPr="003E31E0">
              <w:rPr>
                <w:sz w:val="18"/>
                <w:szCs w:val="18"/>
              </w:rPr>
              <w:t>272</w:t>
            </w:r>
          </w:p>
        </w:tc>
        <w:tc>
          <w:tcPr>
            <w:tcW w:w="949" w:type="dxa"/>
            <w:hideMark/>
          </w:tcPr>
          <w:p w14:paraId="1ADA416A" w14:textId="77777777" w:rsidR="00EB75EE" w:rsidRPr="003E31E0" w:rsidRDefault="00EB75EE" w:rsidP="00590673">
            <w:pPr>
              <w:pStyle w:val="NormalWeb"/>
              <w:jc w:val="center"/>
              <w:rPr>
                <w:sz w:val="18"/>
                <w:szCs w:val="18"/>
              </w:rPr>
            </w:pPr>
            <w:r w:rsidRPr="003E31E0">
              <w:rPr>
                <w:sz w:val="18"/>
                <w:szCs w:val="18"/>
              </w:rPr>
              <w:t>7</w:t>
            </w:r>
          </w:p>
        </w:tc>
        <w:tc>
          <w:tcPr>
            <w:tcW w:w="949" w:type="dxa"/>
            <w:hideMark/>
          </w:tcPr>
          <w:p w14:paraId="420C37C7" w14:textId="77777777" w:rsidR="00EB75EE" w:rsidRPr="003E31E0" w:rsidRDefault="00EB75EE" w:rsidP="00590673">
            <w:pPr>
              <w:pStyle w:val="NormalWeb"/>
              <w:jc w:val="center"/>
              <w:rPr>
                <w:sz w:val="18"/>
                <w:szCs w:val="18"/>
              </w:rPr>
            </w:pPr>
            <w:r w:rsidRPr="003E31E0">
              <w:rPr>
                <w:sz w:val="18"/>
                <w:szCs w:val="18"/>
              </w:rPr>
              <w:t>189</w:t>
            </w:r>
          </w:p>
        </w:tc>
        <w:tc>
          <w:tcPr>
            <w:tcW w:w="950" w:type="dxa"/>
            <w:hideMark/>
          </w:tcPr>
          <w:p w14:paraId="69C4B6F1" w14:textId="77777777" w:rsidR="00EB75EE" w:rsidRPr="008039E9" w:rsidRDefault="00EB75EE" w:rsidP="00590673">
            <w:pPr>
              <w:pStyle w:val="NormalWeb"/>
              <w:jc w:val="center"/>
              <w:rPr>
                <w:b/>
                <w:sz w:val="18"/>
                <w:szCs w:val="18"/>
              </w:rPr>
            </w:pPr>
            <w:r w:rsidRPr="008039E9">
              <w:rPr>
                <w:b/>
                <w:sz w:val="18"/>
                <w:szCs w:val="18"/>
              </w:rPr>
              <w:t>1,499</w:t>
            </w:r>
          </w:p>
        </w:tc>
      </w:tr>
      <w:tr w:rsidR="003E31E0" w:rsidRPr="003E31E0" w14:paraId="75F7D1C1" w14:textId="77777777" w:rsidTr="00902D11">
        <w:trPr>
          <w:cnfStyle w:val="000000010000" w:firstRow="0" w:lastRow="0" w:firstColumn="0" w:lastColumn="0" w:oddVBand="0" w:evenVBand="0" w:oddHBand="0" w:evenHBand="1" w:firstRowFirstColumn="0" w:firstRowLastColumn="0" w:lastRowFirstColumn="0" w:lastRowLastColumn="0"/>
        </w:trPr>
        <w:tc>
          <w:tcPr>
            <w:tcW w:w="949" w:type="dxa"/>
            <w:vMerge w:val="restart"/>
            <w:shd w:val="clear" w:color="auto" w:fill="404040" w:themeFill="text1" w:themeFillTint="BF"/>
            <w:hideMark/>
          </w:tcPr>
          <w:p w14:paraId="51072780" w14:textId="77777777" w:rsidR="00EB75EE" w:rsidRPr="00902D11" w:rsidRDefault="00EB75EE">
            <w:pPr>
              <w:rPr>
                <w:b/>
                <w:color w:val="FFFFFF" w:themeColor="background1"/>
                <w:sz w:val="18"/>
                <w:szCs w:val="18"/>
              </w:rPr>
            </w:pPr>
          </w:p>
        </w:tc>
        <w:tc>
          <w:tcPr>
            <w:tcW w:w="949" w:type="dxa"/>
            <w:hideMark/>
          </w:tcPr>
          <w:p w14:paraId="1A832A0D" w14:textId="77777777" w:rsidR="00EB75EE" w:rsidRPr="003E31E0" w:rsidRDefault="00EB75EE" w:rsidP="00590673">
            <w:pPr>
              <w:pStyle w:val="NormalWeb"/>
              <w:jc w:val="center"/>
              <w:rPr>
                <w:sz w:val="18"/>
                <w:szCs w:val="18"/>
              </w:rPr>
            </w:pPr>
            <w:r w:rsidRPr="003E31E0">
              <w:rPr>
                <w:sz w:val="18"/>
                <w:szCs w:val="18"/>
              </w:rPr>
              <w:t>Rectal</w:t>
            </w:r>
          </w:p>
        </w:tc>
        <w:tc>
          <w:tcPr>
            <w:tcW w:w="949" w:type="dxa"/>
            <w:hideMark/>
          </w:tcPr>
          <w:p w14:paraId="34F0F251" w14:textId="77777777" w:rsidR="00EB75EE" w:rsidRPr="003E31E0" w:rsidRDefault="00EB75EE" w:rsidP="00590673">
            <w:pPr>
              <w:pStyle w:val="NormalWeb"/>
              <w:jc w:val="center"/>
              <w:rPr>
                <w:sz w:val="18"/>
                <w:szCs w:val="18"/>
              </w:rPr>
            </w:pPr>
            <w:r w:rsidRPr="003E31E0">
              <w:rPr>
                <w:sz w:val="18"/>
                <w:szCs w:val="18"/>
              </w:rPr>
              <w:t>3</w:t>
            </w:r>
          </w:p>
        </w:tc>
        <w:tc>
          <w:tcPr>
            <w:tcW w:w="949" w:type="dxa"/>
            <w:hideMark/>
          </w:tcPr>
          <w:p w14:paraId="1A8CCCBE" w14:textId="77777777" w:rsidR="00EB75EE" w:rsidRPr="003E31E0" w:rsidRDefault="00EB75EE" w:rsidP="00590673">
            <w:pPr>
              <w:pStyle w:val="NormalWeb"/>
              <w:jc w:val="center"/>
              <w:rPr>
                <w:sz w:val="18"/>
                <w:szCs w:val="18"/>
              </w:rPr>
            </w:pPr>
            <w:r w:rsidRPr="003E31E0">
              <w:rPr>
                <w:sz w:val="18"/>
                <w:szCs w:val="18"/>
              </w:rPr>
              <w:t>15</w:t>
            </w:r>
          </w:p>
        </w:tc>
        <w:tc>
          <w:tcPr>
            <w:tcW w:w="949" w:type="dxa"/>
            <w:hideMark/>
          </w:tcPr>
          <w:p w14:paraId="26975B28"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1790E7F9" w14:textId="77777777" w:rsidR="00EB75EE" w:rsidRPr="003E31E0" w:rsidRDefault="00EB75EE" w:rsidP="00590673">
            <w:pPr>
              <w:pStyle w:val="NormalWeb"/>
              <w:jc w:val="center"/>
              <w:rPr>
                <w:sz w:val="18"/>
                <w:szCs w:val="18"/>
              </w:rPr>
            </w:pPr>
            <w:r w:rsidRPr="003E31E0">
              <w:rPr>
                <w:sz w:val="18"/>
                <w:szCs w:val="18"/>
              </w:rPr>
              <w:t>7</w:t>
            </w:r>
          </w:p>
        </w:tc>
        <w:tc>
          <w:tcPr>
            <w:tcW w:w="949" w:type="dxa"/>
            <w:hideMark/>
          </w:tcPr>
          <w:p w14:paraId="2D1FF827" w14:textId="77777777" w:rsidR="00EB75EE" w:rsidRPr="003E31E0" w:rsidRDefault="00EB75EE" w:rsidP="00590673">
            <w:pPr>
              <w:pStyle w:val="NormalWeb"/>
              <w:jc w:val="center"/>
              <w:rPr>
                <w:sz w:val="18"/>
                <w:szCs w:val="18"/>
              </w:rPr>
            </w:pPr>
            <w:r w:rsidRPr="003E31E0">
              <w:rPr>
                <w:sz w:val="18"/>
                <w:szCs w:val="18"/>
              </w:rPr>
              <w:t>3</w:t>
            </w:r>
          </w:p>
        </w:tc>
        <w:tc>
          <w:tcPr>
            <w:tcW w:w="949" w:type="dxa"/>
            <w:hideMark/>
          </w:tcPr>
          <w:p w14:paraId="3E7FA897" w14:textId="77777777" w:rsidR="00EB75EE" w:rsidRPr="003E31E0" w:rsidRDefault="00EB75EE" w:rsidP="00590673">
            <w:pPr>
              <w:pStyle w:val="NormalWeb"/>
              <w:jc w:val="center"/>
              <w:rPr>
                <w:sz w:val="18"/>
                <w:szCs w:val="18"/>
              </w:rPr>
            </w:pPr>
            <w:r w:rsidRPr="003E31E0">
              <w:rPr>
                <w:sz w:val="18"/>
                <w:szCs w:val="18"/>
              </w:rPr>
              <w:t>13</w:t>
            </w:r>
          </w:p>
        </w:tc>
        <w:tc>
          <w:tcPr>
            <w:tcW w:w="949" w:type="dxa"/>
            <w:hideMark/>
          </w:tcPr>
          <w:p w14:paraId="42737A14"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631F2735" w14:textId="77777777" w:rsidR="00EB75EE" w:rsidRPr="003E31E0" w:rsidRDefault="00EB75EE" w:rsidP="00590673">
            <w:pPr>
              <w:pStyle w:val="NormalWeb"/>
              <w:jc w:val="center"/>
              <w:rPr>
                <w:sz w:val="18"/>
                <w:szCs w:val="18"/>
              </w:rPr>
            </w:pPr>
            <w:r w:rsidRPr="003E31E0">
              <w:rPr>
                <w:sz w:val="18"/>
                <w:szCs w:val="18"/>
              </w:rPr>
              <w:t>6</w:t>
            </w:r>
          </w:p>
        </w:tc>
        <w:tc>
          <w:tcPr>
            <w:tcW w:w="950" w:type="dxa"/>
            <w:hideMark/>
          </w:tcPr>
          <w:p w14:paraId="3D300335" w14:textId="77777777" w:rsidR="00EB75EE" w:rsidRPr="008039E9" w:rsidRDefault="00EB75EE" w:rsidP="00590673">
            <w:pPr>
              <w:pStyle w:val="NormalWeb"/>
              <w:jc w:val="center"/>
              <w:rPr>
                <w:b/>
                <w:sz w:val="18"/>
                <w:szCs w:val="18"/>
              </w:rPr>
            </w:pPr>
            <w:r w:rsidRPr="008039E9">
              <w:rPr>
                <w:b/>
                <w:sz w:val="18"/>
                <w:szCs w:val="18"/>
              </w:rPr>
              <w:t>47</w:t>
            </w:r>
          </w:p>
        </w:tc>
      </w:tr>
      <w:tr w:rsidR="00EB75EE" w:rsidRPr="003E31E0" w14:paraId="28E28C2A" w14:textId="77777777" w:rsidTr="00902D11">
        <w:tc>
          <w:tcPr>
            <w:tcW w:w="949" w:type="dxa"/>
            <w:vMerge/>
            <w:shd w:val="clear" w:color="auto" w:fill="404040" w:themeFill="text1" w:themeFillTint="BF"/>
            <w:hideMark/>
          </w:tcPr>
          <w:p w14:paraId="3F36E096" w14:textId="77777777" w:rsidR="00EB75EE" w:rsidRPr="00902D11" w:rsidRDefault="00EB75EE">
            <w:pPr>
              <w:rPr>
                <w:b/>
                <w:color w:val="FFFFFF" w:themeColor="background1"/>
                <w:sz w:val="18"/>
                <w:szCs w:val="18"/>
              </w:rPr>
            </w:pPr>
          </w:p>
        </w:tc>
        <w:tc>
          <w:tcPr>
            <w:tcW w:w="949" w:type="dxa"/>
            <w:hideMark/>
          </w:tcPr>
          <w:p w14:paraId="37529D8E" w14:textId="77777777" w:rsidR="00EB75EE" w:rsidRPr="003E31E0" w:rsidRDefault="00EB75EE" w:rsidP="00590673">
            <w:pPr>
              <w:pStyle w:val="NormalWeb"/>
              <w:jc w:val="center"/>
              <w:rPr>
                <w:sz w:val="18"/>
                <w:szCs w:val="18"/>
              </w:rPr>
            </w:pPr>
            <w:r w:rsidRPr="003E31E0">
              <w:rPr>
                <w:sz w:val="18"/>
                <w:szCs w:val="18"/>
              </w:rPr>
              <w:t>Pharynx</w:t>
            </w:r>
          </w:p>
        </w:tc>
        <w:tc>
          <w:tcPr>
            <w:tcW w:w="949" w:type="dxa"/>
            <w:hideMark/>
          </w:tcPr>
          <w:p w14:paraId="777319DD" w14:textId="77777777" w:rsidR="00EB75EE" w:rsidRPr="003E31E0" w:rsidRDefault="00EB75EE" w:rsidP="00590673">
            <w:pPr>
              <w:pStyle w:val="NormalWeb"/>
              <w:jc w:val="center"/>
              <w:rPr>
                <w:sz w:val="18"/>
                <w:szCs w:val="18"/>
              </w:rPr>
            </w:pPr>
            <w:r w:rsidRPr="003E31E0">
              <w:rPr>
                <w:sz w:val="18"/>
                <w:szCs w:val="18"/>
              </w:rPr>
              <w:t>6</w:t>
            </w:r>
          </w:p>
        </w:tc>
        <w:tc>
          <w:tcPr>
            <w:tcW w:w="949" w:type="dxa"/>
            <w:hideMark/>
          </w:tcPr>
          <w:p w14:paraId="15B425DA" w14:textId="77777777" w:rsidR="00EB75EE" w:rsidRPr="003E31E0" w:rsidRDefault="00EB75EE" w:rsidP="00590673">
            <w:pPr>
              <w:pStyle w:val="NormalWeb"/>
              <w:jc w:val="center"/>
              <w:rPr>
                <w:sz w:val="18"/>
                <w:szCs w:val="18"/>
              </w:rPr>
            </w:pPr>
            <w:r w:rsidRPr="003E31E0">
              <w:rPr>
                <w:sz w:val="18"/>
                <w:szCs w:val="18"/>
              </w:rPr>
              <w:t>101</w:t>
            </w:r>
          </w:p>
        </w:tc>
        <w:tc>
          <w:tcPr>
            <w:tcW w:w="949" w:type="dxa"/>
            <w:hideMark/>
          </w:tcPr>
          <w:p w14:paraId="3B1CEBB2"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5F8ADAC9" w14:textId="77777777" w:rsidR="00EB75EE" w:rsidRPr="003E31E0" w:rsidRDefault="00EB75EE" w:rsidP="00590673">
            <w:pPr>
              <w:pStyle w:val="NormalWeb"/>
              <w:jc w:val="center"/>
              <w:rPr>
                <w:sz w:val="18"/>
                <w:szCs w:val="18"/>
              </w:rPr>
            </w:pPr>
            <w:r w:rsidRPr="003E31E0">
              <w:rPr>
                <w:sz w:val="18"/>
                <w:szCs w:val="18"/>
              </w:rPr>
              <w:t>23</w:t>
            </w:r>
          </w:p>
        </w:tc>
        <w:tc>
          <w:tcPr>
            <w:tcW w:w="949" w:type="dxa"/>
            <w:hideMark/>
          </w:tcPr>
          <w:p w14:paraId="6CF84A07" w14:textId="77777777" w:rsidR="00EB75EE" w:rsidRPr="003E31E0" w:rsidRDefault="00EB75EE" w:rsidP="00590673">
            <w:pPr>
              <w:pStyle w:val="NormalWeb"/>
              <w:jc w:val="center"/>
              <w:rPr>
                <w:sz w:val="18"/>
                <w:szCs w:val="18"/>
              </w:rPr>
            </w:pPr>
            <w:r w:rsidRPr="003E31E0">
              <w:rPr>
                <w:sz w:val="18"/>
                <w:szCs w:val="18"/>
              </w:rPr>
              <w:t>1</w:t>
            </w:r>
          </w:p>
        </w:tc>
        <w:tc>
          <w:tcPr>
            <w:tcW w:w="949" w:type="dxa"/>
            <w:hideMark/>
          </w:tcPr>
          <w:p w14:paraId="0C3CD5CC" w14:textId="77777777" w:rsidR="00EB75EE" w:rsidRPr="003E31E0" w:rsidRDefault="00EB75EE" w:rsidP="00590673">
            <w:pPr>
              <w:pStyle w:val="NormalWeb"/>
              <w:jc w:val="center"/>
              <w:rPr>
                <w:sz w:val="18"/>
                <w:szCs w:val="18"/>
              </w:rPr>
            </w:pPr>
            <w:r w:rsidRPr="003E31E0">
              <w:rPr>
                <w:sz w:val="18"/>
                <w:szCs w:val="18"/>
              </w:rPr>
              <w:t>42</w:t>
            </w:r>
          </w:p>
        </w:tc>
        <w:tc>
          <w:tcPr>
            <w:tcW w:w="949" w:type="dxa"/>
            <w:hideMark/>
          </w:tcPr>
          <w:p w14:paraId="14E2B247" w14:textId="77777777" w:rsidR="00EB75EE" w:rsidRPr="003E31E0" w:rsidRDefault="00EB75EE" w:rsidP="00590673">
            <w:pPr>
              <w:pStyle w:val="NormalWeb"/>
              <w:jc w:val="center"/>
              <w:rPr>
                <w:sz w:val="18"/>
                <w:szCs w:val="18"/>
              </w:rPr>
            </w:pPr>
            <w:r w:rsidRPr="003E31E0">
              <w:rPr>
                <w:sz w:val="18"/>
                <w:szCs w:val="18"/>
              </w:rPr>
              <w:t>1</w:t>
            </w:r>
          </w:p>
        </w:tc>
        <w:tc>
          <w:tcPr>
            <w:tcW w:w="949" w:type="dxa"/>
            <w:hideMark/>
          </w:tcPr>
          <w:p w14:paraId="57DE05FD" w14:textId="77777777" w:rsidR="00EB75EE" w:rsidRPr="003E31E0" w:rsidRDefault="00EB75EE" w:rsidP="00590673">
            <w:pPr>
              <w:pStyle w:val="NormalWeb"/>
              <w:jc w:val="center"/>
              <w:rPr>
                <w:sz w:val="18"/>
                <w:szCs w:val="18"/>
              </w:rPr>
            </w:pPr>
            <w:r w:rsidRPr="003E31E0">
              <w:rPr>
                <w:sz w:val="18"/>
                <w:szCs w:val="18"/>
              </w:rPr>
              <w:t>9</w:t>
            </w:r>
          </w:p>
        </w:tc>
        <w:tc>
          <w:tcPr>
            <w:tcW w:w="950" w:type="dxa"/>
            <w:hideMark/>
          </w:tcPr>
          <w:p w14:paraId="7B989D96" w14:textId="77777777" w:rsidR="00EB75EE" w:rsidRPr="008039E9" w:rsidRDefault="00EB75EE" w:rsidP="00590673">
            <w:pPr>
              <w:pStyle w:val="NormalWeb"/>
              <w:jc w:val="center"/>
              <w:rPr>
                <w:b/>
                <w:sz w:val="18"/>
                <w:szCs w:val="18"/>
              </w:rPr>
            </w:pPr>
            <w:r w:rsidRPr="008039E9">
              <w:rPr>
                <w:b/>
                <w:sz w:val="18"/>
                <w:szCs w:val="18"/>
              </w:rPr>
              <w:t>183</w:t>
            </w:r>
          </w:p>
        </w:tc>
      </w:tr>
      <w:tr w:rsidR="003E31E0" w:rsidRPr="003E31E0" w14:paraId="34007749" w14:textId="77777777"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14:paraId="1627E6BA" w14:textId="77777777" w:rsidR="00EB75EE" w:rsidRPr="00902D11" w:rsidRDefault="00EB75EE">
            <w:pPr>
              <w:rPr>
                <w:b/>
                <w:color w:val="FFFFFF" w:themeColor="background1"/>
                <w:sz w:val="18"/>
                <w:szCs w:val="18"/>
              </w:rPr>
            </w:pPr>
          </w:p>
        </w:tc>
        <w:tc>
          <w:tcPr>
            <w:tcW w:w="949" w:type="dxa"/>
            <w:hideMark/>
          </w:tcPr>
          <w:p w14:paraId="13CB1B48" w14:textId="77777777" w:rsidR="00EB75EE" w:rsidRPr="003E31E0" w:rsidRDefault="00EB75EE" w:rsidP="00590673">
            <w:pPr>
              <w:pStyle w:val="NormalWeb"/>
              <w:jc w:val="center"/>
              <w:rPr>
                <w:sz w:val="18"/>
                <w:szCs w:val="18"/>
              </w:rPr>
            </w:pPr>
            <w:r w:rsidRPr="003E31E0">
              <w:rPr>
                <w:sz w:val="18"/>
                <w:szCs w:val="18"/>
              </w:rPr>
              <w:t>DGI</w:t>
            </w:r>
          </w:p>
        </w:tc>
        <w:tc>
          <w:tcPr>
            <w:tcW w:w="949" w:type="dxa"/>
            <w:hideMark/>
          </w:tcPr>
          <w:p w14:paraId="71E244FD"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107D81B8"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39E62139" w14:textId="77777777" w:rsidR="00EB75EE" w:rsidRPr="003E31E0" w:rsidRDefault="00EB75EE" w:rsidP="00590673">
            <w:pPr>
              <w:pStyle w:val="NormalWeb"/>
              <w:jc w:val="center"/>
              <w:rPr>
                <w:sz w:val="18"/>
                <w:szCs w:val="18"/>
              </w:rPr>
            </w:pPr>
            <w:r w:rsidRPr="003E31E0">
              <w:rPr>
                <w:sz w:val="18"/>
                <w:szCs w:val="18"/>
              </w:rPr>
              <w:t>3</w:t>
            </w:r>
          </w:p>
        </w:tc>
        <w:tc>
          <w:tcPr>
            <w:tcW w:w="949" w:type="dxa"/>
            <w:hideMark/>
          </w:tcPr>
          <w:p w14:paraId="4C955615" w14:textId="77777777" w:rsidR="00EB75EE" w:rsidRPr="003E31E0" w:rsidRDefault="00EB75EE" w:rsidP="00590673">
            <w:pPr>
              <w:pStyle w:val="NormalWeb"/>
              <w:jc w:val="center"/>
              <w:rPr>
                <w:sz w:val="18"/>
                <w:szCs w:val="18"/>
              </w:rPr>
            </w:pPr>
            <w:r w:rsidRPr="003E31E0">
              <w:rPr>
                <w:sz w:val="18"/>
                <w:szCs w:val="18"/>
              </w:rPr>
              <w:t>3</w:t>
            </w:r>
          </w:p>
        </w:tc>
        <w:tc>
          <w:tcPr>
            <w:tcW w:w="949" w:type="dxa"/>
            <w:hideMark/>
          </w:tcPr>
          <w:p w14:paraId="18143D52"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5B813686" w14:textId="77777777" w:rsidR="00EB75EE" w:rsidRPr="003E31E0" w:rsidRDefault="00EB75EE" w:rsidP="00590673">
            <w:pPr>
              <w:pStyle w:val="NormalWeb"/>
              <w:jc w:val="center"/>
              <w:rPr>
                <w:sz w:val="18"/>
                <w:szCs w:val="18"/>
              </w:rPr>
            </w:pPr>
            <w:r w:rsidRPr="003E31E0">
              <w:rPr>
                <w:sz w:val="18"/>
                <w:szCs w:val="18"/>
              </w:rPr>
              <w:t>2</w:t>
            </w:r>
          </w:p>
        </w:tc>
        <w:tc>
          <w:tcPr>
            <w:tcW w:w="949" w:type="dxa"/>
            <w:hideMark/>
          </w:tcPr>
          <w:p w14:paraId="07159451"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61E78E89" w14:textId="77777777" w:rsidR="00EB75EE" w:rsidRPr="003E31E0" w:rsidRDefault="00EB75EE" w:rsidP="00590673">
            <w:pPr>
              <w:pStyle w:val="NormalWeb"/>
              <w:jc w:val="center"/>
              <w:rPr>
                <w:sz w:val="18"/>
                <w:szCs w:val="18"/>
              </w:rPr>
            </w:pPr>
            <w:r w:rsidRPr="003E31E0">
              <w:rPr>
                <w:sz w:val="18"/>
                <w:szCs w:val="18"/>
              </w:rPr>
              <w:t>3</w:t>
            </w:r>
          </w:p>
        </w:tc>
        <w:tc>
          <w:tcPr>
            <w:tcW w:w="950" w:type="dxa"/>
            <w:hideMark/>
          </w:tcPr>
          <w:p w14:paraId="0B5416EF" w14:textId="77777777" w:rsidR="00EB75EE" w:rsidRPr="008039E9" w:rsidRDefault="00EB75EE" w:rsidP="00590673">
            <w:pPr>
              <w:pStyle w:val="NormalWeb"/>
              <w:jc w:val="center"/>
              <w:rPr>
                <w:b/>
                <w:sz w:val="18"/>
                <w:szCs w:val="18"/>
              </w:rPr>
            </w:pPr>
            <w:r w:rsidRPr="008039E9">
              <w:rPr>
                <w:b/>
                <w:sz w:val="18"/>
                <w:szCs w:val="18"/>
              </w:rPr>
              <w:t>11</w:t>
            </w:r>
          </w:p>
        </w:tc>
      </w:tr>
      <w:tr w:rsidR="00EB75EE" w:rsidRPr="003E31E0" w14:paraId="784087A0" w14:textId="77777777" w:rsidTr="00902D11">
        <w:tc>
          <w:tcPr>
            <w:tcW w:w="949" w:type="dxa"/>
            <w:vMerge/>
            <w:shd w:val="clear" w:color="auto" w:fill="404040" w:themeFill="text1" w:themeFillTint="BF"/>
            <w:hideMark/>
          </w:tcPr>
          <w:p w14:paraId="10ED08A9" w14:textId="77777777" w:rsidR="00EB75EE" w:rsidRPr="00902D11" w:rsidRDefault="00EB75EE">
            <w:pPr>
              <w:rPr>
                <w:b/>
                <w:color w:val="FFFFFF" w:themeColor="background1"/>
                <w:sz w:val="18"/>
                <w:szCs w:val="18"/>
              </w:rPr>
            </w:pPr>
          </w:p>
        </w:tc>
        <w:tc>
          <w:tcPr>
            <w:tcW w:w="949" w:type="dxa"/>
            <w:hideMark/>
          </w:tcPr>
          <w:p w14:paraId="7071E667" w14:textId="77777777" w:rsidR="00EB75EE" w:rsidRPr="003E31E0" w:rsidRDefault="00EB75EE" w:rsidP="00590673">
            <w:pPr>
              <w:pStyle w:val="NormalWeb"/>
              <w:jc w:val="center"/>
              <w:rPr>
                <w:sz w:val="18"/>
                <w:szCs w:val="18"/>
              </w:rPr>
            </w:pPr>
            <w:r w:rsidRPr="003E31E0">
              <w:rPr>
                <w:sz w:val="18"/>
                <w:szCs w:val="18"/>
              </w:rPr>
              <w:t>Other/ NS</w:t>
            </w:r>
          </w:p>
        </w:tc>
        <w:tc>
          <w:tcPr>
            <w:tcW w:w="949" w:type="dxa"/>
            <w:hideMark/>
          </w:tcPr>
          <w:p w14:paraId="5CA0E14C" w14:textId="77777777" w:rsidR="00EB75EE" w:rsidRPr="003E31E0" w:rsidRDefault="00EB75EE" w:rsidP="00590673">
            <w:pPr>
              <w:pStyle w:val="NormalWeb"/>
              <w:jc w:val="center"/>
              <w:rPr>
                <w:sz w:val="18"/>
                <w:szCs w:val="18"/>
              </w:rPr>
            </w:pPr>
            <w:r w:rsidRPr="003E31E0">
              <w:rPr>
                <w:sz w:val="18"/>
                <w:szCs w:val="18"/>
              </w:rPr>
              <w:t>1</w:t>
            </w:r>
          </w:p>
        </w:tc>
        <w:tc>
          <w:tcPr>
            <w:tcW w:w="949" w:type="dxa"/>
            <w:hideMark/>
          </w:tcPr>
          <w:p w14:paraId="22EFFF65" w14:textId="77777777" w:rsidR="00EB75EE" w:rsidRPr="003E31E0" w:rsidRDefault="00EB75EE" w:rsidP="00590673">
            <w:pPr>
              <w:pStyle w:val="NormalWeb"/>
              <w:jc w:val="center"/>
              <w:rPr>
                <w:sz w:val="18"/>
                <w:szCs w:val="18"/>
              </w:rPr>
            </w:pPr>
            <w:r w:rsidRPr="003E31E0">
              <w:rPr>
                <w:sz w:val="18"/>
                <w:szCs w:val="18"/>
              </w:rPr>
              <w:t>10</w:t>
            </w:r>
          </w:p>
        </w:tc>
        <w:tc>
          <w:tcPr>
            <w:tcW w:w="949" w:type="dxa"/>
            <w:hideMark/>
          </w:tcPr>
          <w:p w14:paraId="6C2596E9"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791B64F3" w14:textId="77777777" w:rsidR="00EB75EE" w:rsidRPr="003E31E0" w:rsidRDefault="00EB75EE" w:rsidP="00590673">
            <w:pPr>
              <w:pStyle w:val="NormalWeb"/>
              <w:jc w:val="center"/>
              <w:rPr>
                <w:sz w:val="18"/>
                <w:szCs w:val="18"/>
              </w:rPr>
            </w:pPr>
            <w:r w:rsidRPr="003E31E0">
              <w:rPr>
                <w:sz w:val="18"/>
                <w:szCs w:val="18"/>
              </w:rPr>
              <w:t>12</w:t>
            </w:r>
          </w:p>
        </w:tc>
        <w:tc>
          <w:tcPr>
            <w:tcW w:w="949" w:type="dxa"/>
            <w:hideMark/>
          </w:tcPr>
          <w:p w14:paraId="2AFCA54E"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395E71E2" w14:textId="77777777" w:rsidR="00EB75EE" w:rsidRPr="003E31E0" w:rsidRDefault="00EB75EE" w:rsidP="00590673">
            <w:pPr>
              <w:pStyle w:val="NormalWeb"/>
              <w:jc w:val="center"/>
              <w:rPr>
                <w:sz w:val="18"/>
                <w:szCs w:val="18"/>
              </w:rPr>
            </w:pPr>
            <w:r w:rsidRPr="003E31E0">
              <w:rPr>
                <w:sz w:val="18"/>
                <w:szCs w:val="18"/>
              </w:rPr>
              <w:t>9</w:t>
            </w:r>
          </w:p>
        </w:tc>
        <w:tc>
          <w:tcPr>
            <w:tcW w:w="949" w:type="dxa"/>
            <w:hideMark/>
          </w:tcPr>
          <w:p w14:paraId="7743CF0E" w14:textId="77777777" w:rsidR="00EB75EE" w:rsidRPr="003E31E0" w:rsidRDefault="00EB75EE" w:rsidP="00590673">
            <w:pPr>
              <w:pStyle w:val="NormalWeb"/>
              <w:jc w:val="center"/>
              <w:rPr>
                <w:sz w:val="18"/>
                <w:szCs w:val="18"/>
              </w:rPr>
            </w:pPr>
            <w:r w:rsidRPr="003E31E0">
              <w:rPr>
                <w:sz w:val="18"/>
                <w:szCs w:val="18"/>
              </w:rPr>
              <w:t>0</w:t>
            </w:r>
          </w:p>
        </w:tc>
        <w:tc>
          <w:tcPr>
            <w:tcW w:w="949" w:type="dxa"/>
            <w:hideMark/>
          </w:tcPr>
          <w:p w14:paraId="7F6B31C3" w14:textId="77777777" w:rsidR="00EB75EE" w:rsidRPr="003E31E0" w:rsidRDefault="00EB75EE" w:rsidP="00590673">
            <w:pPr>
              <w:pStyle w:val="NormalWeb"/>
              <w:jc w:val="center"/>
              <w:rPr>
                <w:sz w:val="18"/>
                <w:szCs w:val="18"/>
              </w:rPr>
            </w:pPr>
            <w:r w:rsidRPr="003E31E0">
              <w:rPr>
                <w:sz w:val="18"/>
                <w:szCs w:val="18"/>
              </w:rPr>
              <w:t>4</w:t>
            </w:r>
          </w:p>
        </w:tc>
        <w:tc>
          <w:tcPr>
            <w:tcW w:w="950" w:type="dxa"/>
            <w:hideMark/>
          </w:tcPr>
          <w:p w14:paraId="4E60F269" w14:textId="77777777" w:rsidR="00EB75EE" w:rsidRPr="008039E9" w:rsidRDefault="00EB75EE" w:rsidP="00590673">
            <w:pPr>
              <w:pStyle w:val="NormalWeb"/>
              <w:jc w:val="center"/>
              <w:rPr>
                <w:b/>
                <w:sz w:val="18"/>
                <w:szCs w:val="18"/>
              </w:rPr>
            </w:pPr>
            <w:r w:rsidRPr="008039E9">
              <w:rPr>
                <w:b/>
                <w:sz w:val="18"/>
                <w:szCs w:val="18"/>
              </w:rPr>
              <w:t>36</w:t>
            </w:r>
          </w:p>
        </w:tc>
      </w:tr>
      <w:tr w:rsidR="003E31E0" w:rsidRPr="003E31E0" w14:paraId="37EB9269" w14:textId="77777777" w:rsidTr="00902D11">
        <w:trPr>
          <w:cnfStyle w:val="000000010000" w:firstRow="0" w:lastRow="0" w:firstColumn="0" w:lastColumn="0" w:oddVBand="0" w:evenVBand="0" w:oddHBand="0" w:evenHBand="1" w:firstRowFirstColumn="0" w:firstRowLastColumn="0" w:lastRowFirstColumn="0" w:lastRowLastColumn="0"/>
        </w:trPr>
        <w:tc>
          <w:tcPr>
            <w:tcW w:w="949" w:type="dxa"/>
            <w:vMerge/>
            <w:shd w:val="clear" w:color="auto" w:fill="404040" w:themeFill="text1" w:themeFillTint="BF"/>
            <w:hideMark/>
          </w:tcPr>
          <w:p w14:paraId="5E9FEB07" w14:textId="77777777" w:rsidR="00EB75EE" w:rsidRPr="00902D11" w:rsidRDefault="00EB75EE">
            <w:pPr>
              <w:rPr>
                <w:b/>
                <w:color w:val="FFFFFF" w:themeColor="background1"/>
                <w:sz w:val="18"/>
                <w:szCs w:val="18"/>
              </w:rPr>
            </w:pPr>
          </w:p>
        </w:tc>
        <w:tc>
          <w:tcPr>
            <w:tcW w:w="949" w:type="dxa"/>
            <w:hideMark/>
          </w:tcPr>
          <w:p w14:paraId="38084695" w14:textId="77777777" w:rsidR="00EB75EE" w:rsidRPr="006C7720" w:rsidRDefault="00EB75EE" w:rsidP="00590673">
            <w:pPr>
              <w:pStyle w:val="NormalWeb"/>
              <w:jc w:val="center"/>
              <w:rPr>
                <w:b/>
                <w:sz w:val="18"/>
                <w:szCs w:val="18"/>
              </w:rPr>
            </w:pPr>
            <w:r w:rsidRPr="006C7720">
              <w:rPr>
                <w:b/>
                <w:sz w:val="18"/>
                <w:szCs w:val="18"/>
              </w:rPr>
              <w:t>Total</w:t>
            </w:r>
          </w:p>
        </w:tc>
        <w:tc>
          <w:tcPr>
            <w:tcW w:w="949" w:type="dxa"/>
            <w:hideMark/>
          </w:tcPr>
          <w:p w14:paraId="30889035" w14:textId="77777777" w:rsidR="00EB75EE" w:rsidRPr="006C7720" w:rsidRDefault="00EB75EE" w:rsidP="00590673">
            <w:pPr>
              <w:pStyle w:val="NormalWeb"/>
              <w:jc w:val="center"/>
              <w:rPr>
                <w:b/>
                <w:sz w:val="18"/>
                <w:szCs w:val="18"/>
              </w:rPr>
            </w:pPr>
            <w:r w:rsidRPr="006C7720">
              <w:rPr>
                <w:b/>
                <w:sz w:val="18"/>
                <w:szCs w:val="18"/>
              </w:rPr>
              <w:t>21</w:t>
            </w:r>
          </w:p>
        </w:tc>
        <w:tc>
          <w:tcPr>
            <w:tcW w:w="949" w:type="dxa"/>
            <w:hideMark/>
          </w:tcPr>
          <w:p w14:paraId="0210FF13" w14:textId="77777777" w:rsidR="00EB75EE" w:rsidRPr="006C7720" w:rsidRDefault="00EB75EE" w:rsidP="00590673">
            <w:pPr>
              <w:pStyle w:val="NormalWeb"/>
              <w:jc w:val="center"/>
              <w:rPr>
                <w:b/>
                <w:sz w:val="18"/>
                <w:szCs w:val="18"/>
              </w:rPr>
            </w:pPr>
            <w:r w:rsidRPr="006C7720">
              <w:rPr>
                <w:b/>
                <w:sz w:val="18"/>
                <w:szCs w:val="18"/>
              </w:rPr>
              <w:t>562</w:t>
            </w:r>
          </w:p>
        </w:tc>
        <w:tc>
          <w:tcPr>
            <w:tcW w:w="949" w:type="dxa"/>
            <w:hideMark/>
          </w:tcPr>
          <w:p w14:paraId="611629C2" w14:textId="77777777" w:rsidR="00EB75EE" w:rsidRPr="006C7720" w:rsidRDefault="00EB75EE" w:rsidP="00590673">
            <w:pPr>
              <w:pStyle w:val="NormalWeb"/>
              <w:jc w:val="center"/>
              <w:rPr>
                <w:b/>
                <w:sz w:val="18"/>
                <w:szCs w:val="18"/>
              </w:rPr>
            </w:pPr>
            <w:r w:rsidRPr="006C7720">
              <w:rPr>
                <w:b/>
                <w:sz w:val="18"/>
                <w:szCs w:val="18"/>
              </w:rPr>
              <w:t>37</w:t>
            </w:r>
          </w:p>
        </w:tc>
        <w:tc>
          <w:tcPr>
            <w:tcW w:w="949" w:type="dxa"/>
            <w:hideMark/>
          </w:tcPr>
          <w:p w14:paraId="2A4CD79D" w14:textId="77777777" w:rsidR="00EB75EE" w:rsidRPr="006C7720" w:rsidRDefault="00EB75EE" w:rsidP="00590673">
            <w:pPr>
              <w:pStyle w:val="NormalWeb"/>
              <w:jc w:val="center"/>
              <w:rPr>
                <w:b/>
                <w:sz w:val="18"/>
                <w:szCs w:val="18"/>
              </w:rPr>
            </w:pPr>
            <w:r w:rsidRPr="006C7720">
              <w:rPr>
                <w:b/>
                <w:sz w:val="18"/>
                <w:szCs w:val="18"/>
              </w:rPr>
              <w:t>478</w:t>
            </w:r>
          </w:p>
        </w:tc>
        <w:tc>
          <w:tcPr>
            <w:tcW w:w="949" w:type="dxa"/>
            <w:hideMark/>
          </w:tcPr>
          <w:p w14:paraId="60F86E3C" w14:textId="77777777" w:rsidR="00EB75EE" w:rsidRPr="006C7720" w:rsidRDefault="00EB75EE" w:rsidP="00590673">
            <w:pPr>
              <w:pStyle w:val="NormalWeb"/>
              <w:jc w:val="center"/>
              <w:rPr>
                <w:b/>
                <w:sz w:val="18"/>
                <w:szCs w:val="18"/>
              </w:rPr>
            </w:pPr>
            <w:r w:rsidRPr="006C7720">
              <w:rPr>
                <w:b/>
                <w:sz w:val="18"/>
                <w:szCs w:val="18"/>
              </w:rPr>
              <w:t>121</w:t>
            </w:r>
          </w:p>
        </w:tc>
        <w:tc>
          <w:tcPr>
            <w:tcW w:w="949" w:type="dxa"/>
            <w:hideMark/>
          </w:tcPr>
          <w:p w14:paraId="35A9E996" w14:textId="77777777" w:rsidR="00EB75EE" w:rsidRPr="006C7720" w:rsidRDefault="00EB75EE" w:rsidP="00590673">
            <w:pPr>
              <w:pStyle w:val="NormalWeb"/>
              <w:jc w:val="center"/>
              <w:rPr>
                <w:b/>
                <w:sz w:val="18"/>
                <w:szCs w:val="18"/>
              </w:rPr>
            </w:pPr>
            <w:r w:rsidRPr="006C7720">
              <w:rPr>
                <w:b/>
                <w:sz w:val="18"/>
                <w:szCs w:val="18"/>
              </w:rPr>
              <w:t>338</w:t>
            </w:r>
          </w:p>
        </w:tc>
        <w:tc>
          <w:tcPr>
            <w:tcW w:w="949" w:type="dxa"/>
            <w:hideMark/>
          </w:tcPr>
          <w:p w14:paraId="5272E7A6" w14:textId="77777777" w:rsidR="00EB75EE" w:rsidRPr="006C7720" w:rsidRDefault="00EB75EE" w:rsidP="00590673">
            <w:pPr>
              <w:pStyle w:val="NormalWeb"/>
              <w:jc w:val="center"/>
              <w:rPr>
                <w:b/>
                <w:sz w:val="18"/>
                <w:szCs w:val="18"/>
              </w:rPr>
            </w:pPr>
            <w:r w:rsidRPr="006C7720">
              <w:rPr>
                <w:b/>
                <w:sz w:val="18"/>
                <w:szCs w:val="18"/>
              </w:rPr>
              <w:t>8</w:t>
            </w:r>
          </w:p>
        </w:tc>
        <w:tc>
          <w:tcPr>
            <w:tcW w:w="949" w:type="dxa"/>
            <w:hideMark/>
          </w:tcPr>
          <w:p w14:paraId="1D2DA213" w14:textId="77777777" w:rsidR="00EB75EE" w:rsidRPr="006C7720" w:rsidRDefault="00EB75EE" w:rsidP="00590673">
            <w:pPr>
              <w:pStyle w:val="NormalWeb"/>
              <w:jc w:val="center"/>
              <w:rPr>
                <w:b/>
                <w:sz w:val="18"/>
                <w:szCs w:val="18"/>
              </w:rPr>
            </w:pPr>
            <w:r w:rsidRPr="006C7720">
              <w:rPr>
                <w:b/>
                <w:sz w:val="18"/>
                <w:szCs w:val="18"/>
              </w:rPr>
              <w:t>211</w:t>
            </w:r>
          </w:p>
        </w:tc>
        <w:tc>
          <w:tcPr>
            <w:tcW w:w="950" w:type="dxa"/>
            <w:hideMark/>
          </w:tcPr>
          <w:p w14:paraId="7AAF736A" w14:textId="77777777" w:rsidR="00EB75EE" w:rsidRPr="008039E9" w:rsidRDefault="00EB75EE" w:rsidP="00590673">
            <w:pPr>
              <w:pStyle w:val="NormalWeb"/>
              <w:jc w:val="center"/>
              <w:rPr>
                <w:b/>
                <w:sz w:val="18"/>
                <w:szCs w:val="18"/>
              </w:rPr>
            </w:pPr>
            <w:r w:rsidRPr="008039E9">
              <w:rPr>
                <w:b/>
                <w:sz w:val="18"/>
                <w:szCs w:val="18"/>
              </w:rPr>
              <w:t>1,776</w:t>
            </w:r>
          </w:p>
        </w:tc>
      </w:tr>
      <w:tr w:rsidR="00EB75EE" w:rsidRPr="003E31E0" w14:paraId="57AD2993" w14:textId="77777777" w:rsidTr="00902D11">
        <w:tc>
          <w:tcPr>
            <w:tcW w:w="949" w:type="dxa"/>
            <w:shd w:val="clear" w:color="auto" w:fill="404040" w:themeFill="text1" w:themeFillTint="BF"/>
            <w:hideMark/>
          </w:tcPr>
          <w:p w14:paraId="635C8502" w14:textId="77777777" w:rsidR="00EB75EE" w:rsidRPr="00902D11" w:rsidRDefault="00EB75EE">
            <w:pPr>
              <w:pStyle w:val="NormalWeb"/>
              <w:rPr>
                <w:b/>
                <w:color w:val="FFFFFF" w:themeColor="background1"/>
                <w:sz w:val="18"/>
                <w:szCs w:val="18"/>
              </w:rPr>
            </w:pPr>
            <w:r w:rsidRPr="00902D11">
              <w:rPr>
                <w:b/>
                <w:color w:val="FFFFFF" w:themeColor="background1"/>
                <w:sz w:val="18"/>
                <w:szCs w:val="18"/>
              </w:rPr>
              <w:t>Unknown</w:t>
            </w:r>
          </w:p>
        </w:tc>
        <w:tc>
          <w:tcPr>
            <w:tcW w:w="949" w:type="dxa"/>
            <w:hideMark/>
          </w:tcPr>
          <w:p w14:paraId="6F6786C6" w14:textId="77777777" w:rsidR="00EB75EE" w:rsidRPr="006C7720" w:rsidRDefault="00EB75EE" w:rsidP="00590673">
            <w:pPr>
              <w:pStyle w:val="NormalWeb"/>
              <w:jc w:val="center"/>
              <w:rPr>
                <w:b/>
                <w:sz w:val="18"/>
                <w:szCs w:val="18"/>
              </w:rPr>
            </w:pPr>
            <w:r w:rsidRPr="006C7720">
              <w:rPr>
                <w:b/>
                <w:sz w:val="18"/>
                <w:szCs w:val="18"/>
              </w:rPr>
              <w:t>Total</w:t>
            </w:r>
          </w:p>
        </w:tc>
        <w:tc>
          <w:tcPr>
            <w:tcW w:w="949" w:type="dxa"/>
            <w:hideMark/>
          </w:tcPr>
          <w:p w14:paraId="71AA4D17" w14:textId="77777777" w:rsidR="00EB75EE" w:rsidRPr="006C7720" w:rsidRDefault="00EB75EE" w:rsidP="00590673">
            <w:pPr>
              <w:pStyle w:val="NormalWeb"/>
              <w:jc w:val="center"/>
              <w:rPr>
                <w:b/>
                <w:sz w:val="18"/>
                <w:szCs w:val="18"/>
              </w:rPr>
            </w:pPr>
            <w:r w:rsidRPr="006C7720">
              <w:rPr>
                <w:b/>
                <w:sz w:val="18"/>
                <w:szCs w:val="18"/>
              </w:rPr>
              <w:t>1</w:t>
            </w:r>
          </w:p>
        </w:tc>
        <w:tc>
          <w:tcPr>
            <w:tcW w:w="949" w:type="dxa"/>
            <w:hideMark/>
          </w:tcPr>
          <w:p w14:paraId="2D5C729A" w14:textId="77777777" w:rsidR="00EB75EE" w:rsidRPr="006C7720" w:rsidRDefault="00EB75EE" w:rsidP="00590673">
            <w:pPr>
              <w:pStyle w:val="NormalWeb"/>
              <w:jc w:val="center"/>
              <w:rPr>
                <w:b/>
                <w:sz w:val="18"/>
                <w:szCs w:val="18"/>
              </w:rPr>
            </w:pPr>
            <w:r w:rsidRPr="006C7720">
              <w:rPr>
                <w:b/>
                <w:sz w:val="18"/>
                <w:szCs w:val="18"/>
              </w:rPr>
              <w:t>26</w:t>
            </w:r>
          </w:p>
        </w:tc>
        <w:tc>
          <w:tcPr>
            <w:tcW w:w="949" w:type="dxa"/>
            <w:hideMark/>
          </w:tcPr>
          <w:p w14:paraId="4EA5528A" w14:textId="77777777" w:rsidR="00EB75EE" w:rsidRPr="006C7720" w:rsidRDefault="00EB75EE" w:rsidP="00590673">
            <w:pPr>
              <w:pStyle w:val="NormalWeb"/>
              <w:jc w:val="center"/>
              <w:rPr>
                <w:b/>
                <w:sz w:val="18"/>
                <w:szCs w:val="18"/>
              </w:rPr>
            </w:pPr>
            <w:r w:rsidRPr="006C7720">
              <w:rPr>
                <w:b/>
                <w:sz w:val="18"/>
                <w:szCs w:val="18"/>
              </w:rPr>
              <w:t>0</w:t>
            </w:r>
          </w:p>
        </w:tc>
        <w:tc>
          <w:tcPr>
            <w:tcW w:w="949" w:type="dxa"/>
            <w:hideMark/>
          </w:tcPr>
          <w:p w14:paraId="375C54BF" w14:textId="77777777" w:rsidR="00EB75EE" w:rsidRPr="006C7720" w:rsidRDefault="00EB75EE" w:rsidP="00590673">
            <w:pPr>
              <w:pStyle w:val="NormalWeb"/>
              <w:jc w:val="center"/>
              <w:rPr>
                <w:b/>
                <w:sz w:val="18"/>
                <w:szCs w:val="18"/>
              </w:rPr>
            </w:pPr>
            <w:r w:rsidRPr="006C7720">
              <w:rPr>
                <w:b/>
                <w:sz w:val="18"/>
                <w:szCs w:val="18"/>
              </w:rPr>
              <w:t>0</w:t>
            </w:r>
          </w:p>
        </w:tc>
        <w:tc>
          <w:tcPr>
            <w:tcW w:w="949" w:type="dxa"/>
            <w:hideMark/>
          </w:tcPr>
          <w:p w14:paraId="6C2BEA57" w14:textId="77777777" w:rsidR="00EB75EE" w:rsidRPr="006C7720" w:rsidRDefault="00EB75EE" w:rsidP="00590673">
            <w:pPr>
              <w:pStyle w:val="NormalWeb"/>
              <w:jc w:val="center"/>
              <w:rPr>
                <w:b/>
                <w:sz w:val="18"/>
                <w:szCs w:val="18"/>
              </w:rPr>
            </w:pPr>
            <w:r w:rsidRPr="006C7720">
              <w:rPr>
                <w:b/>
                <w:sz w:val="18"/>
                <w:szCs w:val="18"/>
              </w:rPr>
              <w:t>0</w:t>
            </w:r>
          </w:p>
        </w:tc>
        <w:tc>
          <w:tcPr>
            <w:tcW w:w="949" w:type="dxa"/>
            <w:hideMark/>
          </w:tcPr>
          <w:p w14:paraId="6BCA0C54" w14:textId="77777777" w:rsidR="00EB75EE" w:rsidRPr="006C7720" w:rsidRDefault="00EB75EE" w:rsidP="00590673">
            <w:pPr>
              <w:pStyle w:val="NormalWeb"/>
              <w:jc w:val="center"/>
              <w:rPr>
                <w:b/>
                <w:sz w:val="18"/>
                <w:szCs w:val="18"/>
              </w:rPr>
            </w:pPr>
            <w:r w:rsidRPr="006C7720">
              <w:rPr>
                <w:b/>
                <w:sz w:val="18"/>
                <w:szCs w:val="18"/>
              </w:rPr>
              <w:t>30</w:t>
            </w:r>
          </w:p>
        </w:tc>
        <w:tc>
          <w:tcPr>
            <w:tcW w:w="949" w:type="dxa"/>
            <w:hideMark/>
          </w:tcPr>
          <w:p w14:paraId="4147F51E" w14:textId="77777777" w:rsidR="00EB75EE" w:rsidRPr="006C7720" w:rsidRDefault="00EB75EE" w:rsidP="00590673">
            <w:pPr>
              <w:pStyle w:val="NormalWeb"/>
              <w:jc w:val="center"/>
              <w:rPr>
                <w:b/>
                <w:sz w:val="18"/>
                <w:szCs w:val="18"/>
              </w:rPr>
            </w:pPr>
            <w:r w:rsidRPr="006C7720">
              <w:rPr>
                <w:b/>
                <w:sz w:val="18"/>
                <w:szCs w:val="18"/>
              </w:rPr>
              <w:t>0</w:t>
            </w:r>
          </w:p>
        </w:tc>
        <w:tc>
          <w:tcPr>
            <w:tcW w:w="949" w:type="dxa"/>
            <w:hideMark/>
          </w:tcPr>
          <w:p w14:paraId="00934A75" w14:textId="77777777" w:rsidR="00EB75EE" w:rsidRPr="006C7720" w:rsidRDefault="00EB75EE" w:rsidP="00590673">
            <w:pPr>
              <w:pStyle w:val="NormalWeb"/>
              <w:jc w:val="center"/>
              <w:rPr>
                <w:b/>
                <w:sz w:val="18"/>
                <w:szCs w:val="18"/>
              </w:rPr>
            </w:pPr>
            <w:r w:rsidRPr="006C7720">
              <w:rPr>
                <w:b/>
                <w:sz w:val="18"/>
                <w:szCs w:val="18"/>
              </w:rPr>
              <w:t>0</w:t>
            </w:r>
          </w:p>
        </w:tc>
        <w:tc>
          <w:tcPr>
            <w:tcW w:w="950" w:type="dxa"/>
            <w:hideMark/>
          </w:tcPr>
          <w:p w14:paraId="2D9C13B7" w14:textId="77777777" w:rsidR="00EB75EE" w:rsidRPr="008039E9" w:rsidRDefault="00EB75EE" w:rsidP="00590673">
            <w:pPr>
              <w:pStyle w:val="NormalWeb"/>
              <w:jc w:val="center"/>
              <w:rPr>
                <w:b/>
                <w:sz w:val="18"/>
                <w:szCs w:val="18"/>
              </w:rPr>
            </w:pPr>
            <w:r w:rsidRPr="008039E9">
              <w:rPr>
                <w:b/>
                <w:sz w:val="18"/>
                <w:szCs w:val="18"/>
              </w:rPr>
              <w:t>57</w:t>
            </w:r>
          </w:p>
        </w:tc>
      </w:tr>
      <w:tr w:rsidR="00590673" w:rsidRPr="003E31E0" w14:paraId="73367319" w14:textId="77777777" w:rsidTr="00F160ED">
        <w:trPr>
          <w:cnfStyle w:val="000000010000" w:firstRow="0" w:lastRow="0" w:firstColumn="0" w:lastColumn="0" w:oddVBand="0" w:evenVBand="0" w:oddHBand="0" w:evenHBand="1" w:firstRowFirstColumn="0" w:firstRowLastColumn="0" w:lastRowFirstColumn="0" w:lastRowLastColumn="0"/>
        </w:trPr>
        <w:tc>
          <w:tcPr>
            <w:tcW w:w="949" w:type="dxa"/>
            <w:shd w:val="clear" w:color="auto" w:fill="FDE9D9" w:themeFill="accent6" w:themeFillTint="33"/>
            <w:hideMark/>
          </w:tcPr>
          <w:p w14:paraId="2920C66E" w14:textId="77777777" w:rsidR="00EB75EE" w:rsidRPr="003E31E0" w:rsidRDefault="00EB75EE">
            <w:pPr>
              <w:pStyle w:val="NormalWeb"/>
              <w:rPr>
                <w:b/>
                <w:sz w:val="18"/>
                <w:szCs w:val="18"/>
              </w:rPr>
            </w:pPr>
            <w:r w:rsidRPr="003E31E0">
              <w:rPr>
                <w:b/>
                <w:sz w:val="18"/>
                <w:szCs w:val="18"/>
              </w:rPr>
              <w:t>Total</w:t>
            </w:r>
          </w:p>
        </w:tc>
        <w:tc>
          <w:tcPr>
            <w:tcW w:w="949" w:type="dxa"/>
            <w:shd w:val="clear" w:color="auto" w:fill="FDE9D9" w:themeFill="accent6" w:themeFillTint="33"/>
            <w:hideMark/>
          </w:tcPr>
          <w:p w14:paraId="696939D5" w14:textId="77777777" w:rsidR="00EB75EE" w:rsidRPr="003E31E0" w:rsidRDefault="00EB75EE" w:rsidP="00590673">
            <w:pPr>
              <w:jc w:val="center"/>
              <w:rPr>
                <w:b/>
                <w:sz w:val="18"/>
                <w:szCs w:val="18"/>
              </w:rPr>
            </w:pPr>
          </w:p>
        </w:tc>
        <w:tc>
          <w:tcPr>
            <w:tcW w:w="949" w:type="dxa"/>
            <w:shd w:val="clear" w:color="auto" w:fill="FDE9D9" w:themeFill="accent6" w:themeFillTint="33"/>
            <w:hideMark/>
          </w:tcPr>
          <w:p w14:paraId="04DC9259" w14:textId="77777777" w:rsidR="00EB75EE" w:rsidRPr="003E31E0" w:rsidRDefault="00EB75EE" w:rsidP="00590673">
            <w:pPr>
              <w:pStyle w:val="NormalWeb"/>
              <w:jc w:val="center"/>
              <w:rPr>
                <w:b/>
                <w:sz w:val="18"/>
                <w:szCs w:val="18"/>
              </w:rPr>
            </w:pPr>
            <w:r w:rsidRPr="003E31E0">
              <w:rPr>
                <w:b/>
                <w:sz w:val="18"/>
                <w:szCs w:val="18"/>
              </w:rPr>
              <w:t>198</w:t>
            </w:r>
          </w:p>
        </w:tc>
        <w:tc>
          <w:tcPr>
            <w:tcW w:w="949" w:type="dxa"/>
            <w:shd w:val="clear" w:color="auto" w:fill="FDE9D9" w:themeFill="accent6" w:themeFillTint="33"/>
            <w:hideMark/>
          </w:tcPr>
          <w:p w14:paraId="1CE71E60" w14:textId="77777777" w:rsidR="00EB75EE" w:rsidRPr="003E31E0" w:rsidRDefault="00EB75EE" w:rsidP="00590673">
            <w:pPr>
              <w:pStyle w:val="NormalWeb"/>
              <w:jc w:val="center"/>
              <w:rPr>
                <w:b/>
                <w:sz w:val="18"/>
                <w:szCs w:val="18"/>
              </w:rPr>
            </w:pPr>
            <w:r w:rsidRPr="003E31E0">
              <w:rPr>
                <w:b/>
                <w:sz w:val="18"/>
                <w:szCs w:val="18"/>
              </w:rPr>
              <w:t>3,610</w:t>
            </w:r>
          </w:p>
        </w:tc>
        <w:tc>
          <w:tcPr>
            <w:tcW w:w="949" w:type="dxa"/>
            <w:shd w:val="clear" w:color="auto" w:fill="FDE9D9" w:themeFill="accent6" w:themeFillTint="33"/>
            <w:hideMark/>
          </w:tcPr>
          <w:p w14:paraId="69850BA2" w14:textId="77777777" w:rsidR="00EB75EE" w:rsidRPr="003E31E0" w:rsidRDefault="00EB75EE" w:rsidP="00590673">
            <w:pPr>
              <w:pStyle w:val="NormalWeb"/>
              <w:jc w:val="center"/>
              <w:rPr>
                <w:b/>
                <w:sz w:val="18"/>
                <w:szCs w:val="18"/>
              </w:rPr>
            </w:pPr>
            <w:r w:rsidRPr="003E31E0">
              <w:rPr>
                <w:b/>
                <w:sz w:val="18"/>
                <w:szCs w:val="18"/>
              </w:rPr>
              <w:t>126</w:t>
            </w:r>
          </w:p>
        </w:tc>
        <w:tc>
          <w:tcPr>
            <w:tcW w:w="949" w:type="dxa"/>
            <w:shd w:val="clear" w:color="auto" w:fill="FDE9D9" w:themeFill="accent6" w:themeFillTint="33"/>
            <w:hideMark/>
          </w:tcPr>
          <w:p w14:paraId="301C3FFC" w14:textId="77777777" w:rsidR="00EB75EE" w:rsidRPr="003E31E0" w:rsidRDefault="00EB75EE" w:rsidP="00590673">
            <w:pPr>
              <w:pStyle w:val="NormalWeb"/>
              <w:jc w:val="center"/>
              <w:rPr>
                <w:b/>
                <w:sz w:val="18"/>
                <w:szCs w:val="18"/>
              </w:rPr>
            </w:pPr>
            <w:r w:rsidRPr="003E31E0">
              <w:rPr>
                <w:b/>
                <w:sz w:val="18"/>
                <w:szCs w:val="18"/>
              </w:rPr>
              <w:t>1,677</w:t>
            </w:r>
          </w:p>
        </w:tc>
        <w:tc>
          <w:tcPr>
            <w:tcW w:w="949" w:type="dxa"/>
            <w:shd w:val="clear" w:color="auto" w:fill="FDE9D9" w:themeFill="accent6" w:themeFillTint="33"/>
            <w:hideMark/>
          </w:tcPr>
          <w:p w14:paraId="46CF833C" w14:textId="77777777" w:rsidR="00EB75EE" w:rsidRPr="003E31E0" w:rsidRDefault="00EB75EE" w:rsidP="00590673">
            <w:pPr>
              <w:pStyle w:val="NormalWeb"/>
              <w:jc w:val="center"/>
              <w:rPr>
                <w:b/>
                <w:sz w:val="18"/>
                <w:szCs w:val="18"/>
              </w:rPr>
            </w:pPr>
            <w:r w:rsidRPr="003E31E0">
              <w:rPr>
                <w:b/>
                <w:sz w:val="18"/>
                <w:szCs w:val="18"/>
              </w:rPr>
              <w:t>554</w:t>
            </w:r>
          </w:p>
        </w:tc>
        <w:tc>
          <w:tcPr>
            <w:tcW w:w="949" w:type="dxa"/>
            <w:shd w:val="clear" w:color="auto" w:fill="FDE9D9" w:themeFill="accent6" w:themeFillTint="33"/>
            <w:hideMark/>
          </w:tcPr>
          <w:p w14:paraId="21EA62B9" w14:textId="77777777" w:rsidR="00EB75EE" w:rsidRPr="003E31E0" w:rsidRDefault="00EB75EE" w:rsidP="00590673">
            <w:pPr>
              <w:pStyle w:val="NormalWeb"/>
              <w:jc w:val="center"/>
              <w:rPr>
                <w:b/>
                <w:sz w:val="18"/>
                <w:szCs w:val="18"/>
              </w:rPr>
            </w:pPr>
            <w:r w:rsidRPr="003E31E0">
              <w:rPr>
                <w:b/>
                <w:sz w:val="18"/>
                <w:szCs w:val="18"/>
              </w:rPr>
              <w:t>2,616</w:t>
            </w:r>
          </w:p>
        </w:tc>
        <w:tc>
          <w:tcPr>
            <w:tcW w:w="949" w:type="dxa"/>
            <w:shd w:val="clear" w:color="auto" w:fill="FDE9D9" w:themeFill="accent6" w:themeFillTint="33"/>
            <w:hideMark/>
          </w:tcPr>
          <w:p w14:paraId="37DA2973" w14:textId="77777777" w:rsidR="00EB75EE" w:rsidRPr="003E31E0" w:rsidRDefault="00EB75EE" w:rsidP="00590673">
            <w:pPr>
              <w:pStyle w:val="NormalWeb"/>
              <w:jc w:val="center"/>
              <w:rPr>
                <w:b/>
                <w:sz w:val="18"/>
                <w:szCs w:val="18"/>
              </w:rPr>
            </w:pPr>
            <w:r w:rsidRPr="003E31E0">
              <w:rPr>
                <w:b/>
                <w:sz w:val="18"/>
                <w:szCs w:val="18"/>
              </w:rPr>
              <w:t>49</w:t>
            </w:r>
          </w:p>
        </w:tc>
        <w:tc>
          <w:tcPr>
            <w:tcW w:w="949" w:type="dxa"/>
            <w:shd w:val="clear" w:color="auto" w:fill="FDE9D9" w:themeFill="accent6" w:themeFillTint="33"/>
            <w:hideMark/>
          </w:tcPr>
          <w:p w14:paraId="4774FD3D" w14:textId="77777777" w:rsidR="00EB75EE" w:rsidRPr="003E31E0" w:rsidRDefault="00EB75EE" w:rsidP="00590673">
            <w:pPr>
              <w:pStyle w:val="NormalWeb"/>
              <w:jc w:val="center"/>
              <w:rPr>
                <w:b/>
                <w:sz w:val="18"/>
                <w:szCs w:val="18"/>
              </w:rPr>
            </w:pPr>
            <w:r w:rsidRPr="003E31E0">
              <w:rPr>
                <w:b/>
                <w:sz w:val="18"/>
                <w:szCs w:val="18"/>
              </w:rPr>
              <w:t>838</w:t>
            </w:r>
          </w:p>
        </w:tc>
        <w:tc>
          <w:tcPr>
            <w:tcW w:w="950" w:type="dxa"/>
            <w:shd w:val="clear" w:color="auto" w:fill="FDE9D9" w:themeFill="accent6" w:themeFillTint="33"/>
            <w:hideMark/>
          </w:tcPr>
          <w:p w14:paraId="6E23EC8B" w14:textId="77777777" w:rsidR="00EB75EE" w:rsidRPr="008039E9" w:rsidRDefault="00EB75EE" w:rsidP="00590673">
            <w:pPr>
              <w:pStyle w:val="NormalWeb"/>
              <w:jc w:val="center"/>
              <w:rPr>
                <w:b/>
                <w:sz w:val="18"/>
                <w:szCs w:val="18"/>
              </w:rPr>
            </w:pPr>
            <w:r w:rsidRPr="008039E9">
              <w:rPr>
                <w:b/>
                <w:sz w:val="18"/>
                <w:szCs w:val="18"/>
              </w:rPr>
              <w:t>9,668</w:t>
            </w:r>
          </w:p>
        </w:tc>
      </w:tr>
    </w:tbl>
    <w:p w14:paraId="0AEA87C9" w14:textId="77777777" w:rsidR="00EB75EE" w:rsidRPr="00B5106A" w:rsidRDefault="00EB75EE" w:rsidP="00B5106A">
      <w:pPr>
        <w:pStyle w:val="CDIfootnotes"/>
      </w:pPr>
      <w:r w:rsidRPr="00B5106A">
        <w:t>a</w:t>
      </w:r>
      <w:r w:rsidRPr="00B5106A">
        <w:tab/>
        <w:t>DGI: Disseminated Gonococcal Infection.</w:t>
      </w:r>
    </w:p>
    <w:p w14:paraId="6267EDAE" w14:textId="77777777" w:rsidR="00EB75EE" w:rsidRPr="00B5106A" w:rsidRDefault="00EB75EE" w:rsidP="00B5106A">
      <w:pPr>
        <w:pStyle w:val="CDIfootnotes"/>
      </w:pPr>
      <w:r w:rsidRPr="00B5106A">
        <w:t>b</w:t>
      </w:r>
      <w:r w:rsidRPr="00B5106A">
        <w:tab/>
        <w:t>NS: not specified.</w:t>
      </w:r>
    </w:p>
    <w:p w14:paraId="481606E0" w14:textId="77777777" w:rsidR="00EB75EE" w:rsidRDefault="00EB75EE" w:rsidP="00211E37">
      <w:r>
        <w:t xml:space="preserve">The numbers and proportions (%) of gonococcal isolates with resistance to azithromycin, penicillin and ciprofloxacin and decreased susceptibility to ceftriaxone are reported for 2019 in Table 3 by state and territory of Australia, as </w:t>
      </w:r>
      <w:r>
        <w:lastRenderedPageBreak/>
        <w:t xml:space="preserve">well as the aggregate proportions for ceftriaxone, azithromycin, ciprofloxacin and penicillin. There is demonstrated variation across jurisdictions, as well as in remote settings when compared to non-remote settings. </w:t>
      </w:r>
    </w:p>
    <w:p w14:paraId="101290FA" w14:textId="77777777" w:rsidR="00EB75EE" w:rsidRPr="00BA6894" w:rsidRDefault="00EB75EE" w:rsidP="00BA6894">
      <w:pPr>
        <w:pStyle w:val="CDIFigures"/>
      </w:pPr>
      <w:r w:rsidRPr="00BA6894">
        <w:t xml:space="preserve">Table 3: Number and proportion (%) of gonococcal isolates with resistance to azithromycin, penicillin and ciprofloxacin and decreased susceptibility to ceftriaxone reported, Australia, 2019, by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and proportion as a percentage of gonococcal isolates with resistance to azithromycin, penicillin and ciprofloxacin and decreased susceptibility to ceftriaxone reported, Australia, 2019, by state or territory. Low rates of antimicrobial resistance were reported from remote Northern Territory and remote Western Australia; overall for the whole of Australia 6.2% of isolates were resistant to azithromycin, 21.1% of isolates were resistant to penicillin; 25.6% of isolates were resistant to ciprofloxacin; and 1.73% of strains had decreased susceptibility to ceftriaxone."/>
      </w:tblPr>
      <w:tblGrid>
        <w:gridCol w:w="2552"/>
        <w:gridCol w:w="1417"/>
        <w:gridCol w:w="993"/>
        <w:gridCol w:w="992"/>
        <w:gridCol w:w="850"/>
        <w:gridCol w:w="851"/>
        <w:gridCol w:w="709"/>
        <w:gridCol w:w="667"/>
        <w:gridCol w:w="750"/>
        <w:gridCol w:w="685"/>
      </w:tblGrid>
      <w:tr w:rsidR="005050FA" w:rsidRPr="002C3056" w14:paraId="65897136" w14:textId="77777777" w:rsidTr="0054264D">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Borders>
              <w:bottom w:val="single" w:sz="2" w:space="0" w:color="FFFFFF" w:themeColor="background1"/>
              <w:right w:val="single" w:sz="2" w:space="0" w:color="FFFFFF" w:themeColor="background1"/>
            </w:tcBorders>
            <w:hideMark/>
          </w:tcPr>
          <w:p w14:paraId="335072E1" w14:textId="77777777" w:rsidR="00EB75EE" w:rsidRPr="002C3056" w:rsidRDefault="00EB75EE">
            <w:pPr>
              <w:pStyle w:val="NormalWeb"/>
              <w:rPr>
                <w:color w:val="FFFFFF" w:themeColor="background1"/>
                <w:sz w:val="18"/>
                <w:szCs w:val="18"/>
              </w:rPr>
            </w:pPr>
            <w:r w:rsidRPr="002C3056">
              <w:rPr>
                <w:color w:val="FFFFFF" w:themeColor="background1"/>
                <w:sz w:val="18"/>
                <w:szCs w:val="18"/>
              </w:rPr>
              <w:t>State or territory</w:t>
            </w:r>
          </w:p>
        </w:tc>
        <w:tc>
          <w:tcPr>
            <w:tcW w:w="1417" w:type="dxa"/>
            <w:tcBorders>
              <w:left w:val="single" w:sz="2" w:space="0" w:color="FFFFFF" w:themeColor="background1"/>
              <w:bottom w:val="single" w:sz="2" w:space="0" w:color="FFFFFF" w:themeColor="background1"/>
              <w:right w:val="single" w:sz="2" w:space="0" w:color="FFFFFF" w:themeColor="background1"/>
            </w:tcBorders>
            <w:hideMark/>
          </w:tcPr>
          <w:p w14:paraId="3053F416"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Number of isolates tested</w:t>
            </w:r>
          </w:p>
        </w:tc>
        <w:tc>
          <w:tcPr>
            <w:tcW w:w="1985" w:type="dxa"/>
            <w:gridSpan w:val="2"/>
            <w:tcBorders>
              <w:left w:val="single" w:sz="2" w:space="0" w:color="FFFFFF" w:themeColor="background1"/>
              <w:bottom w:val="single" w:sz="2" w:space="0" w:color="FFFFFF" w:themeColor="background1"/>
              <w:right w:val="single" w:sz="2" w:space="0" w:color="FFFFFF" w:themeColor="background1"/>
            </w:tcBorders>
            <w:hideMark/>
          </w:tcPr>
          <w:p w14:paraId="1FC7BB5F"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Decreased susceptibility</w:t>
            </w:r>
          </w:p>
        </w:tc>
        <w:tc>
          <w:tcPr>
            <w:tcW w:w="4512" w:type="dxa"/>
            <w:gridSpan w:val="6"/>
            <w:tcBorders>
              <w:left w:val="single" w:sz="2" w:space="0" w:color="FFFFFF" w:themeColor="background1"/>
              <w:bottom w:val="single" w:sz="2" w:space="0" w:color="FFFFFF" w:themeColor="background1"/>
            </w:tcBorders>
            <w:hideMark/>
          </w:tcPr>
          <w:p w14:paraId="4C6BFB03"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Resistance</w:t>
            </w:r>
          </w:p>
        </w:tc>
      </w:tr>
      <w:tr w:rsidR="003B7B7E" w:rsidRPr="002C3056" w14:paraId="42B431ED" w14:textId="77777777" w:rsidTr="0054264D">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bottom w:val="single" w:sz="2" w:space="0" w:color="FFFFFF" w:themeColor="background1"/>
              <w:right w:val="single" w:sz="2" w:space="0" w:color="FFFFFF" w:themeColor="background1"/>
            </w:tcBorders>
            <w:hideMark/>
          </w:tcPr>
          <w:p w14:paraId="64C91DA0" w14:textId="77777777" w:rsidR="003B7B7E" w:rsidRPr="002C3056" w:rsidRDefault="003B7B7E">
            <w:pPr>
              <w:rPr>
                <w:color w:val="FFFFFF" w:themeColor="background1"/>
                <w:sz w:val="18"/>
                <w:szCs w:val="18"/>
              </w:rPr>
            </w:pPr>
          </w:p>
        </w:tc>
        <w:tc>
          <w:tcPr>
            <w:tcW w:w="14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2826A61" w14:textId="77777777"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2019</w:t>
            </w:r>
          </w:p>
        </w:tc>
        <w:tc>
          <w:tcPr>
            <w:tcW w:w="19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037CA41" w14:textId="77777777"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Ceftriaxone</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756F03C" w14:textId="77777777" w:rsidR="003B7B7E" w:rsidRPr="002C3056" w:rsidRDefault="003B7B7E" w:rsidP="005050FA">
            <w:pPr>
              <w:pStyle w:val="NormalWeb"/>
              <w:jc w:val="center"/>
              <w:rPr>
                <w:b w:val="0"/>
                <w:color w:val="FFFFFF" w:themeColor="background1"/>
                <w:sz w:val="18"/>
                <w:szCs w:val="18"/>
              </w:rPr>
            </w:pPr>
            <w:r w:rsidRPr="002C3056">
              <w:rPr>
                <w:color w:val="FFFFFF" w:themeColor="background1"/>
                <w:sz w:val="18"/>
                <w:szCs w:val="18"/>
              </w:rPr>
              <w:t>Azithromycin</w:t>
            </w:r>
          </w:p>
        </w:tc>
        <w:tc>
          <w:tcPr>
            <w:tcW w:w="13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4B18B9" w14:textId="77777777"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Penicillin</w:t>
            </w:r>
          </w:p>
        </w:tc>
        <w:tc>
          <w:tcPr>
            <w:tcW w:w="1435" w:type="dxa"/>
            <w:gridSpan w:val="2"/>
            <w:tcBorders>
              <w:top w:val="single" w:sz="2" w:space="0" w:color="FFFFFF" w:themeColor="background1"/>
              <w:left w:val="single" w:sz="2" w:space="0" w:color="FFFFFF" w:themeColor="background1"/>
              <w:bottom w:val="single" w:sz="2" w:space="0" w:color="FFFFFF" w:themeColor="background1"/>
            </w:tcBorders>
            <w:hideMark/>
          </w:tcPr>
          <w:p w14:paraId="15002C67" w14:textId="77777777" w:rsidR="003B7B7E" w:rsidRPr="002C3056" w:rsidRDefault="003B7B7E" w:rsidP="005050FA">
            <w:pPr>
              <w:pStyle w:val="NormalWeb"/>
              <w:jc w:val="center"/>
              <w:rPr>
                <w:color w:val="FFFFFF" w:themeColor="background1"/>
                <w:sz w:val="18"/>
                <w:szCs w:val="18"/>
              </w:rPr>
            </w:pPr>
            <w:r w:rsidRPr="002C3056">
              <w:rPr>
                <w:color w:val="FFFFFF" w:themeColor="background1"/>
                <w:sz w:val="18"/>
                <w:szCs w:val="18"/>
              </w:rPr>
              <w:t>Ciprofloxacin</w:t>
            </w:r>
          </w:p>
        </w:tc>
      </w:tr>
      <w:tr w:rsidR="009D5E55" w:rsidRPr="002C3056" w14:paraId="1EA95011" w14:textId="77777777" w:rsidTr="0054264D">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right w:val="single" w:sz="2" w:space="0" w:color="FFFFFF" w:themeColor="background1"/>
            </w:tcBorders>
            <w:hideMark/>
          </w:tcPr>
          <w:p w14:paraId="15EC2804" w14:textId="77777777" w:rsidR="00EB75EE" w:rsidRPr="002C3056" w:rsidRDefault="00EB75EE">
            <w:pPr>
              <w:rPr>
                <w:color w:val="FFFFFF" w:themeColor="background1"/>
                <w:sz w:val="18"/>
                <w:szCs w:val="18"/>
              </w:rPr>
            </w:pPr>
          </w:p>
        </w:tc>
        <w:tc>
          <w:tcPr>
            <w:tcW w:w="1417" w:type="dxa"/>
            <w:tcBorders>
              <w:top w:val="single" w:sz="2" w:space="0" w:color="FFFFFF" w:themeColor="background1"/>
              <w:left w:val="single" w:sz="2" w:space="0" w:color="FFFFFF" w:themeColor="background1"/>
              <w:right w:val="single" w:sz="2" w:space="0" w:color="FFFFFF" w:themeColor="background1"/>
            </w:tcBorders>
            <w:hideMark/>
          </w:tcPr>
          <w:p w14:paraId="1FC7EFE8" w14:textId="77777777" w:rsidR="00EB75EE" w:rsidRPr="002C3056" w:rsidRDefault="00EB75EE" w:rsidP="005050FA">
            <w:pPr>
              <w:jc w:val="center"/>
              <w:rPr>
                <w:color w:val="FFFFFF" w:themeColor="background1"/>
                <w:sz w:val="18"/>
                <w:szCs w:val="18"/>
              </w:rPr>
            </w:pPr>
          </w:p>
        </w:tc>
        <w:tc>
          <w:tcPr>
            <w:tcW w:w="993" w:type="dxa"/>
            <w:tcBorders>
              <w:top w:val="single" w:sz="2" w:space="0" w:color="FFFFFF" w:themeColor="background1"/>
              <w:left w:val="single" w:sz="2" w:space="0" w:color="FFFFFF" w:themeColor="background1"/>
              <w:right w:val="single" w:sz="2" w:space="0" w:color="FFFFFF" w:themeColor="background1"/>
            </w:tcBorders>
            <w:hideMark/>
          </w:tcPr>
          <w:p w14:paraId="544B5193"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68855A61"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5EE91D3E"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3013C3D8"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014CF3AA"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667" w:type="dxa"/>
            <w:tcBorders>
              <w:top w:val="single" w:sz="2" w:space="0" w:color="FFFFFF" w:themeColor="background1"/>
              <w:left w:val="single" w:sz="2" w:space="0" w:color="FFFFFF" w:themeColor="background1"/>
              <w:right w:val="single" w:sz="2" w:space="0" w:color="FFFFFF" w:themeColor="background1"/>
            </w:tcBorders>
            <w:hideMark/>
          </w:tcPr>
          <w:p w14:paraId="002C6B19"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c>
          <w:tcPr>
            <w:tcW w:w="750" w:type="dxa"/>
            <w:tcBorders>
              <w:top w:val="single" w:sz="2" w:space="0" w:color="FFFFFF" w:themeColor="background1"/>
              <w:left w:val="single" w:sz="2" w:space="0" w:color="FFFFFF" w:themeColor="background1"/>
              <w:right w:val="single" w:sz="2" w:space="0" w:color="FFFFFF" w:themeColor="background1"/>
            </w:tcBorders>
            <w:hideMark/>
          </w:tcPr>
          <w:p w14:paraId="4315433F"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n</w:t>
            </w:r>
          </w:p>
        </w:tc>
        <w:tc>
          <w:tcPr>
            <w:tcW w:w="685" w:type="dxa"/>
            <w:tcBorders>
              <w:top w:val="single" w:sz="2" w:space="0" w:color="FFFFFF" w:themeColor="background1"/>
              <w:left w:val="single" w:sz="2" w:space="0" w:color="FFFFFF" w:themeColor="background1"/>
            </w:tcBorders>
            <w:hideMark/>
          </w:tcPr>
          <w:p w14:paraId="21C1B0D3" w14:textId="77777777" w:rsidR="00EB75EE" w:rsidRPr="002C3056" w:rsidRDefault="00EB75EE" w:rsidP="005050FA">
            <w:pPr>
              <w:pStyle w:val="NormalWeb"/>
              <w:jc w:val="center"/>
              <w:rPr>
                <w:color w:val="FFFFFF" w:themeColor="background1"/>
                <w:sz w:val="18"/>
                <w:szCs w:val="18"/>
              </w:rPr>
            </w:pPr>
            <w:r w:rsidRPr="002C3056">
              <w:rPr>
                <w:color w:val="FFFFFF" w:themeColor="background1"/>
                <w:sz w:val="18"/>
                <w:szCs w:val="18"/>
              </w:rPr>
              <w:t>%</w:t>
            </w:r>
          </w:p>
        </w:tc>
      </w:tr>
      <w:tr w:rsidR="0054264D" w:rsidRPr="002C3056" w14:paraId="34A48976" w14:textId="77777777" w:rsidTr="0054264D">
        <w:tc>
          <w:tcPr>
            <w:tcW w:w="2552" w:type="dxa"/>
            <w:hideMark/>
          </w:tcPr>
          <w:p w14:paraId="6071659B" w14:textId="77777777" w:rsidR="00EB75EE" w:rsidRPr="002C3056" w:rsidRDefault="00EB75EE">
            <w:pPr>
              <w:pStyle w:val="NormalWeb"/>
              <w:rPr>
                <w:sz w:val="18"/>
                <w:szCs w:val="18"/>
              </w:rPr>
            </w:pPr>
            <w:r w:rsidRPr="002C3056">
              <w:rPr>
                <w:sz w:val="18"/>
                <w:szCs w:val="18"/>
              </w:rPr>
              <w:t>Australian Capital Territory</w:t>
            </w:r>
          </w:p>
        </w:tc>
        <w:tc>
          <w:tcPr>
            <w:tcW w:w="1417" w:type="dxa"/>
            <w:hideMark/>
          </w:tcPr>
          <w:p w14:paraId="7953C572" w14:textId="77777777" w:rsidR="00EB75EE" w:rsidRPr="002C3056" w:rsidRDefault="00EB75EE" w:rsidP="005050FA">
            <w:pPr>
              <w:pStyle w:val="NormalWeb"/>
              <w:jc w:val="center"/>
              <w:rPr>
                <w:sz w:val="18"/>
                <w:szCs w:val="18"/>
              </w:rPr>
            </w:pPr>
            <w:r w:rsidRPr="002C3056">
              <w:rPr>
                <w:sz w:val="18"/>
                <w:szCs w:val="18"/>
              </w:rPr>
              <w:t>198</w:t>
            </w:r>
          </w:p>
        </w:tc>
        <w:tc>
          <w:tcPr>
            <w:tcW w:w="993" w:type="dxa"/>
            <w:hideMark/>
          </w:tcPr>
          <w:p w14:paraId="1DCA93F6" w14:textId="77777777" w:rsidR="00EB75EE" w:rsidRPr="002C3056" w:rsidRDefault="00EB75EE" w:rsidP="005050FA">
            <w:pPr>
              <w:pStyle w:val="NormalWeb"/>
              <w:jc w:val="center"/>
              <w:rPr>
                <w:sz w:val="18"/>
                <w:szCs w:val="18"/>
              </w:rPr>
            </w:pPr>
            <w:r w:rsidRPr="002C3056">
              <w:rPr>
                <w:sz w:val="18"/>
                <w:szCs w:val="18"/>
              </w:rPr>
              <w:t>1</w:t>
            </w:r>
          </w:p>
        </w:tc>
        <w:tc>
          <w:tcPr>
            <w:tcW w:w="992" w:type="dxa"/>
            <w:hideMark/>
          </w:tcPr>
          <w:p w14:paraId="7F9B0D6B" w14:textId="77777777" w:rsidR="00EB75EE" w:rsidRPr="002C3056" w:rsidRDefault="00EB75EE" w:rsidP="005050FA">
            <w:pPr>
              <w:pStyle w:val="NormalWeb"/>
              <w:jc w:val="center"/>
              <w:rPr>
                <w:sz w:val="18"/>
                <w:szCs w:val="18"/>
              </w:rPr>
            </w:pPr>
            <w:r w:rsidRPr="002C3056">
              <w:rPr>
                <w:sz w:val="18"/>
                <w:szCs w:val="18"/>
              </w:rPr>
              <w:t>0.5</w:t>
            </w:r>
          </w:p>
        </w:tc>
        <w:tc>
          <w:tcPr>
            <w:tcW w:w="850" w:type="dxa"/>
            <w:hideMark/>
          </w:tcPr>
          <w:p w14:paraId="7A5EC5E4" w14:textId="77777777" w:rsidR="00EB75EE" w:rsidRPr="002C3056" w:rsidRDefault="00EB75EE" w:rsidP="005050FA">
            <w:pPr>
              <w:pStyle w:val="NormalWeb"/>
              <w:jc w:val="center"/>
              <w:rPr>
                <w:sz w:val="18"/>
                <w:szCs w:val="18"/>
              </w:rPr>
            </w:pPr>
            <w:r w:rsidRPr="002C3056">
              <w:rPr>
                <w:sz w:val="18"/>
                <w:szCs w:val="18"/>
              </w:rPr>
              <w:t>14</w:t>
            </w:r>
          </w:p>
        </w:tc>
        <w:tc>
          <w:tcPr>
            <w:tcW w:w="851" w:type="dxa"/>
            <w:hideMark/>
          </w:tcPr>
          <w:p w14:paraId="20DABE21" w14:textId="77777777" w:rsidR="00EB75EE" w:rsidRPr="002C3056" w:rsidRDefault="00EB75EE" w:rsidP="005050FA">
            <w:pPr>
              <w:pStyle w:val="NormalWeb"/>
              <w:jc w:val="center"/>
              <w:rPr>
                <w:sz w:val="18"/>
                <w:szCs w:val="18"/>
              </w:rPr>
            </w:pPr>
            <w:r w:rsidRPr="002C3056">
              <w:rPr>
                <w:sz w:val="18"/>
                <w:szCs w:val="18"/>
              </w:rPr>
              <w:t>7.1</w:t>
            </w:r>
          </w:p>
        </w:tc>
        <w:tc>
          <w:tcPr>
            <w:tcW w:w="709" w:type="dxa"/>
            <w:hideMark/>
          </w:tcPr>
          <w:p w14:paraId="02BCCD09" w14:textId="77777777" w:rsidR="00EB75EE" w:rsidRPr="002C3056" w:rsidRDefault="00EB75EE" w:rsidP="005050FA">
            <w:pPr>
              <w:pStyle w:val="NormalWeb"/>
              <w:jc w:val="center"/>
              <w:rPr>
                <w:sz w:val="18"/>
                <w:szCs w:val="18"/>
              </w:rPr>
            </w:pPr>
            <w:r w:rsidRPr="002C3056">
              <w:rPr>
                <w:sz w:val="18"/>
                <w:szCs w:val="18"/>
              </w:rPr>
              <w:t>19</w:t>
            </w:r>
          </w:p>
        </w:tc>
        <w:tc>
          <w:tcPr>
            <w:tcW w:w="667" w:type="dxa"/>
            <w:hideMark/>
          </w:tcPr>
          <w:p w14:paraId="20128BF7" w14:textId="77777777" w:rsidR="00EB75EE" w:rsidRPr="002C3056" w:rsidRDefault="00EB75EE" w:rsidP="005050FA">
            <w:pPr>
              <w:pStyle w:val="NormalWeb"/>
              <w:jc w:val="center"/>
              <w:rPr>
                <w:sz w:val="18"/>
                <w:szCs w:val="18"/>
              </w:rPr>
            </w:pPr>
            <w:r w:rsidRPr="002C3056">
              <w:rPr>
                <w:sz w:val="18"/>
                <w:szCs w:val="18"/>
              </w:rPr>
              <w:t>9.6</w:t>
            </w:r>
          </w:p>
        </w:tc>
        <w:tc>
          <w:tcPr>
            <w:tcW w:w="750" w:type="dxa"/>
            <w:hideMark/>
          </w:tcPr>
          <w:p w14:paraId="02905755" w14:textId="77777777" w:rsidR="00EB75EE" w:rsidRPr="002C3056" w:rsidRDefault="00EB75EE" w:rsidP="005050FA">
            <w:pPr>
              <w:pStyle w:val="NormalWeb"/>
              <w:jc w:val="center"/>
              <w:rPr>
                <w:sz w:val="18"/>
                <w:szCs w:val="18"/>
              </w:rPr>
            </w:pPr>
            <w:r w:rsidRPr="002C3056">
              <w:rPr>
                <w:sz w:val="18"/>
                <w:szCs w:val="18"/>
              </w:rPr>
              <w:t>44</w:t>
            </w:r>
          </w:p>
        </w:tc>
        <w:tc>
          <w:tcPr>
            <w:tcW w:w="685" w:type="dxa"/>
            <w:hideMark/>
          </w:tcPr>
          <w:p w14:paraId="7672FEC4" w14:textId="77777777" w:rsidR="00EB75EE" w:rsidRPr="002C3056" w:rsidRDefault="00EB75EE" w:rsidP="005050FA">
            <w:pPr>
              <w:pStyle w:val="NormalWeb"/>
              <w:jc w:val="center"/>
              <w:rPr>
                <w:sz w:val="18"/>
                <w:szCs w:val="18"/>
              </w:rPr>
            </w:pPr>
            <w:r w:rsidRPr="002C3056">
              <w:rPr>
                <w:sz w:val="18"/>
                <w:szCs w:val="18"/>
              </w:rPr>
              <w:t>22.2</w:t>
            </w:r>
          </w:p>
        </w:tc>
      </w:tr>
      <w:tr w:rsidR="0054264D" w:rsidRPr="002C3056" w14:paraId="479DA718" w14:textId="77777777"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14:paraId="273A3FC5" w14:textId="77777777" w:rsidR="00EB75EE" w:rsidRPr="002C3056" w:rsidRDefault="00EB75EE">
            <w:pPr>
              <w:pStyle w:val="NormalWeb"/>
              <w:rPr>
                <w:sz w:val="18"/>
                <w:szCs w:val="18"/>
              </w:rPr>
            </w:pPr>
            <w:r w:rsidRPr="002C3056">
              <w:rPr>
                <w:sz w:val="18"/>
                <w:szCs w:val="18"/>
              </w:rPr>
              <w:t>New South Wales</w:t>
            </w:r>
          </w:p>
        </w:tc>
        <w:tc>
          <w:tcPr>
            <w:tcW w:w="1417" w:type="dxa"/>
            <w:hideMark/>
          </w:tcPr>
          <w:p w14:paraId="00AD427C" w14:textId="77777777" w:rsidR="00EB75EE" w:rsidRPr="002C3056" w:rsidRDefault="00EB75EE" w:rsidP="005050FA">
            <w:pPr>
              <w:pStyle w:val="NormalWeb"/>
              <w:jc w:val="center"/>
              <w:rPr>
                <w:sz w:val="18"/>
                <w:szCs w:val="18"/>
              </w:rPr>
            </w:pPr>
            <w:r w:rsidRPr="002C3056">
              <w:rPr>
                <w:sz w:val="18"/>
                <w:szCs w:val="18"/>
              </w:rPr>
              <w:t>3,610</w:t>
            </w:r>
          </w:p>
        </w:tc>
        <w:tc>
          <w:tcPr>
            <w:tcW w:w="993" w:type="dxa"/>
            <w:hideMark/>
          </w:tcPr>
          <w:p w14:paraId="11DC4154" w14:textId="77777777" w:rsidR="00EB75EE" w:rsidRPr="002C3056" w:rsidRDefault="00EB75EE" w:rsidP="005050FA">
            <w:pPr>
              <w:pStyle w:val="NormalWeb"/>
              <w:jc w:val="center"/>
              <w:rPr>
                <w:sz w:val="18"/>
                <w:szCs w:val="18"/>
              </w:rPr>
            </w:pPr>
            <w:r w:rsidRPr="002C3056">
              <w:rPr>
                <w:sz w:val="18"/>
                <w:szCs w:val="18"/>
              </w:rPr>
              <w:t>44</w:t>
            </w:r>
          </w:p>
        </w:tc>
        <w:tc>
          <w:tcPr>
            <w:tcW w:w="992" w:type="dxa"/>
            <w:hideMark/>
          </w:tcPr>
          <w:p w14:paraId="49C2E26C" w14:textId="77777777" w:rsidR="00EB75EE" w:rsidRPr="002C3056" w:rsidRDefault="00EB75EE" w:rsidP="005050FA">
            <w:pPr>
              <w:pStyle w:val="NormalWeb"/>
              <w:jc w:val="center"/>
              <w:rPr>
                <w:sz w:val="18"/>
                <w:szCs w:val="18"/>
              </w:rPr>
            </w:pPr>
            <w:r w:rsidRPr="002C3056">
              <w:rPr>
                <w:sz w:val="18"/>
                <w:szCs w:val="18"/>
              </w:rPr>
              <w:t>1.2</w:t>
            </w:r>
          </w:p>
        </w:tc>
        <w:tc>
          <w:tcPr>
            <w:tcW w:w="850" w:type="dxa"/>
            <w:hideMark/>
          </w:tcPr>
          <w:p w14:paraId="54752356" w14:textId="77777777" w:rsidR="00EB75EE" w:rsidRPr="002C3056" w:rsidRDefault="00EB75EE" w:rsidP="005050FA">
            <w:pPr>
              <w:pStyle w:val="NormalWeb"/>
              <w:jc w:val="center"/>
              <w:rPr>
                <w:sz w:val="18"/>
                <w:szCs w:val="18"/>
              </w:rPr>
            </w:pPr>
            <w:r w:rsidRPr="002C3056">
              <w:rPr>
                <w:sz w:val="18"/>
                <w:szCs w:val="18"/>
              </w:rPr>
              <w:t>215</w:t>
            </w:r>
          </w:p>
        </w:tc>
        <w:tc>
          <w:tcPr>
            <w:tcW w:w="851" w:type="dxa"/>
            <w:hideMark/>
          </w:tcPr>
          <w:p w14:paraId="2CD97129" w14:textId="77777777" w:rsidR="00EB75EE" w:rsidRPr="002C3056" w:rsidRDefault="00EB75EE" w:rsidP="005050FA">
            <w:pPr>
              <w:pStyle w:val="NormalWeb"/>
              <w:jc w:val="center"/>
              <w:rPr>
                <w:sz w:val="18"/>
                <w:szCs w:val="18"/>
              </w:rPr>
            </w:pPr>
            <w:r w:rsidRPr="002C3056">
              <w:rPr>
                <w:sz w:val="18"/>
                <w:szCs w:val="18"/>
              </w:rPr>
              <w:t>6.0</w:t>
            </w:r>
          </w:p>
        </w:tc>
        <w:tc>
          <w:tcPr>
            <w:tcW w:w="709" w:type="dxa"/>
            <w:hideMark/>
          </w:tcPr>
          <w:p w14:paraId="2CD70059" w14:textId="77777777" w:rsidR="00EB75EE" w:rsidRPr="002C3056" w:rsidRDefault="00EB75EE" w:rsidP="005050FA">
            <w:pPr>
              <w:pStyle w:val="NormalWeb"/>
              <w:jc w:val="center"/>
              <w:rPr>
                <w:sz w:val="18"/>
                <w:szCs w:val="18"/>
              </w:rPr>
            </w:pPr>
            <w:r w:rsidRPr="002C3056">
              <w:rPr>
                <w:sz w:val="18"/>
                <w:szCs w:val="18"/>
              </w:rPr>
              <w:t>967</w:t>
            </w:r>
          </w:p>
        </w:tc>
        <w:tc>
          <w:tcPr>
            <w:tcW w:w="667" w:type="dxa"/>
            <w:hideMark/>
          </w:tcPr>
          <w:p w14:paraId="4F3510A0" w14:textId="77777777" w:rsidR="00EB75EE" w:rsidRPr="002C3056" w:rsidRDefault="00EB75EE" w:rsidP="005050FA">
            <w:pPr>
              <w:pStyle w:val="NormalWeb"/>
              <w:jc w:val="center"/>
              <w:rPr>
                <w:sz w:val="18"/>
                <w:szCs w:val="18"/>
              </w:rPr>
            </w:pPr>
            <w:r w:rsidRPr="002C3056">
              <w:rPr>
                <w:sz w:val="18"/>
                <w:szCs w:val="18"/>
              </w:rPr>
              <w:t>26.8</w:t>
            </w:r>
          </w:p>
        </w:tc>
        <w:tc>
          <w:tcPr>
            <w:tcW w:w="750" w:type="dxa"/>
            <w:hideMark/>
          </w:tcPr>
          <w:p w14:paraId="41CBB01A" w14:textId="77777777" w:rsidR="00EB75EE" w:rsidRPr="002C3056" w:rsidRDefault="00EB75EE" w:rsidP="005050FA">
            <w:pPr>
              <w:pStyle w:val="NormalWeb"/>
              <w:jc w:val="center"/>
              <w:rPr>
                <w:sz w:val="18"/>
                <w:szCs w:val="18"/>
              </w:rPr>
            </w:pPr>
            <w:r w:rsidRPr="002C3056">
              <w:rPr>
                <w:sz w:val="18"/>
                <w:szCs w:val="18"/>
              </w:rPr>
              <w:t>1,156</w:t>
            </w:r>
          </w:p>
        </w:tc>
        <w:tc>
          <w:tcPr>
            <w:tcW w:w="685" w:type="dxa"/>
            <w:hideMark/>
          </w:tcPr>
          <w:p w14:paraId="3E2FB774" w14:textId="77777777" w:rsidR="00EB75EE" w:rsidRPr="002C3056" w:rsidRDefault="00EB75EE" w:rsidP="005050FA">
            <w:pPr>
              <w:pStyle w:val="NormalWeb"/>
              <w:jc w:val="center"/>
              <w:rPr>
                <w:sz w:val="18"/>
                <w:szCs w:val="18"/>
              </w:rPr>
            </w:pPr>
            <w:r w:rsidRPr="002C3056">
              <w:rPr>
                <w:sz w:val="18"/>
                <w:szCs w:val="18"/>
              </w:rPr>
              <w:t>32.0</w:t>
            </w:r>
          </w:p>
        </w:tc>
      </w:tr>
      <w:tr w:rsidR="0054264D" w:rsidRPr="002C3056" w14:paraId="0D206F7B" w14:textId="77777777" w:rsidTr="0054264D">
        <w:tc>
          <w:tcPr>
            <w:tcW w:w="2552" w:type="dxa"/>
            <w:hideMark/>
          </w:tcPr>
          <w:p w14:paraId="06202847" w14:textId="77777777" w:rsidR="00EB75EE" w:rsidRPr="002C3056" w:rsidRDefault="00EB75EE">
            <w:pPr>
              <w:pStyle w:val="NormalWeb"/>
              <w:rPr>
                <w:sz w:val="18"/>
                <w:szCs w:val="18"/>
              </w:rPr>
            </w:pPr>
            <w:r w:rsidRPr="002C3056">
              <w:rPr>
                <w:sz w:val="18"/>
                <w:szCs w:val="18"/>
              </w:rPr>
              <w:t>Queensland</w:t>
            </w:r>
          </w:p>
        </w:tc>
        <w:tc>
          <w:tcPr>
            <w:tcW w:w="1417" w:type="dxa"/>
            <w:hideMark/>
          </w:tcPr>
          <w:p w14:paraId="1AB5D621" w14:textId="77777777" w:rsidR="00EB75EE" w:rsidRPr="002C3056" w:rsidRDefault="00EB75EE" w:rsidP="005050FA">
            <w:pPr>
              <w:pStyle w:val="NormalWeb"/>
              <w:jc w:val="center"/>
              <w:rPr>
                <w:sz w:val="18"/>
                <w:szCs w:val="18"/>
              </w:rPr>
            </w:pPr>
            <w:r w:rsidRPr="002C3056">
              <w:rPr>
                <w:sz w:val="18"/>
                <w:szCs w:val="18"/>
              </w:rPr>
              <w:t>1,677</w:t>
            </w:r>
          </w:p>
        </w:tc>
        <w:tc>
          <w:tcPr>
            <w:tcW w:w="993" w:type="dxa"/>
            <w:hideMark/>
          </w:tcPr>
          <w:p w14:paraId="4CE47B84" w14:textId="77777777" w:rsidR="00EB75EE" w:rsidRPr="002C3056" w:rsidRDefault="00EB75EE" w:rsidP="005050FA">
            <w:pPr>
              <w:pStyle w:val="NormalWeb"/>
              <w:jc w:val="center"/>
              <w:rPr>
                <w:sz w:val="18"/>
                <w:szCs w:val="18"/>
              </w:rPr>
            </w:pPr>
            <w:r w:rsidRPr="002C3056">
              <w:rPr>
                <w:sz w:val="18"/>
                <w:szCs w:val="18"/>
              </w:rPr>
              <w:t>16</w:t>
            </w:r>
          </w:p>
        </w:tc>
        <w:tc>
          <w:tcPr>
            <w:tcW w:w="992" w:type="dxa"/>
            <w:hideMark/>
          </w:tcPr>
          <w:p w14:paraId="74635463" w14:textId="77777777" w:rsidR="00EB75EE" w:rsidRPr="002C3056" w:rsidRDefault="00EB75EE" w:rsidP="005050FA">
            <w:pPr>
              <w:pStyle w:val="NormalWeb"/>
              <w:jc w:val="center"/>
              <w:rPr>
                <w:sz w:val="18"/>
                <w:szCs w:val="18"/>
              </w:rPr>
            </w:pPr>
            <w:r w:rsidRPr="002C3056">
              <w:rPr>
                <w:sz w:val="18"/>
                <w:szCs w:val="18"/>
              </w:rPr>
              <w:t>1.0</w:t>
            </w:r>
          </w:p>
        </w:tc>
        <w:tc>
          <w:tcPr>
            <w:tcW w:w="850" w:type="dxa"/>
            <w:hideMark/>
          </w:tcPr>
          <w:p w14:paraId="21A94736" w14:textId="77777777" w:rsidR="00EB75EE" w:rsidRPr="002C3056" w:rsidRDefault="00EB75EE" w:rsidP="005050FA">
            <w:pPr>
              <w:pStyle w:val="NormalWeb"/>
              <w:jc w:val="center"/>
              <w:rPr>
                <w:sz w:val="18"/>
                <w:szCs w:val="18"/>
              </w:rPr>
            </w:pPr>
            <w:r w:rsidRPr="002C3056">
              <w:rPr>
                <w:sz w:val="18"/>
                <w:szCs w:val="18"/>
              </w:rPr>
              <w:t>32</w:t>
            </w:r>
          </w:p>
        </w:tc>
        <w:tc>
          <w:tcPr>
            <w:tcW w:w="851" w:type="dxa"/>
            <w:hideMark/>
          </w:tcPr>
          <w:p w14:paraId="761DB629" w14:textId="77777777" w:rsidR="00EB75EE" w:rsidRPr="002C3056" w:rsidRDefault="00EB75EE" w:rsidP="005050FA">
            <w:pPr>
              <w:pStyle w:val="NormalWeb"/>
              <w:jc w:val="center"/>
              <w:rPr>
                <w:sz w:val="18"/>
                <w:szCs w:val="18"/>
              </w:rPr>
            </w:pPr>
            <w:r w:rsidRPr="002C3056">
              <w:rPr>
                <w:sz w:val="18"/>
                <w:szCs w:val="18"/>
              </w:rPr>
              <w:t>1.9</w:t>
            </w:r>
          </w:p>
        </w:tc>
        <w:tc>
          <w:tcPr>
            <w:tcW w:w="709" w:type="dxa"/>
            <w:hideMark/>
          </w:tcPr>
          <w:p w14:paraId="6CE23109" w14:textId="77777777" w:rsidR="00EB75EE" w:rsidRPr="002C3056" w:rsidRDefault="00EB75EE" w:rsidP="005050FA">
            <w:pPr>
              <w:pStyle w:val="NormalWeb"/>
              <w:jc w:val="center"/>
              <w:rPr>
                <w:sz w:val="18"/>
                <w:szCs w:val="18"/>
              </w:rPr>
            </w:pPr>
            <w:r w:rsidRPr="002C3056">
              <w:rPr>
                <w:sz w:val="18"/>
                <w:szCs w:val="18"/>
              </w:rPr>
              <w:t>344</w:t>
            </w:r>
          </w:p>
        </w:tc>
        <w:tc>
          <w:tcPr>
            <w:tcW w:w="667" w:type="dxa"/>
            <w:hideMark/>
          </w:tcPr>
          <w:p w14:paraId="3C802712" w14:textId="77777777" w:rsidR="00EB75EE" w:rsidRPr="002C3056" w:rsidRDefault="00EB75EE" w:rsidP="005050FA">
            <w:pPr>
              <w:pStyle w:val="NormalWeb"/>
              <w:jc w:val="center"/>
              <w:rPr>
                <w:sz w:val="18"/>
                <w:szCs w:val="18"/>
              </w:rPr>
            </w:pPr>
            <w:r w:rsidRPr="002C3056">
              <w:rPr>
                <w:sz w:val="18"/>
                <w:szCs w:val="18"/>
              </w:rPr>
              <w:t>20.5</w:t>
            </w:r>
          </w:p>
        </w:tc>
        <w:tc>
          <w:tcPr>
            <w:tcW w:w="750" w:type="dxa"/>
            <w:hideMark/>
          </w:tcPr>
          <w:p w14:paraId="1B67C0AC" w14:textId="77777777" w:rsidR="00EB75EE" w:rsidRPr="002C3056" w:rsidRDefault="00EB75EE" w:rsidP="005050FA">
            <w:pPr>
              <w:pStyle w:val="NormalWeb"/>
              <w:jc w:val="center"/>
              <w:rPr>
                <w:sz w:val="18"/>
                <w:szCs w:val="18"/>
              </w:rPr>
            </w:pPr>
            <w:r w:rsidRPr="002C3056">
              <w:rPr>
                <w:sz w:val="18"/>
                <w:szCs w:val="18"/>
              </w:rPr>
              <w:t>388</w:t>
            </w:r>
          </w:p>
        </w:tc>
        <w:tc>
          <w:tcPr>
            <w:tcW w:w="685" w:type="dxa"/>
            <w:hideMark/>
          </w:tcPr>
          <w:p w14:paraId="765745DF" w14:textId="77777777" w:rsidR="00EB75EE" w:rsidRPr="002C3056" w:rsidRDefault="00EB75EE" w:rsidP="005050FA">
            <w:pPr>
              <w:pStyle w:val="NormalWeb"/>
              <w:jc w:val="center"/>
              <w:rPr>
                <w:sz w:val="18"/>
                <w:szCs w:val="18"/>
              </w:rPr>
            </w:pPr>
            <w:r w:rsidRPr="002C3056">
              <w:rPr>
                <w:sz w:val="18"/>
                <w:szCs w:val="18"/>
              </w:rPr>
              <w:t>23.1</w:t>
            </w:r>
          </w:p>
        </w:tc>
      </w:tr>
      <w:tr w:rsidR="0054264D" w:rsidRPr="002C3056" w14:paraId="0CA9817C" w14:textId="77777777"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14:paraId="306171B7" w14:textId="77777777" w:rsidR="00EB75EE" w:rsidRPr="002C3056" w:rsidRDefault="00EB75EE">
            <w:pPr>
              <w:pStyle w:val="NormalWeb"/>
              <w:rPr>
                <w:sz w:val="18"/>
                <w:szCs w:val="18"/>
              </w:rPr>
            </w:pPr>
            <w:r w:rsidRPr="002C3056">
              <w:rPr>
                <w:sz w:val="18"/>
                <w:szCs w:val="18"/>
              </w:rPr>
              <w:t>South Australia</w:t>
            </w:r>
          </w:p>
        </w:tc>
        <w:tc>
          <w:tcPr>
            <w:tcW w:w="1417" w:type="dxa"/>
            <w:hideMark/>
          </w:tcPr>
          <w:p w14:paraId="25543D84" w14:textId="77777777" w:rsidR="00EB75EE" w:rsidRPr="002C3056" w:rsidRDefault="00EB75EE" w:rsidP="005050FA">
            <w:pPr>
              <w:pStyle w:val="NormalWeb"/>
              <w:jc w:val="center"/>
              <w:rPr>
                <w:sz w:val="18"/>
                <w:szCs w:val="18"/>
              </w:rPr>
            </w:pPr>
            <w:r w:rsidRPr="002C3056">
              <w:rPr>
                <w:sz w:val="18"/>
                <w:szCs w:val="18"/>
              </w:rPr>
              <w:t>554</w:t>
            </w:r>
          </w:p>
        </w:tc>
        <w:tc>
          <w:tcPr>
            <w:tcW w:w="993" w:type="dxa"/>
            <w:hideMark/>
          </w:tcPr>
          <w:p w14:paraId="2BC8C819" w14:textId="77777777" w:rsidR="00EB75EE" w:rsidRPr="002C3056" w:rsidRDefault="00EB75EE" w:rsidP="005050FA">
            <w:pPr>
              <w:pStyle w:val="NormalWeb"/>
              <w:jc w:val="center"/>
              <w:rPr>
                <w:sz w:val="18"/>
                <w:szCs w:val="18"/>
              </w:rPr>
            </w:pPr>
            <w:r w:rsidRPr="002C3056">
              <w:rPr>
                <w:sz w:val="18"/>
                <w:szCs w:val="18"/>
              </w:rPr>
              <w:t>9</w:t>
            </w:r>
          </w:p>
        </w:tc>
        <w:tc>
          <w:tcPr>
            <w:tcW w:w="992" w:type="dxa"/>
            <w:hideMark/>
          </w:tcPr>
          <w:p w14:paraId="50B12413" w14:textId="77777777" w:rsidR="00EB75EE" w:rsidRPr="002C3056" w:rsidRDefault="00EB75EE" w:rsidP="005050FA">
            <w:pPr>
              <w:pStyle w:val="NormalWeb"/>
              <w:jc w:val="center"/>
              <w:rPr>
                <w:sz w:val="18"/>
                <w:szCs w:val="18"/>
              </w:rPr>
            </w:pPr>
            <w:r w:rsidRPr="002C3056">
              <w:rPr>
                <w:sz w:val="18"/>
                <w:szCs w:val="18"/>
              </w:rPr>
              <w:t>1.6</w:t>
            </w:r>
          </w:p>
        </w:tc>
        <w:tc>
          <w:tcPr>
            <w:tcW w:w="850" w:type="dxa"/>
            <w:hideMark/>
          </w:tcPr>
          <w:p w14:paraId="36C1C133" w14:textId="77777777" w:rsidR="00EB75EE" w:rsidRPr="002C3056" w:rsidRDefault="00EB75EE" w:rsidP="005050FA">
            <w:pPr>
              <w:pStyle w:val="NormalWeb"/>
              <w:jc w:val="center"/>
              <w:rPr>
                <w:sz w:val="18"/>
                <w:szCs w:val="18"/>
              </w:rPr>
            </w:pPr>
            <w:r w:rsidRPr="002C3056">
              <w:rPr>
                <w:sz w:val="18"/>
                <w:szCs w:val="18"/>
              </w:rPr>
              <w:t>11</w:t>
            </w:r>
          </w:p>
        </w:tc>
        <w:tc>
          <w:tcPr>
            <w:tcW w:w="851" w:type="dxa"/>
            <w:hideMark/>
          </w:tcPr>
          <w:p w14:paraId="421D8244" w14:textId="77777777" w:rsidR="00EB75EE" w:rsidRPr="002C3056" w:rsidRDefault="00EB75EE" w:rsidP="005050FA">
            <w:pPr>
              <w:pStyle w:val="NormalWeb"/>
              <w:jc w:val="center"/>
              <w:rPr>
                <w:sz w:val="18"/>
                <w:szCs w:val="18"/>
              </w:rPr>
            </w:pPr>
            <w:r w:rsidRPr="002C3056">
              <w:rPr>
                <w:sz w:val="18"/>
                <w:szCs w:val="18"/>
              </w:rPr>
              <w:t>2.0</w:t>
            </w:r>
          </w:p>
        </w:tc>
        <w:tc>
          <w:tcPr>
            <w:tcW w:w="709" w:type="dxa"/>
            <w:hideMark/>
          </w:tcPr>
          <w:p w14:paraId="011B4226" w14:textId="77777777" w:rsidR="00EB75EE" w:rsidRPr="002C3056" w:rsidRDefault="00EB75EE" w:rsidP="005050FA">
            <w:pPr>
              <w:pStyle w:val="NormalWeb"/>
              <w:jc w:val="center"/>
              <w:rPr>
                <w:sz w:val="18"/>
                <w:szCs w:val="18"/>
              </w:rPr>
            </w:pPr>
            <w:r w:rsidRPr="002C3056">
              <w:rPr>
                <w:sz w:val="18"/>
                <w:szCs w:val="18"/>
              </w:rPr>
              <w:t>75</w:t>
            </w:r>
          </w:p>
        </w:tc>
        <w:tc>
          <w:tcPr>
            <w:tcW w:w="667" w:type="dxa"/>
            <w:hideMark/>
          </w:tcPr>
          <w:p w14:paraId="0DC55E4F" w14:textId="77777777" w:rsidR="00EB75EE" w:rsidRPr="002C3056" w:rsidRDefault="00EB75EE" w:rsidP="005050FA">
            <w:pPr>
              <w:pStyle w:val="NormalWeb"/>
              <w:jc w:val="center"/>
              <w:rPr>
                <w:sz w:val="18"/>
                <w:szCs w:val="18"/>
              </w:rPr>
            </w:pPr>
            <w:r w:rsidRPr="002C3056">
              <w:rPr>
                <w:sz w:val="18"/>
                <w:szCs w:val="18"/>
              </w:rPr>
              <w:t>13.5</w:t>
            </w:r>
          </w:p>
        </w:tc>
        <w:tc>
          <w:tcPr>
            <w:tcW w:w="750" w:type="dxa"/>
            <w:hideMark/>
          </w:tcPr>
          <w:p w14:paraId="67BFC082" w14:textId="77777777" w:rsidR="00EB75EE" w:rsidRPr="002C3056" w:rsidRDefault="00EB75EE" w:rsidP="005050FA">
            <w:pPr>
              <w:pStyle w:val="NormalWeb"/>
              <w:jc w:val="center"/>
              <w:rPr>
                <w:sz w:val="18"/>
                <w:szCs w:val="18"/>
              </w:rPr>
            </w:pPr>
            <w:r w:rsidRPr="002C3056">
              <w:rPr>
                <w:sz w:val="18"/>
                <w:szCs w:val="18"/>
              </w:rPr>
              <w:t>148</w:t>
            </w:r>
          </w:p>
        </w:tc>
        <w:tc>
          <w:tcPr>
            <w:tcW w:w="685" w:type="dxa"/>
            <w:hideMark/>
          </w:tcPr>
          <w:p w14:paraId="42492F54" w14:textId="77777777" w:rsidR="00EB75EE" w:rsidRPr="002C3056" w:rsidRDefault="00EB75EE" w:rsidP="005050FA">
            <w:pPr>
              <w:pStyle w:val="NormalWeb"/>
              <w:jc w:val="center"/>
              <w:rPr>
                <w:sz w:val="18"/>
                <w:szCs w:val="18"/>
              </w:rPr>
            </w:pPr>
            <w:r w:rsidRPr="002C3056">
              <w:rPr>
                <w:sz w:val="18"/>
                <w:szCs w:val="18"/>
              </w:rPr>
              <w:t>26.7</w:t>
            </w:r>
          </w:p>
        </w:tc>
      </w:tr>
      <w:tr w:rsidR="0054264D" w:rsidRPr="002C3056" w14:paraId="21375C7F" w14:textId="77777777" w:rsidTr="0054264D">
        <w:tc>
          <w:tcPr>
            <w:tcW w:w="2552" w:type="dxa"/>
            <w:hideMark/>
          </w:tcPr>
          <w:p w14:paraId="5DD92EF6" w14:textId="77777777" w:rsidR="00EB75EE" w:rsidRPr="002C3056" w:rsidRDefault="00EB75EE">
            <w:pPr>
              <w:pStyle w:val="NormalWeb"/>
              <w:rPr>
                <w:sz w:val="18"/>
                <w:szCs w:val="18"/>
              </w:rPr>
            </w:pPr>
            <w:r w:rsidRPr="002C3056">
              <w:rPr>
                <w:sz w:val="18"/>
                <w:szCs w:val="18"/>
              </w:rPr>
              <w:t>Tasmania</w:t>
            </w:r>
          </w:p>
        </w:tc>
        <w:tc>
          <w:tcPr>
            <w:tcW w:w="1417" w:type="dxa"/>
            <w:hideMark/>
          </w:tcPr>
          <w:p w14:paraId="6FEB870E" w14:textId="77777777" w:rsidR="00EB75EE" w:rsidRPr="002C3056" w:rsidRDefault="00EB75EE" w:rsidP="005050FA">
            <w:pPr>
              <w:pStyle w:val="NormalWeb"/>
              <w:jc w:val="center"/>
              <w:rPr>
                <w:sz w:val="18"/>
                <w:szCs w:val="18"/>
              </w:rPr>
            </w:pPr>
            <w:r w:rsidRPr="002C3056">
              <w:rPr>
                <w:sz w:val="18"/>
                <w:szCs w:val="18"/>
              </w:rPr>
              <w:t>49</w:t>
            </w:r>
          </w:p>
        </w:tc>
        <w:tc>
          <w:tcPr>
            <w:tcW w:w="993" w:type="dxa"/>
            <w:hideMark/>
          </w:tcPr>
          <w:p w14:paraId="39A90F4F" w14:textId="77777777" w:rsidR="00EB75EE" w:rsidRPr="002C3056" w:rsidRDefault="00EB75EE" w:rsidP="005050FA">
            <w:pPr>
              <w:pStyle w:val="NormalWeb"/>
              <w:jc w:val="center"/>
              <w:rPr>
                <w:sz w:val="18"/>
                <w:szCs w:val="18"/>
              </w:rPr>
            </w:pPr>
            <w:r w:rsidRPr="002C3056">
              <w:rPr>
                <w:sz w:val="18"/>
                <w:szCs w:val="18"/>
              </w:rPr>
              <w:t>1</w:t>
            </w:r>
          </w:p>
        </w:tc>
        <w:tc>
          <w:tcPr>
            <w:tcW w:w="992" w:type="dxa"/>
            <w:hideMark/>
          </w:tcPr>
          <w:p w14:paraId="25BD20D8" w14:textId="77777777" w:rsidR="00EB75EE" w:rsidRPr="002C3056" w:rsidRDefault="00EB75EE" w:rsidP="005050FA">
            <w:pPr>
              <w:pStyle w:val="NormalWeb"/>
              <w:jc w:val="center"/>
              <w:rPr>
                <w:sz w:val="18"/>
                <w:szCs w:val="18"/>
              </w:rPr>
            </w:pPr>
            <w:r w:rsidRPr="002C3056">
              <w:rPr>
                <w:sz w:val="18"/>
                <w:szCs w:val="18"/>
              </w:rPr>
              <w:t>2.0</w:t>
            </w:r>
          </w:p>
        </w:tc>
        <w:tc>
          <w:tcPr>
            <w:tcW w:w="850" w:type="dxa"/>
            <w:hideMark/>
          </w:tcPr>
          <w:p w14:paraId="63A1BB75" w14:textId="77777777" w:rsidR="00EB75EE" w:rsidRPr="002C3056" w:rsidRDefault="00EB75EE" w:rsidP="005050FA">
            <w:pPr>
              <w:pStyle w:val="NormalWeb"/>
              <w:jc w:val="center"/>
              <w:rPr>
                <w:sz w:val="18"/>
                <w:szCs w:val="18"/>
              </w:rPr>
            </w:pPr>
            <w:r w:rsidRPr="002C3056">
              <w:rPr>
                <w:sz w:val="18"/>
                <w:szCs w:val="18"/>
              </w:rPr>
              <w:t>1</w:t>
            </w:r>
          </w:p>
        </w:tc>
        <w:tc>
          <w:tcPr>
            <w:tcW w:w="851" w:type="dxa"/>
            <w:hideMark/>
          </w:tcPr>
          <w:p w14:paraId="4EA17229" w14:textId="77777777" w:rsidR="00EB75EE" w:rsidRPr="002C3056" w:rsidRDefault="00EB75EE" w:rsidP="005050FA">
            <w:pPr>
              <w:pStyle w:val="NormalWeb"/>
              <w:jc w:val="center"/>
              <w:rPr>
                <w:sz w:val="18"/>
                <w:szCs w:val="18"/>
              </w:rPr>
            </w:pPr>
            <w:r w:rsidRPr="002C3056">
              <w:rPr>
                <w:sz w:val="18"/>
                <w:szCs w:val="18"/>
              </w:rPr>
              <w:t>2.0</w:t>
            </w:r>
          </w:p>
        </w:tc>
        <w:tc>
          <w:tcPr>
            <w:tcW w:w="709" w:type="dxa"/>
            <w:hideMark/>
          </w:tcPr>
          <w:p w14:paraId="22A575FF" w14:textId="77777777" w:rsidR="00EB75EE" w:rsidRPr="002C3056" w:rsidRDefault="00EB75EE" w:rsidP="005050FA">
            <w:pPr>
              <w:pStyle w:val="NormalWeb"/>
              <w:jc w:val="center"/>
              <w:rPr>
                <w:sz w:val="18"/>
                <w:szCs w:val="18"/>
              </w:rPr>
            </w:pPr>
            <w:r w:rsidRPr="002C3056">
              <w:rPr>
                <w:sz w:val="18"/>
                <w:szCs w:val="18"/>
              </w:rPr>
              <w:t>19</w:t>
            </w:r>
          </w:p>
        </w:tc>
        <w:tc>
          <w:tcPr>
            <w:tcW w:w="667" w:type="dxa"/>
            <w:hideMark/>
          </w:tcPr>
          <w:p w14:paraId="40AC8F14" w14:textId="77777777" w:rsidR="00EB75EE" w:rsidRPr="002C3056" w:rsidRDefault="00EB75EE" w:rsidP="005050FA">
            <w:pPr>
              <w:pStyle w:val="NormalWeb"/>
              <w:jc w:val="center"/>
              <w:rPr>
                <w:sz w:val="18"/>
                <w:szCs w:val="18"/>
              </w:rPr>
            </w:pPr>
            <w:r w:rsidRPr="002C3056">
              <w:rPr>
                <w:sz w:val="18"/>
                <w:szCs w:val="18"/>
              </w:rPr>
              <w:t>38.8</w:t>
            </w:r>
          </w:p>
        </w:tc>
        <w:tc>
          <w:tcPr>
            <w:tcW w:w="750" w:type="dxa"/>
            <w:hideMark/>
          </w:tcPr>
          <w:p w14:paraId="36F9CB22" w14:textId="77777777" w:rsidR="00EB75EE" w:rsidRPr="002C3056" w:rsidRDefault="00EB75EE" w:rsidP="005050FA">
            <w:pPr>
              <w:pStyle w:val="NormalWeb"/>
              <w:jc w:val="center"/>
              <w:rPr>
                <w:sz w:val="18"/>
                <w:szCs w:val="18"/>
              </w:rPr>
            </w:pPr>
            <w:r w:rsidRPr="002C3056">
              <w:rPr>
                <w:sz w:val="18"/>
                <w:szCs w:val="18"/>
              </w:rPr>
              <w:t>7</w:t>
            </w:r>
          </w:p>
        </w:tc>
        <w:tc>
          <w:tcPr>
            <w:tcW w:w="685" w:type="dxa"/>
            <w:hideMark/>
          </w:tcPr>
          <w:p w14:paraId="27F29B2A" w14:textId="77777777" w:rsidR="00EB75EE" w:rsidRPr="002C3056" w:rsidRDefault="00EB75EE" w:rsidP="005050FA">
            <w:pPr>
              <w:pStyle w:val="NormalWeb"/>
              <w:jc w:val="center"/>
              <w:rPr>
                <w:sz w:val="18"/>
                <w:szCs w:val="18"/>
              </w:rPr>
            </w:pPr>
            <w:r w:rsidRPr="002C3056">
              <w:rPr>
                <w:sz w:val="18"/>
                <w:szCs w:val="18"/>
              </w:rPr>
              <w:t>14.3</w:t>
            </w:r>
          </w:p>
        </w:tc>
      </w:tr>
      <w:tr w:rsidR="0054264D" w:rsidRPr="002C3056" w14:paraId="521F4546" w14:textId="77777777"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14:paraId="63E43D7D" w14:textId="77777777" w:rsidR="00EB75EE" w:rsidRPr="002C3056" w:rsidRDefault="00EB75EE">
            <w:pPr>
              <w:pStyle w:val="NormalWeb"/>
              <w:rPr>
                <w:sz w:val="18"/>
                <w:szCs w:val="18"/>
              </w:rPr>
            </w:pPr>
            <w:r w:rsidRPr="002C3056">
              <w:rPr>
                <w:sz w:val="18"/>
                <w:szCs w:val="18"/>
              </w:rPr>
              <w:t>Victoria</w:t>
            </w:r>
          </w:p>
        </w:tc>
        <w:tc>
          <w:tcPr>
            <w:tcW w:w="1417" w:type="dxa"/>
            <w:hideMark/>
          </w:tcPr>
          <w:p w14:paraId="4617DDF2" w14:textId="77777777" w:rsidR="00EB75EE" w:rsidRPr="002C3056" w:rsidRDefault="00EB75EE" w:rsidP="005050FA">
            <w:pPr>
              <w:pStyle w:val="NormalWeb"/>
              <w:jc w:val="center"/>
              <w:rPr>
                <w:sz w:val="18"/>
                <w:szCs w:val="18"/>
              </w:rPr>
            </w:pPr>
            <w:r w:rsidRPr="002C3056">
              <w:rPr>
                <w:sz w:val="18"/>
                <w:szCs w:val="18"/>
              </w:rPr>
              <w:t>2,616</w:t>
            </w:r>
          </w:p>
        </w:tc>
        <w:tc>
          <w:tcPr>
            <w:tcW w:w="993" w:type="dxa"/>
            <w:hideMark/>
          </w:tcPr>
          <w:p w14:paraId="1CAA5838" w14:textId="77777777" w:rsidR="00EB75EE" w:rsidRPr="002C3056" w:rsidRDefault="00EB75EE" w:rsidP="005050FA">
            <w:pPr>
              <w:pStyle w:val="NormalWeb"/>
              <w:jc w:val="center"/>
              <w:rPr>
                <w:sz w:val="18"/>
                <w:szCs w:val="18"/>
              </w:rPr>
            </w:pPr>
            <w:r w:rsidRPr="002C3056">
              <w:rPr>
                <w:sz w:val="18"/>
                <w:szCs w:val="18"/>
              </w:rPr>
              <w:t>42</w:t>
            </w:r>
          </w:p>
        </w:tc>
        <w:tc>
          <w:tcPr>
            <w:tcW w:w="992" w:type="dxa"/>
            <w:hideMark/>
          </w:tcPr>
          <w:p w14:paraId="4E0724E0" w14:textId="77777777" w:rsidR="00EB75EE" w:rsidRPr="002C3056" w:rsidRDefault="00EB75EE" w:rsidP="005050FA">
            <w:pPr>
              <w:pStyle w:val="NormalWeb"/>
              <w:jc w:val="center"/>
              <w:rPr>
                <w:sz w:val="18"/>
                <w:szCs w:val="18"/>
              </w:rPr>
            </w:pPr>
            <w:r w:rsidRPr="002C3056">
              <w:rPr>
                <w:sz w:val="18"/>
                <w:szCs w:val="18"/>
              </w:rPr>
              <w:t>1.6</w:t>
            </w:r>
          </w:p>
        </w:tc>
        <w:tc>
          <w:tcPr>
            <w:tcW w:w="850" w:type="dxa"/>
            <w:hideMark/>
          </w:tcPr>
          <w:p w14:paraId="031E78A0" w14:textId="77777777" w:rsidR="00EB75EE" w:rsidRPr="002C3056" w:rsidRDefault="00EB75EE" w:rsidP="005050FA">
            <w:pPr>
              <w:pStyle w:val="NormalWeb"/>
              <w:jc w:val="center"/>
              <w:rPr>
                <w:sz w:val="18"/>
                <w:szCs w:val="18"/>
              </w:rPr>
            </w:pPr>
            <w:r w:rsidRPr="002C3056">
              <w:rPr>
                <w:sz w:val="18"/>
                <w:szCs w:val="18"/>
              </w:rPr>
              <w:t>161</w:t>
            </w:r>
          </w:p>
        </w:tc>
        <w:tc>
          <w:tcPr>
            <w:tcW w:w="851" w:type="dxa"/>
            <w:hideMark/>
          </w:tcPr>
          <w:p w14:paraId="43063E08" w14:textId="77777777" w:rsidR="00EB75EE" w:rsidRPr="002C3056" w:rsidRDefault="00EB75EE" w:rsidP="005050FA">
            <w:pPr>
              <w:pStyle w:val="NormalWeb"/>
              <w:jc w:val="center"/>
              <w:rPr>
                <w:sz w:val="18"/>
                <w:szCs w:val="18"/>
              </w:rPr>
            </w:pPr>
            <w:r w:rsidRPr="002C3056">
              <w:rPr>
                <w:sz w:val="18"/>
                <w:szCs w:val="18"/>
              </w:rPr>
              <w:t>6.2</w:t>
            </w:r>
          </w:p>
        </w:tc>
        <w:tc>
          <w:tcPr>
            <w:tcW w:w="709" w:type="dxa"/>
            <w:hideMark/>
          </w:tcPr>
          <w:p w14:paraId="6186A3AE" w14:textId="77777777" w:rsidR="00EB75EE" w:rsidRPr="002C3056" w:rsidRDefault="00EB75EE" w:rsidP="005050FA">
            <w:pPr>
              <w:pStyle w:val="NormalWeb"/>
              <w:jc w:val="center"/>
              <w:rPr>
                <w:sz w:val="18"/>
                <w:szCs w:val="18"/>
              </w:rPr>
            </w:pPr>
            <w:r w:rsidRPr="002C3056">
              <w:rPr>
                <w:sz w:val="18"/>
                <w:szCs w:val="18"/>
              </w:rPr>
              <w:t>522</w:t>
            </w:r>
          </w:p>
        </w:tc>
        <w:tc>
          <w:tcPr>
            <w:tcW w:w="667" w:type="dxa"/>
            <w:hideMark/>
          </w:tcPr>
          <w:p w14:paraId="054234D6" w14:textId="77777777" w:rsidR="00EB75EE" w:rsidRPr="002C3056" w:rsidRDefault="00EB75EE" w:rsidP="005050FA">
            <w:pPr>
              <w:pStyle w:val="NormalWeb"/>
              <w:jc w:val="center"/>
              <w:rPr>
                <w:sz w:val="18"/>
                <w:szCs w:val="18"/>
              </w:rPr>
            </w:pPr>
            <w:r w:rsidRPr="002C3056">
              <w:rPr>
                <w:sz w:val="18"/>
                <w:szCs w:val="18"/>
              </w:rPr>
              <w:t>20.0</w:t>
            </w:r>
          </w:p>
        </w:tc>
        <w:tc>
          <w:tcPr>
            <w:tcW w:w="750" w:type="dxa"/>
            <w:hideMark/>
          </w:tcPr>
          <w:p w14:paraId="57F1BB6D" w14:textId="77777777" w:rsidR="00EB75EE" w:rsidRPr="002C3056" w:rsidRDefault="00EB75EE" w:rsidP="005050FA">
            <w:pPr>
              <w:pStyle w:val="NormalWeb"/>
              <w:jc w:val="center"/>
              <w:rPr>
                <w:sz w:val="18"/>
                <w:szCs w:val="18"/>
              </w:rPr>
            </w:pPr>
            <w:r w:rsidRPr="002C3056">
              <w:rPr>
                <w:sz w:val="18"/>
                <w:szCs w:val="18"/>
              </w:rPr>
              <w:t>780</w:t>
            </w:r>
          </w:p>
        </w:tc>
        <w:tc>
          <w:tcPr>
            <w:tcW w:w="685" w:type="dxa"/>
            <w:hideMark/>
          </w:tcPr>
          <w:p w14:paraId="6FB01B96" w14:textId="77777777" w:rsidR="00EB75EE" w:rsidRPr="002C3056" w:rsidRDefault="00EB75EE" w:rsidP="005050FA">
            <w:pPr>
              <w:pStyle w:val="NormalWeb"/>
              <w:jc w:val="center"/>
              <w:rPr>
                <w:sz w:val="18"/>
                <w:szCs w:val="18"/>
              </w:rPr>
            </w:pPr>
            <w:r w:rsidRPr="002C3056">
              <w:rPr>
                <w:sz w:val="18"/>
                <w:szCs w:val="18"/>
              </w:rPr>
              <w:t>29.8</w:t>
            </w:r>
          </w:p>
        </w:tc>
      </w:tr>
      <w:tr w:rsidR="0054264D" w:rsidRPr="002C3056" w14:paraId="504196A6" w14:textId="77777777" w:rsidTr="0054264D">
        <w:tc>
          <w:tcPr>
            <w:tcW w:w="2552" w:type="dxa"/>
            <w:hideMark/>
          </w:tcPr>
          <w:p w14:paraId="14B16AF8" w14:textId="77777777" w:rsidR="00EB75EE" w:rsidRPr="002C3056" w:rsidRDefault="00EB75EE">
            <w:pPr>
              <w:pStyle w:val="NormalWeb"/>
              <w:rPr>
                <w:sz w:val="18"/>
                <w:szCs w:val="18"/>
              </w:rPr>
            </w:pPr>
            <w:r w:rsidRPr="002C3056">
              <w:rPr>
                <w:sz w:val="18"/>
                <w:szCs w:val="18"/>
              </w:rPr>
              <w:t>Northern Territory non-remote</w:t>
            </w:r>
          </w:p>
        </w:tc>
        <w:tc>
          <w:tcPr>
            <w:tcW w:w="1417" w:type="dxa"/>
            <w:hideMark/>
          </w:tcPr>
          <w:p w14:paraId="75616C14" w14:textId="77777777" w:rsidR="00EB75EE" w:rsidRPr="002C3056" w:rsidRDefault="00EB75EE" w:rsidP="005050FA">
            <w:pPr>
              <w:pStyle w:val="NormalWeb"/>
              <w:jc w:val="center"/>
              <w:rPr>
                <w:sz w:val="18"/>
                <w:szCs w:val="18"/>
              </w:rPr>
            </w:pPr>
            <w:r w:rsidRPr="002C3056">
              <w:rPr>
                <w:sz w:val="18"/>
                <w:szCs w:val="18"/>
              </w:rPr>
              <w:t>55</w:t>
            </w:r>
          </w:p>
        </w:tc>
        <w:tc>
          <w:tcPr>
            <w:tcW w:w="993" w:type="dxa"/>
            <w:hideMark/>
          </w:tcPr>
          <w:p w14:paraId="357C401D" w14:textId="77777777" w:rsidR="00EB75EE" w:rsidRPr="002C3056" w:rsidRDefault="00EB75EE" w:rsidP="005050FA">
            <w:pPr>
              <w:pStyle w:val="NormalWeb"/>
              <w:jc w:val="center"/>
              <w:rPr>
                <w:sz w:val="18"/>
                <w:szCs w:val="18"/>
              </w:rPr>
            </w:pPr>
            <w:r w:rsidRPr="002C3056">
              <w:rPr>
                <w:sz w:val="18"/>
                <w:szCs w:val="18"/>
              </w:rPr>
              <w:t>0</w:t>
            </w:r>
          </w:p>
        </w:tc>
        <w:tc>
          <w:tcPr>
            <w:tcW w:w="992" w:type="dxa"/>
            <w:hideMark/>
          </w:tcPr>
          <w:p w14:paraId="7AB47452" w14:textId="77777777" w:rsidR="00EB75EE" w:rsidRPr="002C3056" w:rsidRDefault="00EB75EE" w:rsidP="005050FA">
            <w:pPr>
              <w:pStyle w:val="NormalWeb"/>
              <w:jc w:val="center"/>
              <w:rPr>
                <w:sz w:val="18"/>
                <w:szCs w:val="18"/>
              </w:rPr>
            </w:pPr>
            <w:r w:rsidRPr="002C3056">
              <w:rPr>
                <w:sz w:val="18"/>
                <w:szCs w:val="18"/>
              </w:rPr>
              <w:t>0</w:t>
            </w:r>
          </w:p>
        </w:tc>
        <w:tc>
          <w:tcPr>
            <w:tcW w:w="850" w:type="dxa"/>
            <w:hideMark/>
          </w:tcPr>
          <w:p w14:paraId="77DF5B2E" w14:textId="77777777" w:rsidR="00EB75EE" w:rsidRPr="002C3056" w:rsidRDefault="00EB75EE" w:rsidP="005050FA">
            <w:pPr>
              <w:pStyle w:val="NormalWeb"/>
              <w:jc w:val="center"/>
              <w:rPr>
                <w:sz w:val="18"/>
                <w:szCs w:val="18"/>
              </w:rPr>
            </w:pPr>
            <w:r w:rsidRPr="002C3056">
              <w:rPr>
                <w:sz w:val="18"/>
                <w:szCs w:val="18"/>
              </w:rPr>
              <w:t>1</w:t>
            </w:r>
          </w:p>
        </w:tc>
        <w:tc>
          <w:tcPr>
            <w:tcW w:w="851" w:type="dxa"/>
            <w:hideMark/>
          </w:tcPr>
          <w:p w14:paraId="4EB9FB68" w14:textId="77777777" w:rsidR="00EB75EE" w:rsidRPr="002C3056" w:rsidRDefault="00EB75EE" w:rsidP="005050FA">
            <w:pPr>
              <w:pStyle w:val="NormalWeb"/>
              <w:jc w:val="center"/>
              <w:rPr>
                <w:sz w:val="18"/>
                <w:szCs w:val="18"/>
              </w:rPr>
            </w:pPr>
            <w:r w:rsidRPr="002C3056">
              <w:rPr>
                <w:sz w:val="18"/>
                <w:szCs w:val="18"/>
              </w:rPr>
              <w:t>1.8</w:t>
            </w:r>
          </w:p>
        </w:tc>
        <w:tc>
          <w:tcPr>
            <w:tcW w:w="709" w:type="dxa"/>
            <w:hideMark/>
          </w:tcPr>
          <w:p w14:paraId="4FEE9CD2" w14:textId="77777777" w:rsidR="00EB75EE" w:rsidRPr="002C3056" w:rsidRDefault="00EB75EE" w:rsidP="005050FA">
            <w:pPr>
              <w:pStyle w:val="NormalWeb"/>
              <w:jc w:val="center"/>
              <w:rPr>
                <w:sz w:val="18"/>
                <w:szCs w:val="18"/>
              </w:rPr>
            </w:pPr>
            <w:r w:rsidRPr="002C3056">
              <w:rPr>
                <w:sz w:val="18"/>
                <w:szCs w:val="18"/>
              </w:rPr>
              <w:t>10</w:t>
            </w:r>
          </w:p>
        </w:tc>
        <w:tc>
          <w:tcPr>
            <w:tcW w:w="667" w:type="dxa"/>
            <w:hideMark/>
          </w:tcPr>
          <w:p w14:paraId="10030E8A" w14:textId="77777777" w:rsidR="00EB75EE" w:rsidRPr="002C3056" w:rsidRDefault="00EB75EE" w:rsidP="005050FA">
            <w:pPr>
              <w:pStyle w:val="NormalWeb"/>
              <w:jc w:val="center"/>
              <w:rPr>
                <w:sz w:val="18"/>
                <w:szCs w:val="18"/>
              </w:rPr>
            </w:pPr>
            <w:r w:rsidRPr="002C3056">
              <w:rPr>
                <w:sz w:val="18"/>
                <w:szCs w:val="18"/>
              </w:rPr>
              <w:t>18.2</w:t>
            </w:r>
          </w:p>
        </w:tc>
        <w:tc>
          <w:tcPr>
            <w:tcW w:w="750" w:type="dxa"/>
            <w:hideMark/>
          </w:tcPr>
          <w:p w14:paraId="60518D56" w14:textId="77777777" w:rsidR="00EB75EE" w:rsidRPr="002C3056" w:rsidRDefault="00EB75EE" w:rsidP="005050FA">
            <w:pPr>
              <w:pStyle w:val="NormalWeb"/>
              <w:jc w:val="center"/>
              <w:rPr>
                <w:sz w:val="18"/>
                <w:szCs w:val="18"/>
              </w:rPr>
            </w:pPr>
            <w:r w:rsidRPr="002C3056">
              <w:rPr>
                <w:sz w:val="18"/>
                <w:szCs w:val="18"/>
              </w:rPr>
              <w:t>9</w:t>
            </w:r>
          </w:p>
        </w:tc>
        <w:tc>
          <w:tcPr>
            <w:tcW w:w="685" w:type="dxa"/>
            <w:hideMark/>
          </w:tcPr>
          <w:p w14:paraId="33A807D7" w14:textId="77777777" w:rsidR="00EB75EE" w:rsidRPr="002C3056" w:rsidRDefault="00EB75EE" w:rsidP="005050FA">
            <w:pPr>
              <w:pStyle w:val="NormalWeb"/>
              <w:jc w:val="center"/>
              <w:rPr>
                <w:sz w:val="18"/>
                <w:szCs w:val="18"/>
              </w:rPr>
            </w:pPr>
            <w:r w:rsidRPr="002C3056">
              <w:rPr>
                <w:sz w:val="18"/>
                <w:szCs w:val="18"/>
              </w:rPr>
              <w:t>16.4</w:t>
            </w:r>
          </w:p>
        </w:tc>
      </w:tr>
      <w:tr w:rsidR="0054264D" w:rsidRPr="002C3056" w14:paraId="54CA3C66" w14:textId="77777777"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14:paraId="7F3D4C72" w14:textId="77777777" w:rsidR="00EB75EE" w:rsidRPr="002C3056" w:rsidRDefault="00EB75EE">
            <w:pPr>
              <w:pStyle w:val="NormalWeb"/>
              <w:rPr>
                <w:sz w:val="18"/>
                <w:szCs w:val="18"/>
              </w:rPr>
            </w:pPr>
            <w:r w:rsidRPr="002C3056">
              <w:rPr>
                <w:sz w:val="18"/>
                <w:szCs w:val="18"/>
              </w:rPr>
              <w:t>Northern Territory remote</w:t>
            </w:r>
          </w:p>
        </w:tc>
        <w:tc>
          <w:tcPr>
            <w:tcW w:w="1417" w:type="dxa"/>
            <w:hideMark/>
          </w:tcPr>
          <w:p w14:paraId="6DAAB210" w14:textId="77777777" w:rsidR="00EB75EE" w:rsidRPr="002C3056" w:rsidRDefault="00EB75EE" w:rsidP="005050FA">
            <w:pPr>
              <w:pStyle w:val="NormalWeb"/>
              <w:jc w:val="center"/>
              <w:rPr>
                <w:sz w:val="18"/>
                <w:szCs w:val="18"/>
              </w:rPr>
            </w:pPr>
            <w:r w:rsidRPr="002C3056">
              <w:rPr>
                <w:sz w:val="18"/>
                <w:szCs w:val="18"/>
              </w:rPr>
              <w:t>71</w:t>
            </w:r>
          </w:p>
        </w:tc>
        <w:tc>
          <w:tcPr>
            <w:tcW w:w="993" w:type="dxa"/>
            <w:hideMark/>
          </w:tcPr>
          <w:p w14:paraId="487E0B5E" w14:textId="77777777" w:rsidR="00EB75EE" w:rsidRPr="002C3056" w:rsidRDefault="00EB75EE" w:rsidP="005050FA">
            <w:pPr>
              <w:pStyle w:val="NormalWeb"/>
              <w:jc w:val="center"/>
              <w:rPr>
                <w:sz w:val="18"/>
                <w:szCs w:val="18"/>
              </w:rPr>
            </w:pPr>
            <w:r w:rsidRPr="002C3056">
              <w:rPr>
                <w:sz w:val="18"/>
                <w:szCs w:val="18"/>
              </w:rPr>
              <w:t>0</w:t>
            </w:r>
          </w:p>
        </w:tc>
        <w:tc>
          <w:tcPr>
            <w:tcW w:w="992" w:type="dxa"/>
            <w:hideMark/>
          </w:tcPr>
          <w:p w14:paraId="26870338" w14:textId="77777777" w:rsidR="00EB75EE" w:rsidRPr="002C3056" w:rsidRDefault="00EB75EE" w:rsidP="005050FA">
            <w:pPr>
              <w:pStyle w:val="NormalWeb"/>
              <w:jc w:val="center"/>
              <w:rPr>
                <w:sz w:val="18"/>
                <w:szCs w:val="18"/>
              </w:rPr>
            </w:pPr>
            <w:r w:rsidRPr="002C3056">
              <w:rPr>
                <w:sz w:val="18"/>
                <w:szCs w:val="18"/>
              </w:rPr>
              <w:t>0</w:t>
            </w:r>
          </w:p>
        </w:tc>
        <w:tc>
          <w:tcPr>
            <w:tcW w:w="850" w:type="dxa"/>
            <w:hideMark/>
          </w:tcPr>
          <w:p w14:paraId="24934EAA" w14:textId="77777777" w:rsidR="00EB75EE" w:rsidRPr="002C3056" w:rsidRDefault="00EB75EE" w:rsidP="005050FA">
            <w:pPr>
              <w:pStyle w:val="NormalWeb"/>
              <w:jc w:val="center"/>
              <w:rPr>
                <w:sz w:val="18"/>
                <w:szCs w:val="18"/>
              </w:rPr>
            </w:pPr>
            <w:r w:rsidRPr="002C3056">
              <w:rPr>
                <w:sz w:val="18"/>
                <w:szCs w:val="18"/>
              </w:rPr>
              <w:t>0</w:t>
            </w:r>
          </w:p>
        </w:tc>
        <w:tc>
          <w:tcPr>
            <w:tcW w:w="851" w:type="dxa"/>
            <w:hideMark/>
          </w:tcPr>
          <w:p w14:paraId="423DA8FF" w14:textId="77777777" w:rsidR="00EB75EE" w:rsidRPr="002C3056" w:rsidRDefault="00EB75EE" w:rsidP="005050FA">
            <w:pPr>
              <w:pStyle w:val="NormalWeb"/>
              <w:jc w:val="center"/>
              <w:rPr>
                <w:sz w:val="18"/>
                <w:szCs w:val="18"/>
              </w:rPr>
            </w:pPr>
            <w:r w:rsidRPr="002C3056">
              <w:rPr>
                <w:sz w:val="18"/>
                <w:szCs w:val="18"/>
              </w:rPr>
              <w:t>0.0</w:t>
            </w:r>
          </w:p>
        </w:tc>
        <w:tc>
          <w:tcPr>
            <w:tcW w:w="709" w:type="dxa"/>
            <w:hideMark/>
          </w:tcPr>
          <w:p w14:paraId="5289254A" w14:textId="77777777" w:rsidR="00EB75EE" w:rsidRPr="002C3056" w:rsidRDefault="00EB75EE" w:rsidP="005050FA">
            <w:pPr>
              <w:pStyle w:val="NormalWeb"/>
              <w:jc w:val="center"/>
              <w:rPr>
                <w:sz w:val="18"/>
                <w:szCs w:val="18"/>
              </w:rPr>
            </w:pPr>
            <w:r w:rsidRPr="002C3056">
              <w:rPr>
                <w:sz w:val="18"/>
                <w:szCs w:val="18"/>
              </w:rPr>
              <w:t>0</w:t>
            </w:r>
          </w:p>
        </w:tc>
        <w:tc>
          <w:tcPr>
            <w:tcW w:w="667" w:type="dxa"/>
            <w:hideMark/>
          </w:tcPr>
          <w:p w14:paraId="72685BE0" w14:textId="77777777" w:rsidR="00EB75EE" w:rsidRPr="002C3056" w:rsidRDefault="00EB75EE" w:rsidP="005050FA">
            <w:pPr>
              <w:pStyle w:val="NormalWeb"/>
              <w:jc w:val="center"/>
              <w:rPr>
                <w:sz w:val="18"/>
                <w:szCs w:val="18"/>
              </w:rPr>
            </w:pPr>
            <w:r w:rsidRPr="002C3056">
              <w:rPr>
                <w:sz w:val="18"/>
                <w:szCs w:val="18"/>
              </w:rPr>
              <w:t>0.0</w:t>
            </w:r>
          </w:p>
        </w:tc>
        <w:tc>
          <w:tcPr>
            <w:tcW w:w="750" w:type="dxa"/>
            <w:hideMark/>
          </w:tcPr>
          <w:p w14:paraId="289991F8" w14:textId="77777777" w:rsidR="00EB75EE" w:rsidRPr="002C3056" w:rsidRDefault="00EB75EE" w:rsidP="005050FA">
            <w:pPr>
              <w:pStyle w:val="NormalWeb"/>
              <w:jc w:val="center"/>
              <w:rPr>
                <w:sz w:val="18"/>
                <w:szCs w:val="18"/>
              </w:rPr>
            </w:pPr>
            <w:r w:rsidRPr="002C3056">
              <w:rPr>
                <w:sz w:val="18"/>
                <w:szCs w:val="18"/>
              </w:rPr>
              <w:t>0</w:t>
            </w:r>
          </w:p>
        </w:tc>
        <w:tc>
          <w:tcPr>
            <w:tcW w:w="685" w:type="dxa"/>
            <w:hideMark/>
          </w:tcPr>
          <w:p w14:paraId="268198A8" w14:textId="77777777" w:rsidR="00EB75EE" w:rsidRPr="002C3056" w:rsidRDefault="00EB75EE" w:rsidP="005050FA">
            <w:pPr>
              <w:pStyle w:val="NormalWeb"/>
              <w:jc w:val="center"/>
              <w:rPr>
                <w:sz w:val="18"/>
                <w:szCs w:val="18"/>
              </w:rPr>
            </w:pPr>
            <w:r w:rsidRPr="002C3056">
              <w:rPr>
                <w:sz w:val="18"/>
                <w:szCs w:val="18"/>
              </w:rPr>
              <w:t>0.0</w:t>
            </w:r>
          </w:p>
        </w:tc>
      </w:tr>
      <w:tr w:rsidR="0054264D" w:rsidRPr="002C3056" w14:paraId="37F0CB1D" w14:textId="77777777" w:rsidTr="0054264D">
        <w:tc>
          <w:tcPr>
            <w:tcW w:w="2552" w:type="dxa"/>
            <w:hideMark/>
          </w:tcPr>
          <w:p w14:paraId="6D7BE6F3" w14:textId="77777777" w:rsidR="00EB75EE" w:rsidRPr="002C3056" w:rsidRDefault="00EB75EE">
            <w:pPr>
              <w:pStyle w:val="NormalWeb"/>
              <w:rPr>
                <w:sz w:val="18"/>
                <w:szCs w:val="18"/>
              </w:rPr>
            </w:pPr>
            <w:r w:rsidRPr="002C3056">
              <w:rPr>
                <w:sz w:val="18"/>
                <w:szCs w:val="18"/>
              </w:rPr>
              <w:t>Western Australia non-remote</w:t>
            </w:r>
          </w:p>
        </w:tc>
        <w:tc>
          <w:tcPr>
            <w:tcW w:w="1417" w:type="dxa"/>
            <w:hideMark/>
          </w:tcPr>
          <w:p w14:paraId="4557E692" w14:textId="77777777" w:rsidR="00EB75EE" w:rsidRPr="002C3056" w:rsidRDefault="00EB75EE" w:rsidP="005050FA">
            <w:pPr>
              <w:pStyle w:val="NormalWeb"/>
              <w:jc w:val="center"/>
              <w:rPr>
                <w:sz w:val="18"/>
                <w:szCs w:val="18"/>
              </w:rPr>
            </w:pPr>
            <w:r w:rsidRPr="002C3056">
              <w:rPr>
                <w:sz w:val="18"/>
                <w:szCs w:val="18"/>
              </w:rPr>
              <w:t>753</w:t>
            </w:r>
          </w:p>
        </w:tc>
        <w:tc>
          <w:tcPr>
            <w:tcW w:w="993" w:type="dxa"/>
            <w:hideMark/>
          </w:tcPr>
          <w:p w14:paraId="58355743" w14:textId="77777777" w:rsidR="00EB75EE" w:rsidRPr="002C3056" w:rsidRDefault="00EB75EE" w:rsidP="005050FA">
            <w:pPr>
              <w:pStyle w:val="NormalWeb"/>
              <w:jc w:val="center"/>
              <w:rPr>
                <w:sz w:val="18"/>
                <w:szCs w:val="18"/>
              </w:rPr>
            </w:pPr>
            <w:r w:rsidRPr="002C3056">
              <w:rPr>
                <w:sz w:val="18"/>
                <w:szCs w:val="18"/>
              </w:rPr>
              <w:t>11</w:t>
            </w:r>
          </w:p>
        </w:tc>
        <w:tc>
          <w:tcPr>
            <w:tcW w:w="992" w:type="dxa"/>
            <w:hideMark/>
          </w:tcPr>
          <w:p w14:paraId="11619895" w14:textId="77777777" w:rsidR="00EB75EE" w:rsidRPr="002C3056" w:rsidRDefault="00EB75EE" w:rsidP="005050FA">
            <w:pPr>
              <w:pStyle w:val="NormalWeb"/>
              <w:jc w:val="center"/>
              <w:rPr>
                <w:sz w:val="18"/>
                <w:szCs w:val="18"/>
              </w:rPr>
            </w:pPr>
            <w:r w:rsidRPr="002C3056">
              <w:rPr>
                <w:sz w:val="18"/>
                <w:szCs w:val="18"/>
              </w:rPr>
              <w:t>1.5</w:t>
            </w:r>
          </w:p>
        </w:tc>
        <w:tc>
          <w:tcPr>
            <w:tcW w:w="850" w:type="dxa"/>
            <w:hideMark/>
          </w:tcPr>
          <w:p w14:paraId="68274D8A" w14:textId="77777777" w:rsidR="00EB75EE" w:rsidRPr="002C3056" w:rsidRDefault="00EB75EE" w:rsidP="005050FA">
            <w:pPr>
              <w:pStyle w:val="NormalWeb"/>
              <w:jc w:val="center"/>
              <w:rPr>
                <w:sz w:val="18"/>
                <w:szCs w:val="18"/>
              </w:rPr>
            </w:pPr>
            <w:r w:rsidRPr="002C3056">
              <w:rPr>
                <w:sz w:val="18"/>
                <w:szCs w:val="18"/>
              </w:rPr>
              <w:t>12</w:t>
            </w:r>
          </w:p>
        </w:tc>
        <w:tc>
          <w:tcPr>
            <w:tcW w:w="851" w:type="dxa"/>
            <w:hideMark/>
          </w:tcPr>
          <w:p w14:paraId="46D696ED" w14:textId="77777777" w:rsidR="00EB75EE" w:rsidRPr="002C3056" w:rsidRDefault="00EB75EE" w:rsidP="005050FA">
            <w:pPr>
              <w:pStyle w:val="NormalWeb"/>
              <w:jc w:val="center"/>
              <w:rPr>
                <w:sz w:val="18"/>
                <w:szCs w:val="18"/>
              </w:rPr>
            </w:pPr>
            <w:r w:rsidRPr="002C3056">
              <w:rPr>
                <w:sz w:val="18"/>
                <w:szCs w:val="18"/>
              </w:rPr>
              <w:t>1.6</w:t>
            </w:r>
          </w:p>
        </w:tc>
        <w:tc>
          <w:tcPr>
            <w:tcW w:w="709" w:type="dxa"/>
            <w:hideMark/>
          </w:tcPr>
          <w:p w14:paraId="3168DC3D" w14:textId="77777777" w:rsidR="00EB75EE" w:rsidRPr="002C3056" w:rsidRDefault="00EB75EE" w:rsidP="005050FA">
            <w:pPr>
              <w:pStyle w:val="NormalWeb"/>
              <w:jc w:val="center"/>
              <w:rPr>
                <w:sz w:val="18"/>
                <w:szCs w:val="18"/>
              </w:rPr>
            </w:pPr>
            <w:r w:rsidRPr="002C3056">
              <w:rPr>
                <w:sz w:val="18"/>
                <w:szCs w:val="18"/>
              </w:rPr>
              <w:t>174</w:t>
            </w:r>
          </w:p>
        </w:tc>
        <w:tc>
          <w:tcPr>
            <w:tcW w:w="667" w:type="dxa"/>
            <w:hideMark/>
          </w:tcPr>
          <w:p w14:paraId="1ED5D758" w14:textId="77777777" w:rsidR="00EB75EE" w:rsidRPr="002C3056" w:rsidRDefault="00EB75EE" w:rsidP="005050FA">
            <w:pPr>
              <w:pStyle w:val="NormalWeb"/>
              <w:jc w:val="center"/>
              <w:rPr>
                <w:sz w:val="18"/>
                <w:szCs w:val="18"/>
              </w:rPr>
            </w:pPr>
            <w:r w:rsidRPr="002C3056">
              <w:rPr>
                <w:sz w:val="18"/>
                <w:szCs w:val="18"/>
              </w:rPr>
              <w:t>23.1</w:t>
            </w:r>
          </w:p>
        </w:tc>
        <w:tc>
          <w:tcPr>
            <w:tcW w:w="750" w:type="dxa"/>
            <w:hideMark/>
          </w:tcPr>
          <w:p w14:paraId="0CB313E1" w14:textId="77777777" w:rsidR="00EB75EE" w:rsidRPr="002C3056" w:rsidRDefault="00EB75EE" w:rsidP="005050FA">
            <w:pPr>
              <w:pStyle w:val="NormalWeb"/>
              <w:jc w:val="center"/>
              <w:rPr>
                <w:sz w:val="18"/>
                <w:szCs w:val="18"/>
              </w:rPr>
            </w:pPr>
            <w:r w:rsidRPr="002C3056">
              <w:rPr>
                <w:sz w:val="18"/>
                <w:szCs w:val="18"/>
              </w:rPr>
              <w:t>204</w:t>
            </w:r>
          </w:p>
        </w:tc>
        <w:tc>
          <w:tcPr>
            <w:tcW w:w="685" w:type="dxa"/>
            <w:hideMark/>
          </w:tcPr>
          <w:p w14:paraId="4D0E4819" w14:textId="77777777" w:rsidR="00EB75EE" w:rsidRPr="002C3056" w:rsidRDefault="00EB75EE" w:rsidP="005050FA">
            <w:pPr>
              <w:pStyle w:val="NormalWeb"/>
              <w:jc w:val="center"/>
              <w:rPr>
                <w:sz w:val="18"/>
                <w:szCs w:val="18"/>
              </w:rPr>
            </w:pPr>
            <w:r w:rsidRPr="002C3056">
              <w:rPr>
                <w:sz w:val="18"/>
                <w:szCs w:val="18"/>
              </w:rPr>
              <w:t>27.1</w:t>
            </w:r>
          </w:p>
        </w:tc>
      </w:tr>
      <w:tr w:rsidR="0054264D" w:rsidRPr="002C3056" w14:paraId="7343D441" w14:textId="77777777" w:rsidTr="0054264D">
        <w:trPr>
          <w:cnfStyle w:val="000000010000" w:firstRow="0" w:lastRow="0" w:firstColumn="0" w:lastColumn="0" w:oddVBand="0" w:evenVBand="0" w:oddHBand="0" w:evenHBand="1" w:firstRowFirstColumn="0" w:firstRowLastColumn="0" w:lastRowFirstColumn="0" w:lastRowLastColumn="0"/>
        </w:trPr>
        <w:tc>
          <w:tcPr>
            <w:tcW w:w="2552" w:type="dxa"/>
            <w:hideMark/>
          </w:tcPr>
          <w:p w14:paraId="2BACDDD2" w14:textId="77777777" w:rsidR="00EB75EE" w:rsidRPr="002C3056" w:rsidRDefault="00EB75EE">
            <w:pPr>
              <w:pStyle w:val="NormalWeb"/>
              <w:rPr>
                <w:sz w:val="18"/>
                <w:szCs w:val="18"/>
              </w:rPr>
            </w:pPr>
            <w:r w:rsidRPr="002C3056">
              <w:rPr>
                <w:sz w:val="18"/>
                <w:szCs w:val="18"/>
              </w:rPr>
              <w:t>Western Australia remote</w:t>
            </w:r>
          </w:p>
        </w:tc>
        <w:tc>
          <w:tcPr>
            <w:tcW w:w="1417" w:type="dxa"/>
            <w:hideMark/>
          </w:tcPr>
          <w:p w14:paraId="21C6834E" w14:textId="77777777" w:rsidR="00EB75EE" w:rsidRPr="002C3056" w:rsidRDefault="00EB75EE" w:rsidP="005050FA">
            <w:pPr>
              <w:pStyle w:val="NormalWeb"/>
              <w:jc w:val="center"/>
              <w:rPr>
                <w:sz w:val="18"/>
                <w:szCs w:val="18"/>
              </w:rPr>
            </w:pPr>
            <w:r w:rsidRPr="002C3056">
              <w:rPr>
                <w:sz w:val="18"/>
                <w:szCs w:val="18"/>
              </w:rPr>
              <w:t>85</w:t>
            </w:r>
          </w:p>
        </w:tc>
        <w:tc>
          <w:tcPr>
            <w:tcW w:w="993" w:type="dxa"/>
            <w:hideMark/>
          </w:tcPr>
          <w:p w14:paraId="57A7FBC9" w14:textId="77777777" w:rsidR="00EB75EE" w:rsidRPr="002C3056" w:rsidRDefault="00EB75EE" w:rsidP="005050FA">
            <w:pPr>
              <w:pStyle w:val="NormalWeb"/>
              <w:jc w:val="center"/>
              <w:rPr>
                <w:sz w:val="18"/>
                <w:szCs w:val="18"/>
              </w:rPr>
            </w:pPr>
            <w:r w:rsidRPr="002C3056">
              <w:rPr>
                <w:sz w:val="18"/>
                <w:szCs w:val="18"/>
              </w:rPr>
              <w:t>2</w:t>
            </w:r>
          </w:p>
        </w:tc>
        <w:tc>
          <w:tcPr>
            <w:tcW w:w="992" w:type="dxa"/>
            <w:hideMark/>
          </w:tcPr>
          <w:p w14:paraId="62732D8D" w14:textId="77777777" w:rsidR="00EB75EE" w:rsidRPr="002C3056" w:rsidRDefault="00EB75EE" w:rsidP="005050FA">
            <w:pPr>
              <w:pStyle w:val="NormalWeb"/>
              <w:jc w:val="center"/>
              <w:rPr>
                <w:sz w:val="18"/>
                <w:szCs w:val="18"/>
              </w:rPr>
            </w:pPr>
            <w:r w:rsidRPr="002C3056">
              <w:rPr>
                <w:sz w:val="18"/>
                <w:szCs w:val="18"/>
              </w:rPr>
              <w:t>2.4</w:t>
            </w:r>
          </w:p>
        </w:tc>
        <w:tc>
          <w:tcPr>
            <w:tcW w:w="850" w:type="dxa"/>
            <w:hideMark/>
          </w:tcPr>
          <w:p w14:paraId="77A76AC3" w14:textId="77777777" w:rsidR="00EB75EE" w:rsidRPr="002C3056" w:rsidRDefault="00EB75EE" w:rsidP="005050FA">
            <w:pPr>
              <w:pStyle w:val="NormalWeb"/>
              <w:jc w:val="center"/>
              <w:rPr>
                <w:sz w:val="18"/>
                <w:szCs w:val="18"/>
              </w:rPr>
            </w:pPr>
            <w:r w:rsidRPr="002C3056">
              <w:rPr>
                <w:sz w:val="18"/>
                <w:szCs w:val="18"/>
              </w:rPr>
              <w:t>1</w:t>
            </w:r>
          </w:p>
        </w:tc>
        <w:tc>
          <w:tcPr>
            <w:tcW w:w="851" w:type="dxa"/>
            <w:hideMark/>
          </w:tcPr>
          <w:p w14:paraId="6CB7B44C" w14:textId="77777777" w:rsidR="00EB75EE" w:rsidRPr="002C3056" w:rsidRDefault="00EB75EE" w:rsidP="005050FA">
            <w:pPr>
              <w:pStyle w:val="NormalWeb"/>
              <w:jc w:val="center"/>
              <w:rPr>
                <w:sz w:val="18"/>
                <w:szCs w:val="18"/>
              </w:rPr>
            </w:pPr>
            <w:r w:rsidRPr="002C3056">
              <w:rPr>
                <w:sz w:val="18"/>
                <w:szCs w:val="18"/>
              </w:rPr>
              <w:t>1.2</w:t>
            </w:r>
          </w:p>
        </w:tc>
        <w:tc>
          <w:tcPr>
            <w:tcW w:w="709" w:type="dxa"/>
            <w:hideMark/>
          </w:tcPr>
          <w:p w14:paraId="5E8CB261" w14:textId="77777777" w:rsidR="00EB75EE" w:rsidRPr="002C3056" w:rsidRDefault="00EB75EE" w:rsidP="005050FA">
            <w:pPr>
              <w:pStyle w:val="NormalWeb"/>
              <w:jc w:val="center"/>
              <w:rPr>
                <w:sz w:val="18"/>
                <w:szCs w:val="18"/>
              </w:rPr>
            </w:pPr>
            <w:r w:rsidRPr="002C3056">
              <w:rPr>
                <w:sz w:val="18"/>
                <w:szCs w:val="18"/>
              </w:rPr>
              <w:t>6</w:t>
            </w:r>
          </w:p>
        </w:tc>
        <w:tc>
          <w:tcPr>
            <w:tcW w:w="667" w:type="dxa"/>
            <w:hideMark/>
          </w:tcPr>
          <w:p w14:paraId="56A42D4C" w14:textId="77777777" w:rsidR="00EB75EE" w:rsidRPr="002C3056" w:rsidRDefault="00EB75EE" w:rsidP="005050FA">
            <w:pPr>
              <w:pStyle w:val="NormalWeb"/>
              <w:jc w:val="center"/>
              <w:rPr>
                <w:sz w:val="18"/>
                <w:szCs w:val="18"/>
              </w:rPr>
            </w:pPr>
            <w:r w:rsidRPr="002C3056">
              <w:rPr>
                <w:sz w:val="18"/>
                <w:szCs w:val="18"/>
              </w:rPr>
              <w:t>7.1</w:t>
            </w:r>
          </w:p>
        </w:tc>
        <w:tc>
          <w:tcPr>
            <w:tcW w:w="750" w:type="dxa"/>
            <w:hideMark/>
          </w:tcPr>
          <w:p w14:paraId="736A9253" w14:textId="77777777" w:rsidR="00EB75EE" w:rsidRPr="002C3056" w:rsidRDefault="00EB75EE" w:rsidP="005050FA">
            <w:pPr>
              <w:pStyle w:val="NormalWeb"/>
              <w:jc w:val="center"/>
              <w:rPr>
                <w:sz w:val="18"/>
                <w:szCs w:val="18"/>
              </w:rPr>
            </w:pPr>
            <w:r w:rsidRPr="002C3056">
              <w:rPr>
                <w:sz w:val="18"/>
                <w:szCs w:val="18"/>
              </w:rPr>
              <w:t>7</w:t>
            </w:r>
          </w:p>
        </w:tc>
        <w:tc>
          <w:tcPr>
            <w:tcW w:w="685" w:type="dxa"/>
            <w:hideMark/>
          </w:tcPr>
          <w:p w14:paraId="5A7C7290" w14:textId="77777777" w:rsidR="00EB75EE" w:rsidRPr="002C3056" w:rsidRDefault="00EB75EE" w:rsidP="005050FA">
            <w:pPr>
              <w:pStyle w:val="NormalWeb"/>
              <w:jc w:val="center"/>
              <w:rPr>
                <w:sz w:val="18"/>
                <w:szCs w:val="18"/>
              </w:rPr>
            </w:pPr>
            <w:r w:rsidRPr="002C3056">
              <w:rPr>
                <w:sz w:val="18"/>
                <w:szCs w:val="18"/>
              </w:rPr>
              <w:t>8.2</w:t>
            </w:r>
          </w:p>
        </w:tc>
      </w:tr>
      <w:tr w:rsidR="0054264D" w:rsidRPr="002C3056" w14:paraId="3A3E3AD9" w14:textId="77777777" w:rsidTr="0054264D">
        <w:tc>
          <w:tcPr>
            <w:tcW w:w="2552" w:type="dxa"/>
            <w:shd w:val="clear" w:color="auto" w:fill="FDE9D9" w:themeFill="accent6" w:themeFillTint="33"/>
            <w:hideMark/>
          </w:tcPr>
          <w:p w14:paraId="0C32A891" w14:textId="77777777" w:rsidR="00EB75EE" w:rsidRPr="002C3056" w:rsidRDefault="00EB75EE">
            <w:pPr>
              <w:pStyle w:val="NormalWeb"/>
              <w:rPr>
                <w:b/>
                <w:sz w:val="18"/>
                <w:szCs w:val="18"/>
              </w:rPr>
            </w:pPr>
            <w:r w:rsidRPr="002C3056">
              <w:rPr>
                <w:b/>
                <w:sz w:val="18"/>
                <w:szCs w:val="18"/>
              </w:rPr>
              <w:t>Australia</w:t>
            </w:r>
          </w:p>
        </w:tc>
        <w:tc>
          <w:tcPr>
            <w:tcW w:w="1417" w:type="dxa"/>
            <w:shd w:val="clear" w:color="auto" w:fill="FDE9D9" w:themeFill="accent6" w:themeFillTint="33"/>
            <w:hideMark/>
          </w:tcPr>
          <w:p w14:paraId="0E798C55" w14:textId="77777777" w:rsidR="00EB75EE" w:rsidRPr="002C3056" w:rsidRDefault="00EB75EE" w:rsidP="005050FA">
            <w:pPr>
              <w:pStyle w:val="NormalWeb"/>
              <w:jc w:val="center"/>
              <w:rPr>
                <w:b/>
                <w:sz w:val="18"/>
                <w:szCs w:val="18"/>
              </w:rPr>
            </w:pPr>
            <w:r w:rsidRPr="002C3056">
              <w:rPr>
                <w:b/>
                <w:sz w:val="18"/>
                <w:szCs w:val="18"/>
              </w:rPr>
              <w:t>9,668</w:t>
            </w:r>
          </w:p>
        </w:tc>
        <w:tc>
          <w:tcPr>
            <w:tcW w:w="993" w:type="dxa"/>
            <w:shd w:val="clear" w:color="auto" w:fill="FDE9D9" w:themeFill="accent6" w:themeFillTint="33"/>
            <w:hideMark/>
          </w:tcPr>
          <w:p w14:paraId="6809618F" w14:textId="77777777" w:rsidR="00EB75EE" w:rsidRPr="002C3056" w:rsidRDefault="00EB75EE" w:rsidP="005050FA">
            <w:pPr>
              <w:pStyle w:val="NormalWeb"/>
              <w:jc w:val="center"/>
              <w:rPr>
                <w:b/>
                <w:sz w:val="18"/>
                <w:szCs w:val="18"/>
              </w:rPr>
            </w:pPr>
            <w:r w:rsidRPr="002C3056">
              <w:rPr>
                <w:b/>
                <w:sz w:val="18"/>
                <w:szCs w:val="18"/>
              </w:rPr>
              <w:t>126</w:t>
            </w:r>
          </w:p>
        </w:tc>
        <w:tc>
          <w:tcPr>
            <w:tcW w:w="992" w:type="dxa"/>
            <w:shd w:val="clear" w:color="auto" w:fill="FDE9D9" w:themeFill="accent6" w:themeFillTint="33"/>
            <w:hideMark/>
          </w:tcPr>
          <w:p w14:paraId="4AF08C22" w14:textId="77777777" w:rsidR="00EB75EE" w:rsidRPr="002C3056" w:rsidRDefault="00EB75EE" w:rsidP="005050FA">
            <w:pPr>
              <w:pStyle w:val="NormalWeb"/>
              <w:jc w:val="center"/>
              <w:rPr>
                <w:b/>
                <w:sz w:val="18"/>
                <w:szCs w:val="18"/>
              </w:rPr>
            </w:pPr>
            <w:r w:rsidRPr="002C3056">
              <w:rPr>
                <w:b/>
                <w:sz w:val="18"/>
                <w:szCs w:val="18"/>
              </w:rPr>
              <w:t>1.30</w:t>
            </w:r>
          </w:p>
        </w:tc>
        <w:tc>
          <w:tcPr>
            <w:tcW w:w="850" w:type="dxa"/>
            <w:shd w:val="clear" w:color="auto" w:fill="FDE9D9" w:themeFill="accent6" w:themeFillTint="33"/>
            <w:hideMark/>
          </w:tcPr>
          <w:p w14:paraId="093CBE62" w14:textId="77777777" w:rsidR="00EB75EE" w:rsidRPr="002C3056" w:rsidRDefault="00EB75EE" w:rsidP="005050FA">
            <w:pPr>
              <w:pStyle w:val="NormalWeb"/>
              <w:jc w:val="center"/>
              <w:rPr>
                <w:b/>
                <w:sz w:val="18"/>
                <w:szCs w:val="18"/>
              </w:rPr>
            </w:pPr>
            <w:r w:rsidRPr="002C3056">
              <w:rPr>
                <w:b/>
                <w:sz w:val="18"/>
                <w:szCs w:val="18"/>
              </w:rPr>
              <w:t>448</w:t>
            </w:r>
          </w:p>
        </w:tc>
        <w:tc>
          <w:tcPr>
            <w:tcW w:w="851" w:type="dxa"/>
            <w:shd w:val="clear" w:color="auto" w:fill="FDE9D9" w:themeFill="accent6" w:themeFillTint="33"/>
            <w:hideMark/>
          </w:tcPr>
          <w:p w14:paraId="7A607AC2" w14:textId="77777777" w:rsidR="00EB75EE" w:rsidRPr="002C3056" w:rsidRDefault="00EB75EE" w:rsidP="005050FA">
            <w:pPr>
              <w:pStyle w:val="NormalWeb"/>
              <w:jc w:val="center"/>
              <w:rPr>
                <w:b/>
                <w:sz w:val="18"/>
                <w:szCs w:val="18"/>
              </w:rPr>
            </w:pPr>
            <w:r w:rsidRPr="002C3056">
              <w:rPr>
                <w:b/>
                <w:sz w:val="18"/>
                <w:szCs w:val="18"/>
              </w:rPr>
              <w:t>4.6</w:t>
            </w:r>
          </w:p>
        </w:tc>
        <w:tc>
          <w:tcPr>
            <w:tcW w:w="709" w:type="dxa"/>
            <w:shd w:val="clear" w:color="auto" w:fill="FDE9D9" w:themeFill="accent6" w:themeFillTint="33"/>
            <w:hideMark/>
          </w:tcPr>
          <w:p w14:paraId="6252576A" w14:textId="77777777" w:rsidR="00EB75EE" w:rsidRPr="002C3056" w:rsidRDefault="00EB75EE" w:rsidP="005050FA">
            <w:pPr>
              <w:pStyle w:val="NormalWeb"/>
              <w:jc w:val="center"/>
              <w:rPr>
                <w:b/>
                <w:sz w:val="18"/>
                <w:szCs w:val="18"/>
              </w:rPr>
            </w:pPr>
            <w:r w:rsidRPr="002C3056">
              <w:rPr>
                <w:b/>
                <w:sz w:val="18"/>
                <w:szCs w:val="18"/>
              </w:rPr>
              <w:t>2,136</w:t>
            </w:r>
          </w:p>
        </w:tc>
        <w:tc>
          <w:tcPr>
            <w:tcW w:w="667" w:type="dxa"/>
            <w:shd w:val="clear" w:color="auto" w:fill="FDE9D9" w:themeFill="accent6" w:themeFillTint="33"/>
            <w:hideMark/>
          </w:tcPr>
          <w:p w14:paraId="0BF06FED" w14:textId="77777777" w:rsidR="00EB75EE" w:rsidRPr="002C3056" w:rsidRDefault="00EB75EE" w:rsidP="005050FA">
            <w:pPr>
              <w:pStyle w:val="NormalWeb"/>
              <w:jc w:val="center"/>
              <w:rPr>
                <w:b/>
                <w:sz w:val="18"/>
                <w:szCs w:val="18"/>
              </w:rPr>
            </w:pPr>
            <w:r w:rsidRPr="002C3056">
              <w:rPr>
                <w:b/>
                <w:sz w:val="18"/>
                <w:szCs w:val="18"/>
              </w:rPr>
              <w:t>22.1</w:t>
            </w:r>
          </w:p>
        </w:tc>
        <w:tc>
          <w:tcPr>
            <w:tcW w:w="750" w:type="dxa"/>
            <w:shd w:val="clear" w:color="auto" w:fill="FDE9D9" w:themeFill="accent6" w:themeFillTint="33"/>
            <w:hideMark/>
          </w:tcPr>
          <w:p w14:paraId="22029896" w14:textId="77777777" w:rsidR="00EB75EE" w:rsidRPr="002C3056" w:rsidRDefault="00EB75EE" w:rsidP="005050FA">
            <w:pPr>
              <w:pStyle w:val="NormalWeb"/>
              <w:jc w:val="center"/>
              <w:rPr>
                <w:b/>
                <w:sz w:val="18"/>
                <w:szCs w:val="18"/>
              </w:rPr>
            </w:pPr>
            <w:r w:rsidRPr="002C3056">
              <w:rPr>
                <w:b/>
                <w:sz w:val="18"/>
                <w:szCs w:val="18"/>
              </w:rPr>
              <w:t>2,743</w:t>
            </w:r>
          </w:p>
        </w:tc>
        <w:tc>
          <w:tcPr>
            <w:tcW w:w="685" w:type="dxa"/>
            <w:shd w:val="clear" w:color="auto" w:fill="FDE9D9" w:themeFill="accent6" w:themeFillTint="33"/>
            <w:hideMark/>
          </w:tcPr>
          <w:p w14:paraId="58A482E4" w14:textId="77777777" w:rsidR="00EB75EE" w:rsidRPr="002C3056" w:rsidRDefault="00EB75EE" w:rsidP="005050FA">
            <w:pPr>
              <w:pStyle w:val="NormalWeb"/>
              <w:jc w:val="center"/>
              <w:rPr>
                <w:b/>
                <w:sz w:val="18"/>
                <w:szCs w:val="18"/>
              </w:rPr>
            </w:pPr>
            <w:r w:rsidRPr="002C3056">
              <w:rPr>
                <w:b/>
                <w:sz w:val="18"/>
                <w:szCs w:val="18"/>
              </w:rPr>
              <w:t>28.4</w:t>
            </w:r>
          </w:p>
        </w:tc>
      </w:tr>
    </w:tbl>
    <w:p w14:paraId="00645E65" w14:textId="77777777" w:rsidR="00EB75EE" w:rsidRPr="00211E37" w:rsidRDefault="00EB75EE" w:rsidP="00211E37">
      <w:pPr>
        <w:pStyle w:val="Heading2"/>
      </w:pPr>
      <w:r w:rsidRPr="00211E37">
        <w:t xml:space="preserve">Ceftriaxone </w:t>
      </w:r>
    </w:p>
    <w:p w14:paraId="2585E7B7" w14:textId="77777777" w:rsidR="00EB75EE" w:rsidRDefault="00EB75EE" w:rsidP="00211E37">
      <w:r>
        <w:t>Gonococcal isolates with decreased susceptibility to ceftriaxone (MIC values ≥ 0.06 mg/L) have been detected in Australia since 2001; the proportion reported increased to 4.4% in 2012, before doubling to 8.8% in 2013. From 2014, coincident with introduction of dual ceftriaxone and azithromycin therapy, the proportion of isolates with decreased susceptibility to ceftriaxone fell annually to 1.1% in 2017 before increasing slightly to 1.7% in 2018. The 2019 rate of ceftriaxone decreased susceptibility fell to 1.3%, consistent with an overall declining trend (see Table 4 and Table 5)</w:t>
      </w:r>
      <w:r>
        <w:rPr>
          <w:rStyle w:val="Strong"/>
        </w:rPr>
        <w:t xml:space="preserve">. </w:t>
      </w:r>
      <w:r>
        <w:t xml:space="preserve">From 2016 to 2018 the proportion of isolates with an MIC value of ≥ 0.125 mg/L for ceftriaxone remained stable in the range 0.04–0.06%, however in 2019, this increased to 0.11% (Table 5). In 2019 there were 5 NG clinical isolates with ceftriaxone MIC values ≥ 0.25mg/L: from Victoria (3), non-remote Western Australia (1) and New South Wales (1). All had the </w:t>
      </w:r>
      <w:r w:rsidRPr="00D2062F">
        <w:rPr>
          <w:rStyle w:val="Emphasis"/>
          <w:b w:val="0"/>
        </w:rPr>
        <w:t>penA-</w:t>
      </w:r>
      <w:r>
        <w:t>60 allele thus were resistant to penicillin, as well as to ciprofloxacin, but all were susceptible to azithromycin.</w:t>
      </w:r>
    </w:p>
    <w:p w14:paraId="1D17129A" w14:textId="77777777" w:rsidR="00CD655C" w:rsidRDefault="00CD655C">
      <w:pPr>
        <w:rPr>
          <w:b/>
        </w:rPr>
      </w:pPr>
      <w:r>
        <w:br w:type="page"/>
      </w:r>
    </w:p>
    <w:p w14:paraId="19316BE0" w14:textId="77777777" w:rsidR="00EB75EE" w:rsidRDefault="00EB75EE" w:rsidP="00CD655C">
      <w:pPr>
        <w:pStyle w:val="CDIFigures"/>
      </w:pPr>
      <w:r>
        <w:lastRenderedPageBreak/>
        <w:t>Table 4: Number and proportion (%) of gonococcal isolates with decreased susceptibility to ceftriaxone (MIC ≥0.06mg/L), Australia, 2013 to 2019,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and proportion as a percentage of gonococcal isolates with decreased susceptibility to ceftriaxone (defined in this program as an MIC value in the range ≥0.06mg/L) over the years 2013 to 2019, by state or territory. In Australia the proportion of decreased susceptibility to ceftriaxone was highest in 2013 at 8.8% but then decreased to 1.3% in 2019."/>
      </w:tblPr>
      <w:tblGrid>
        <w:gridCol w:w="2395"/>
        <w:gridCol w:w="574"/>
        <w:gridCol w:w="575"/>
        <w:gridCol w:w="574"/>
        <w:gridCol w:w="575"/>
        <w:gridCol w:w="575"/>
        <w:gridCol w:w="574"/>
        <w:gridCol w:w="575"/>
        <w:gridCol w:w="575"/>
        <w:gridCol w:w="574"/>
        <w:gridCol w:w="575"/>
        <w:gridCol w:w="575"/>
        <w:gridCol w:w="574"/>
        <w:gridCol w:w="575"/>
        <w:gridCol w:w="575"/>
      </w:tblGrid>
      <w:tr w:rsidR="00D455BD" w:rsidRPr="00AC4025" w14:paraId="13FECA4A" w14:textId="77777777" w:rsidTr="0066642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18042042" w14:textId="77777777" w:rsidR="00EB75EE" w:rsidRPr="00AC4025" w:rsidRDefault="00EB75EE">
            <w:pPr>
              <w:pStyle w:val="NormalWeb"/>
              <w:rPr>
                <w:color w:val="FFFFFF" w:themeColor="background1"/>
                <w:sz w:val="18"/>
                <w:szCs w:val="18"/>
              </w:rPr>
            </w:pPr>
            <w:r w:rsidRPr="00AC4025">
              <w:rPr>
                <w:color w:val="FFFFFF" w:themeColor="background1"/>
                <w:sz w:val="18"/>
                <w:szCs w:val="18"/>
              </w:rPr>
              <w:t>State or territory</w:t>
            </w:r>
          </w:p>
        </w:tc>
        <w:tc>
          <w:tcPr>
            <w:tcW w:w="8045" w:type="dxa"/>
            <w:gridSpan w:val="14"/>
            <w:tcBorders>
              <w:left w:val="single" w:sz="2" w:space="0" w:color="FFFFFF" w:themeColor="background1"/>
              <w:bottom w:val="single" w:sz="2" w:space="0" w:color="FFFFFF" w:themeColor="background1"/>
            </w:tcBorders>
            <w:hideMark/>
          </w:tcPr>
          <w:p w14:paraId="71563A12"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Decreased susceptibility to ceftriaxone</w:t>
            </w:r>
          </w:p>
        </w:tc>
      </w:tr>
      <w:tr w:rsidR="00D455BD" w:rsidRPr="00AC4025" w14:paraId="7586BD46" w14:textId="77777777" w:rsidTr="0066642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30A33534" w14:textId="77777777" w:rsidR="00EB75EE" w:rsidRPr="00AC4025" w:rsidRDefault="00EB75EE">
            <w:pPr>
              <w:rPr>
                <w:color w:val="FFFFFF" w:themeColor="background1"/>
                <w:sz w:val="18"/>
                <w:szCs w:val="18"/>
              </w:rPr>
            </w:pP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03CC7D6"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2013</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6CB1C35"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2014</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905F154"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2015</w:t>
            </w:r>
          </w:p>
        </w:tc>
        <w:tc>
          <w:tcPr>
            <w:tcW w:w="11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407DDBC"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2016</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CD2544F"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2017</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BF91A76"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2018</w:t>
            </w:r>
          </w:p>
        </w:tc>
        <w:tc>
          <w:tcPr>
            <w:tcW w:w="1150" w:type="dxa"/>
            <w:gridSpan w:val="2"/>
            <w:tcBorders>
              <w:top w:val="single" w:sz="2" w:space="0" w:color="FFFFFF" w:themeColor="background1"/>
              <w:left w:val="single" w:sz="2" w:space="0" w:color="FFFFFF" w:themeColor="background1"/>
              <w:bottom w:val="single" w:sz="2" w:space="0" w:color="FFFFFF" w:themeColor="background1"/>
            </w:tcBorders>
            <w:hideMark/>
          </w:tcPr>
          <w:p w14:paraId="2E7910D0"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2019</w:t>
            </w:r>
          </w:p>
        </w:tc>
      </w:tr>
      <w:tr w:rsidR="00D455BD" w:rsidRPr="00AC4025" w14:paraId="037A5144" w14:textId="77777777" w:rsidTr="0066642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D180BBB" w14:textId="77777777" w:rsidR="00EB75EE" w:rsidRPr="00AC4025" w:rsidRDefault="00EB75EE">
            <w:pPr>
              <w:rPr>
                <w:color w:val="FFFFFF" w:themeColor="background1"/>
                <w:sz w:val="18"/>
                <w:szCs w:val="18"/>
              </w:rPr>
            </w:pP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2E86F4F4"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0A6FFD53"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055613FA"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5249017C"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55CADD91"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62A2F69D"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20DBD74E"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2CDF7EE3"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1513A31C"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2D651814"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1A5985DE"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77715DE0"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532B5E79"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n</w:t>
            </w:r>
          </w:p>
        </w:tc>
        <w:tc>
          <w:tcPr>
            <w:tcW w:w="575" w:type="dxa"/>
            <w:tcBorders>
              <w:top w:val="single" w:sz="2" w:space="0" w:color="FFFFFF" w:themeColor="background1"/>
              <w:left w:val="single" w:sz="2" w:space="0" w:color="FFFFFF" w:themeColor="background1"/>
            </w:tcBorders>
            <w:hideMark/>
          </w:tcPr>
          <w:p w14:paraId="41D42ACA" w14:textId="77777777" w:rsidR="00EB75EE" w:rsidRPr="00AC4025" w:rsidRDefault="00EB75EE" w:rsidP="00A948F8">
            <w:pPr>
              <w:pStyle w:val="NormalWeb"/>
              <w:jc w:val="center"/>
              <w:rPr>
                <w:color w:val="FFFFFF" w:themeColor="background1"/>
                <w:sz w:val="18"/>
                <w:szCs w:val="18"/>
              </w:rPr>
            </w:pPr>
            <w:r w:rsidRPr="00AC4025">
              <w:rPr>
                <w:color w:val="FFFFFF" w:themeColor="background1"/>
                <w:sz w:val="18"/>
                <w:szCs w:val="18"/>
              </w:rPr>
              <w:t>%</w:t>
            </w:r>
          </w:p>
        </w:tc>
      </w:tr>
      <w:tr w:rsidR="00A948F8" w:rsidRPr="00AC4025" w14:paraId="1ACA2310" w14:textId="77777777" w:rsidTr="00A948F8">
        <w:tc>
          <w:tcPr>
            <w:tcW w:w="0" w:type="auto"/>
            <w:hideMark/>
          </w:tcPr>
          <w:p w14:paraId="068C54EE" w14:textId="77777777" w:rsidR="00EB75EE" w:rsidRPr="00AC4025" w:rsidRDefault="00EB75EE">
            <w:pPr>
              <w:pStyle w:val="NormalWeb"/>
              <w:rPr>
                <w:sz w:val="18"/>
                <w:szCs w:val="18"/>
              </w:rPr>
            </w:pPr>
            <w:r w:rsidRPr="00AC4025">
              <w:rPr>
                <w:sz w:val="18"/>
                <w:szCs w:val="18"/>
              </w:rPr>
              <w:t>Australian Capital Territory</w:t>
            </w:r>
          </w:p>
        </w:tc>
        <w:tc>
          <w:tcPr>
            <w:tcW w:w="574" w:type="dxa"/>
            <w:hideMark/>
          </w:tcPr>
          <w:p w14:paraId="50A2DCEA"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1301EE87"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4C286BA3"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45B627B4" w14:textId="77777777" w:rsidR="00EB75EE" w:rsidRPr="00AC4025" w:rsidRDefault="00EB75EE" w:rsidP="00A948F8">
            <w:pPr>
              <w:pStyle w:val="NormalWeb"/>
              <w:jc w:val="center"/>
              <w:rPr>
                <w:sz w:val="18"/>
                <w:szCs w:val="18"/>
              </w:rPr>
            </w:pPr>
            <w:r w:rsidRPr="00AC4025">
              <w:rPr>
                <w:sz w:val="18"/>
                <w:szCs w:val="18"/>
              </w:rPr>
              <w:t>2.7</w:t>
            </w:r>
          </w:p>
        </w:tc>
        <w:tc>
          <w:tcPr>
            <w:tcW w:w="575" w:type="dxa"/>
            <w:hideMark/>
          </w:tcPr>
          <w:p w14:paraId="781DF5E9"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306FDD76" w14:textId="77777777" w:rsidR="00EB75EE" w:rsidRPr="00AC4025" w:rsidRDefault="00EB75EE" w:rsidP="00A948F8">
            <w:pPr>
              <w:pStyle w:val="NormalWeb"/>
              <w:jc w:val="center"/>
              <w:rPr>
                <w:sz w:val="18"/>
                <w:szCs w:val="18"/>
              </w:rPr>
            </w:pPr>
            <w:r w:rsidRPr="00AC4025">
              <w:rPr>
                <w:sz w:val="18"/>
                <w:szCs w:val="18"/>
              </w:rPr>
              <w:t>0.0</w:t>
            </w:r>
          </w:p>
        </w:tc>
        <w:tc>
          <w:tcPr>
            <w:tcW w:w="575" w:type="dxa"/>
            <w:hideMark/>
          </w:tcPr>
          <w:p w14:paraId="4E8FCE69" w14:textId="77777777" w:rsidR="00EB75EE" w:rsidRPr="00AC4025" w:rsidRDefault="00EB75EE" w:rsidP="00A948F8">
            <w:pPr>
              <w:pStyle w:val="NormalWeb"/>
              <w:jc w:val="center"/>
              <w:rPr>
                <w:sz w:val="18"/>
                <w:szCs w:val="18"/>
              </w:rPr>
            </w:pPr>
            <w:r w:rsidRPr="00AC4025">
              <w:rPr>
                <w:sz w:val="18"/>
                <w:szCs w:val="18"/>
              </w:rPr>
              <w:t>1</w:t>
            </w:r>
          </w:p>
        </w:tc>
        <w:tc>
          <w:tcPr>
            <w:tcW w:w="575" w:type="dxa"/>
            <w:hideMark/>
          </w:tcPr>
          <w:p w14:paraId="7DEE641D" w14:textId="77777777" w:rsidR="00EB75EE" w:rsidRPr="00AC4025" w:rsidRDefault="00EB75EE" w:rsidP="00A948F8">
            <w:pPr>
              <w:pStyle w:val="NormalWeb"/>
              <w:jc w:val="center"/>
              <w:rPr>
                <w:sz w:val="18"/>
                <w:szCs w:val="18"/>
              </w:rPr>
            </w:pPr>
            <w:r w:rsidRPr="00AC4025">
              <w:rPr>
                <w:sz w:val="18"/>
                <w:szCs w:val="18"/>
              </w:rPr>
              <w:t>0.9</w:t>
            </w:r>
          </w:p>
        </w:tc>
        <w:tc>
          <w:tcPr>
            <w:tcW w:w="574" w:type="dxa"/>
            <w:hideMark/>
          </w:tcPr>
          <w:p w14:paraId="3D83A1CC"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7DE2F349"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069C321B" w14:textId="77777777" w:rsidR="00EB75EE" w:rsidRPr="00AC4025" w:rsidRDefault="00EB75EE" w:rsidP="00A948F8">
            <w:pPr>
              <w:pStyle w:val="NormalWeb"/>
              <w:jc w:val="center"/>
              <w:rPr>
                <w:sz w:val="18"/>
                <w:szCs w:val="18"/>
              </w:rPr>
            </w:pPr>
            <w:r w:rsidRPr="00AC4025">
              <w:rPr>
                <w:sz w:val="18"/>
                <w:szCs w:val="18"/>
              </w:rPr>
              <w:t>4</w:t>
            </w:r>
          </w:p>
        </w:tc>
        <w:tc>
          <w:tcPr>
            <w:tcW w:w="574" w:type="dxa"/>
            <w:hideMark/>
          </w:tcPr>
          <w:p w14:paraId="313AEF94" w14:textId="77777777" w:rsidR="00EB75EE" w:rsidRPr="00AC4025" w:rsidRDefault="00EB75EE" w:rsidP="00A948F8">
            <w:pPr>
              <w:pStyle w:val="NormalWeb"/>
              <w:jc w:val="center"/>
              <w:rPr>
                <w:sz w:val="18"/>
                <w:szCs w:val="18"/>
              </w:rPr>
            </w:pPr>
            <w:r w:rsidRPr="00AC4025">
              <w:rPr>
                <w:sz w:val="18"/>
                <w:szCs w:val="18"/>
              </w:rPr>
              <w:t>1.9</w:t>
            </w:r>
          </w:p>
        </w:tc>
        <w:tc>
          <w:tcPr>
            <w:tcW w:w="575" w:type="dxa"/>
            <w:hideMark/>
          </w:tcPr>
          <w:p w14:paraId="3D05DC54" w14:textId="77777777" w:rsidR="00EB75EE" w:rsidRPr="00AC4025" w:rsidRDefault="00EB75EE" w:rsidP="00A948F8">
            <w:pPr>
              <w:pStyle w:val="NormalWeb"/>
              <w:jc w:val="center"/>
              <w:rPr>
                <w:sz w:val="18"/>
                <w:szCs w:val="18"/>
              </w:rPr>
            </w:pPr>
            <w:r w:rsidRPr="00AC4025">
              <w:rPr>
                <w:sz w:val="18"/>
                <w:szCs w:val="18"/>
              </w:rPr>
              <w:t>1</w:t>
            </w:r>
          </w:p>
        </w:tc>
        <w:tc>
          <w:tcPr>
            <w:tcW w:w="575" w:type="dxa"/>
            <w:hideMark/>
          </w:tcPr>
          <w:p w14:paraId="24E25B02" w14:textId="77777777" w:rsidR="00EB75EE" w:rsidRPr="00AC4025" w:rsidRDefault="00EB75EE" w:rsidP="00A948F8">
            <w:pPr>
              <w:pStyle w:val="NormalWeb"/>
              <w:jc w:val="center"/>
              <w:rPr>
                <w:sz w:val="18"/>
                <w:szCs w:val="18"/>
              </w:rPr>
            </w:pPr>
            <w:r w:rsidRPr="00AC4025">
              <w:rPr>
                <w:sz w:val="18"/>
                <w:szCs w:val="18"/>
              </w:rPr>
              <w:t>0.5</w:t>
            </w:r>
          </w:p>
        </w:tc>
      </w:tr>
      <w:tr w:rsidR="00E16519" w:rsidRPr="00AC4025" w14:paraId="7D89BA98" w14:textId="77777777"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14:paraId="57AFCD4A" w14:textId="77777777" w:rsidR="00EB75EE" w:rsidRPr="00AC4025" w:rsidRDefault="00EB75EE">
            <w:pPr>
              <w:pStyle w:val="NormalWeb"/>
              <w:rPr>
                <w:sz w:val="18"/>
                <w:szCs w:val="18"/>
              </w:rPr>
            </w:pPr>
            <w:r w:rsidRPr="00AC4025">
              <w:rPr>
                <w:sz w:val="18"/>
                <w:szCs w:val="18"/>
              </w:rPr>
              <w:t>New South Wales</w:t>
            </w:r>
          </w:p>
        </w:tc>
        <w:tc>
          <w:tcPr>
            <w:tcW w:w="574" w:type="dxa"/>
            <w:hideMark/>
          </w:tcPr>
          <w:p w14:paraId="0E637DBB" w14:textId="77777777" w:rsidR="00EB75EE" w:rsidRPr="00AC4025" w:rsidRDefault="00EB75EE" w:rsidP="00A948F8">
            <w:pPr>
              <w:pStyle w:val="NormalWeb"/>
              <w:jc w:val="center"/>
              <w:rPr>
                <w:sz w:val="18"/>
                <w:szCs w:val="18"/>
              </w:rPr>
            </w:pPr>
            <w:r w:rsidRPr="00AC4025">
              <w:rPr>
                <w:sz w:val="18"/>
                <w:szCs w:val="18"/>
              </w:rPr>
              <w:t>183</w:t>
            </w:r>
          </w:p>
        </w:tc>
        <w:tc>
          <w:tcPr>
            <w:tcW w:w="575" w:type="dxa"/>
            <w:hideMark/>
          </w:tcPr>
          <w:p w14:paraId="19DB2D5A" w14:textId="77777777" w:rsidR="00EB75EE" w:rsidRPr="00AC4025" w:rsidRDefault="00EB75EE" w:rsidP="00A948F8">
            <w:pPr>
              <w:pStyle w:val="NormalWeb"/>
              <w:jc w:val="center"/>
              <w:rPr>
                <w:sz w:val="18"/>
                <w:szCs w:val="18"/>
              </w:rPr>
            </w:pPr>
            <w:r w:rsidRPr="00AC4025">
              <w:rPr>
                <w:sz w:val="18"/>
                <w:szCs w:val="18"/>
              </w:rPr>
              <w:t>11.8</w:t>
            </w:r>
          </w:p>
        </w:tc>
        <w:tc>
          <w:tcPr>
            <w:tcW w:w="574" w:type="dxa"/>
            <w:hideMark/>
          </w:tcPr>
          <w:p w14:paraId="086794F0" w14:textId="77777777" w:rsidR="00EB75EE" w:rsidRPr="00AC4025" w:rsidRDefault="00EB75EE" w:rsidP="00A948F8">
            <w:pPr>
              <w:pStyle w:val="NormalWeb"/>
              <w:jc w:val="center"/>
              <w:rPr>
                <w:sz w:val="18"/>
                <w:szCs w:val="18"/>
              </w:rPr>
            </w:pPr>
            <w:r w:rsidRPr="00AC4025">
              <w:rPr>
                <w:sz w:val="18"/>
                <w:szCs w:val="18"/>
              </w:rPr>
              <w:t>119</w:t>
            </w:r>
          </w:p>
        </w:tc>
        <w:tc>
          <w:tcPr>
            <w:tcW w:w="575" w:type="dxa"/>
            <w:hideMark/>
          </w:tcPr>
          <w:p w14:paraId="08C97A5B" w14:textId="77777777" w:rsidR="00EB75EE" w:rsidRPr="00AC4025" w:rsidRDefault="00EB75EE" w:rsidP="00A948F8">
            <w:pPr>
              <w:pStyle w:val="NormalWeb"/>
              <w:jc w:val="center"/>
              <w:rPr>
                <w:sz w:val="18"/>
                <w:szCs w:val="18"/>
              </w:rPr>
            </w:pPr>
            <w:r w:rsidRPr="00AC4025">
              <w:rPr>
                <w:sz w:val="18"/>
                <w:szCs w:val="18"/>
              </w:rPr>
              <w:t>7.1</w:t>
            </w:r>
          </w:p>
        </w:tc>
        <w:tc>
          <w:tcPr>
            <w:tcW w:w="575" w:type="dxa"/>
            <w:hideMark/>
          </w:tcPr>
          <w:p w14:paraId="3467AD41" w14:textId="77777777" w:rsidR="00EB75EE" w:rsidRPr="00AC4025" w:rsidRDefault="00EB75EE" w:rsidP="00A948F8">
            <w:pPr>
              <w:pStyle w:val="NormalWeb"/>
              <w:jc w:val="center"/>
              <w:rPr>
                <w:sz w:val="18"/>
                <w:szCs w:val="18"/>
              </w:rPr>
            </w:pPr>
            <w:r w:rsidRPr="00AC4025">
              <w:rPr>
                <w:sz w:val="18"/>
                <w:szCs w:val="18"/>
              </w:rPr>
              <w:t>52</w:t>
            </w:r>
          </w:p>
        </w:tc>
        <w:tc>
          <w:tcPr>
            <w:tcW w:w="574" w:type="dxa"/>
            <w:hideMark/>
          </w:tcPr>
          <w:p w14:paraId="086E794C" w14:textId="77777777" w:rsidR="00EB75EE" w:rsidRPr="00AC4025" w:rsidRDefault="00EB75EE" w:rsidP="00A948F8">
            <w:pPr>
              <w:pStyle w:val="NormalWeb"/>
              <w:jc w:val="center"/>
              <w:rPr>
                <w:sz w:val="18"/>
                <w:szCs w:val="18"/>
              </w:rPr>
            </w:pPr>
            <w:r w:rsidRPr="00AC4025">
              <w:rPr>
                <w:sz w:val="18"/>
                <w:szCs w:val="18"/>
              </w:rPr>
              <w:t>2.7</w:t>
            </w:r>
          </w:p>
        </w:tc>
        <w:tc>
          <w:tcPr>
            <w:tcW w:w="575" w:type="dxa"/>
            <w:hideMark/>
          </w:tcPr>
          <w:p w14:paraId="1130148E" w14:textId="77777777" w:rsidR="00EB75EE" w:rsidRPr="00AC4025" w:rsidRDefault="00EB75EE" w:rsidP="00A948F8">
            <w:pPr>
              <w:pStyle w:val="NormalWeb"/>
              <w:jc w:val="center"/>
              <w:rPr>
                <w:sz w:val="18"/>
                <w:szCs w:val="18"/>
              </w:rPr>
            </w:pPr>
            <w:r w:rsidRPr="00AC4025">
              <w:rPr>
                <w:sz w:val="18"/>
                <w:szCs w:val="18"/>
              </w:rPr>
              <w:t>45</w:t>
            </w:r>
          </w:p>
        </w:tc>
        <w:tc>
          <w:tcPr>
            <w:tcW w:w="575" w:type="dxa"/>
            <w:hideMark/>
          </w:tcPr>
          <w:p w14:paraId="7C914B0C" w14:textId="77777777" w:rsidR="00EB75EE" w:rsidRPr="00AC4025" w:rsidRDefault="00EB75EE" w:rsidP="00A948F8">
            <w:pPr>
              <w:pStyle w:val="NormalWeb"/>
              <w:jc w:val="center"/>
              <w:rPr>
                <w:sz w:val="18"/>
                <w:szCs w:val="18"/>
              </w:rPr>
            </w:pPr>
            <w:r w:rsidRPr="00AC4025">
              <w:rPr>
                <w:sz w:val="18"/>
                <w:szCs w:val="18"/>
              </w:rPr>
              <w:t>2.0</w:t>
            </w:r>
          </w:p>
        </w:tc>
        <w:tc>
          <w:tcPr>
            <w:tcW w:w="574" w:type="dxa"/>
            <w:hideMark/>
          </w:tcPr>
          <w:p w14:paraId="6CF905CA" w14:textId="77777777" w:rsidR="00EB75EE" w:rsidRPr="00AC4025" w:rsidRDefault="00EB75EE" w:rsidP="00A948F8">
            <w:pPr>
              <w:pStyle w:val="NormalWeb"/>
              <w:jc w:val="center"/>
              <w:rPr>
                <w:sz w:val="18"/>
                <w:szCs w:val="18"/>
              </w:rPr>
            </w:pPr>
            <w:r w:rsidRPr="00AC4025">
              <w:rPr>
                <w:sz w:val="18"/>
                <w:szCs w:val="18"/>
              </w:rPr>
              <w:t>13</w:t>
            </w:r>
          </w:p>
        </w:tc>
        <w:tc>
          <w:tcPr>
            <w:tcW w:w="575" w:type="dxa"/>
            <w:hideMark/>
          </w:tcPr>
          <w:p w14:paraId="28600F18" w14:textId="77777777" w:rsidR="00EB75EE" w:rsidRPr="00AC4025" w:rsidRDefault="00EB75EE" w:rsidP="00A948F8">
            <w:pPr>
              <w:pStyle w:val="NormalWeb"/>
              <w:jc w:val="center"/>
              <w:rPr>
                <w:sz w:val="18"/>
                <w:szCs w:val="18"/>
              </w:rPr>
            </w:pPr>
            <w:r w:rsidRPr="00AC4025">
              <w:rPr>
                <w:sz w:val="18"/>
                <w:szCs w:val="18"/>
              </w:rPr>
              <w:t>0.5</w:t>
            </w:r>
          </w:p>
        </w:tc>
        <w:tc>
          <w:tcPr>
            <w:tcW w:w="575" w:type="dxa"/>
            <w:hideMark/>
          </w:tcPr>
          <w:p w14:paraId="082FD72D" w14:textId="77777777" w:rsidR="00EB75EE" w:rsidRPr="00AC4025" w:rsidRDefault="00EB75EE" w:rsidP="00A948F8">
            <w:pPr>
              <w:pStyle w:val="NormalWeb"/>
              <w:jc w:val="center"/>
              <w:rPr>
                <w:sz w:val="18"/>
                <w:szCs w:val="18"/>
              </w:rPr>
            </w:pPr>
            <w:r w:rsidRPr="00AC4025">
              <w:rPr>
                <w:sz w:val="18"/>
                <w:szCs w:val="18"/>
              </w:rPr>
              <w:t>30</w:t>
            </w:r>
          </w:p>
        </w:tc>
        <w:tc>
          <w:tcPr>
            <w:tcW w:w="574" w:type="dxa"/>
            <w:hideMark/>
          </w:tcPr>
          <w:p w14:paraId="2E5E8974" w14:textId="77777777" w:rsidR="00EB75EE" w:rsidRPr="00AC4025" w:rsidRDefault="00EB75EE" w:rsidP="00A948F8">
            <w:pPr>
              <w:pStyle w:val="NormalWeb"/>
              <w:jc w:val="center"/>
              <w:rPr>
                <w:sz w:val="18"/>
                <w:szCs w:val="18"/>
              </w:rPr>
            </w:pPr>
            <w:r w:rsidRPr="00AC4025">
              <w:rPr>
                <w:sz w:val="18"/>
                <w:szCs w:val="18"/>
              </w:rPr>
              <w:t>0.8</w:t>
            </w:r>
          </w:p>
        </w:tc>
        <w:tc>
          <w:tcPr>
            <w:tcW w:w="575" w:type="dxa"/>
            <w:hideMark/>
          </w:tcPr>
          <w:p w14:paraId="7BCBF224" w14:textId="77777777" w:rsidR="00EB75EE" w:rsidRPr="00AC4025" w:rsidRDefault="00EB75EE" w:rsidP="00A948F8">
            <w:pPr>
              <w:pStyle w:val="NormalWeb"/>
              <w:jc w:val="center"/>
              <w:rPr>
                <w:sz w:val="18"/>
                <w:szCs w:val="18"/>
              </w:rPr>
            </w:pPr>
            <w:r w:rsidRPr="00AC4025">
              <w:rPr>
                <w:sz w:val="18"/>
                <w:szCs w:val="18"/>
              </w:rPr>
              <w:t>44</w:t>
            </w:r>
          </w:p>
        </w:tc>
        <w:tc>
          <w:tcPr>
            <w:tcW w:w="575" w:type="dxa"/>
            <w:hideMark/>
          </w:tcPr>
          <w:p w14:paraId="5A154876" w14:textId="77777777" w:rsidR="00EB75EE" w:rsidRPr="00AC4025" w:rsidRDefault="00EB75EE" w:rsidP="00A948F8">
            <w:pPr>
              <w:pStyle w:val="NormalWeb"/>
              <w:jc w:val="center"/>
              <w:rPr>
                <w:sz w:val="18"/>
                <w:szCs w:val="18"/>
              </w:rPr>
            </w:pPr>
            <w:r w:rsidRPr="00AC4025">
              <w:rPr>
                <w:sz w:val="18"/>
                <w:szCs w:val="18"/>
              </w:rPr>
              <w:t>1.2</w:t>
            </w:r>
          </w:p>
        </w:tc>
      </w:tr>
      <w:tr w:rsidR="00A948F8" w:rsidRPr="00AC4025" w14:paraId="4A2CED8C" w14:textId="77777777" w:rsidTr="00A948F8">
        <w:tc>
          <w:tcPr>
            <w:tcW w:w="0" w:type="auto"/>
            <w:hideMark/>
          </w:tcPr>
          <w:p w14:paraId="27C8505B" w14:textId="77777777" w:rsidR="00EB75EE" w:rsidRPr="00AC4025" w:rsidRDefault="00EB75EE">
            <w:pPr>
              <w:pStyle w:val="NormalWeb"/>
              <w:rPr>
                <w:sz w:val="18"/>
                <w:szCs w:val="18"/>
              </w:rPr>
            </w:pPr>
            <w:r w:rsidRPr="00AC4025">
              <w:rPr>
                <w:sz w:val="18"/>
                <w:szCs w:val="18"/>
              </w:rPr>
              <w:t>Queensland</w:t>
            </w:r>
          </w:p>
        </w:tc>
        <w:tc>
          <w:tcPr>
            <w:tcW w:w="574" w:type="dxa"/>
            <w:hideMark/>
          </w:tcPr>
          <w:p w14:paraId="4ABF85B4" w14:textId="77777777" w:rsidR="00EB75EE" w:rsidRPr="00AC4025" w:rsidRDefault="00EB75EE" w:rsidP="00A948F8">
            <w:pPr>
              <w:pStyle w:val="NormalWeb"/>
              <w:jc w:val="center"/>
              <w:rPr>
                <w:sz w:val="18"/>
                <w:szCs w:val="18"/>
              </w:rPr>
            </w:pPr>
            <w:r w:rsidRPr="00AC4025">
              <w:rPr>
                <w:sz w:val="18"/>
                <w:szCs w:val="18"/>
              </w:rPr>
              <w:t>33</w:t>
            </w:r>
          </w:p>
        </w:tc>
        <w:tc>
          <w:tcPr>
            <w:tcW w:w="575" w:type="dxa"/>
            <w:hideMark/>
          </w:tcPr>
          <w:p w14:paraId="307931A5" w14:textId="77777777" w:rsidR="00EB75EE" w:rsidRPr="00AC4025" w:rsidRDefault="00EB75EE" w:rsidP="00A948F8">
            <w:pPr>
              <w:pStyle w:val="NormalWeb"/>
              <w:jc w:val="center"/>
              <w:rPr>
                <w:sz w:val="18"/>
                <w:szCs w:val="18"/>
              </w:rPr>
            </w:pPr>
            <w:r w:rsidRPr="00AC4025">
              <w:rPr>
                <w:sz w:val="18"/>
                <w:szCs w:val="18"/>
              </w:rPr>
              <w:t>4.9</w:t>
            </w:r>
          </w:p>
        </w:tc>
        <w:tc>
          <w:tcPr>
            <w:tcW w:w="574" w:type="dxa"/>
            <w:hideMark/>
          </w:tcPr>
          <w:p w14:paraId="347245F5" w14:textId="77777777" w:rsidR="00EB75EE" w:rsidRPr="00AC4025" w:rsidRDefault="00EB75EE" w:rsidP="00A948F8">
            <w:pPr>
              <w:pStyle w:val="NormalWeb"/>
              <w:jc w:val="center"/>
              <w:rPr>
                <w:sz w:val="18"/>
                <w:szCs w:val="18"/>
              </w:rPr>
            </w:pPr>
            <w:r w:rsidRPr="00AC4025">
              <w:rPr>
                <w:sz w:val="18"/>
                <w:szCs w:val="18"/>
              </w:rPr>
              <w:t>21</w:t>
            </w:r>
          </w:p>
        </w:tc>
        <w:tc>
          <w:tcPr>
            <w:tcW w:w="575" w:type="dxa"/>
            <w:hideMark/>
          </w:tcPr>
          <w:p w14:paraId="1EF298A1" w14:textId="77777777" w:rsidR="00EB75EE" w:rsidRPr="00AC4025" w:rsidRDefault="00EB75EE" w:rsidP="00A948F8">
            <w:pPr>
              <w:pStyle w:val="NormalWeb"/>
              <w:jc w:val="center"/>
              <w:rPr>
                <w:sz w:val="18"/>
                <w:szCs w:val="18"/>
              </w:rPr>
            </w:pPr>
            <w:r w:rsidRPr="00AC4025">
              <w:rPr>
                <w:sz w:val="18"/>
                <w:szCs w:val="18"/>
              </w:rPr>
              <w:t>3.2</w:t>
            </w:r>
          </w:p>
        </w:tc>
        <w:tc>
          <w:tcPr>
            <w:tcW w:w="575" w:type="dxa"/>
            <w:hideMark/>
          </w:tcPr>
          <w:p w14:paraId="5BD61D0C" w14:textId="77777777" w:rsidR="00EB75EE" w:rsidRPr="00AC4025" w:rsidRDefault="00EB75EE" w:rsidP="00A948F8">
            <w:pPr>
              <w:pStyle w:val="NormalWeb"/>
              <w:jc w:val="center"/>
              <w:rPr>
                <w:sz w:val="18"/>
                <w:szCs w:val="18"/>
              </w:rPr>
            </w:pPr>
            <w:r w:rsidRPr="00AC4025">
              <w:rPr>
                <w:sz w:val="18"/>
                <w:szCs w:val="18"/>
              </w:rPr>
              <w:t>7</w:t>
            </w:r>
          </w:p>
        </w:tc>
        <w:tc>
          <w:tcPr>
            <w:tcW w:w="574" w:type="dxa"/>
            <w:hideMark/>
          </w:tcPr>
          <w:p w14:paraId="402536EB" w14:textId="77777777" w:rsidR="00EB75EE" w:rsidRPr="00AC4025" w:rsidRDefault="00EB75EE" w:rsidP="00A948F8">
            <w:pPr>
              <w:pStyle w:val="NormalWeb"/>
              <w:jc w:val="center"/>
              <w:rPr>
                <w:sz w:val="18"/>
                <w:szCs w:val="18"/>
              </w:rPr>
            </w:pPr>
            <w:r w:rsidRPr="00AC4025">
              <w:rPr>
                <w:sz w:val="18"/>
                <w:szCs w:val="18"/>
              </w:rPr>
              <w:t>1.0</w:t>
            </w:r>
          </w:p>
        </w:tc>
        <w:tc>
          <w:tcPr>
            <w:tcW w:w="575" w:type="dxa"/>
            <w:hideMark/>
          </w:tcPr>
          <w:p w14:paraId="6EB89BE0" w14:textId="77777777" w:rsidR="00EB75EE" w:rsidRPr="00AC4025" w:rsidRDefault="00EB75EE" w:rsidP="00A948F8">
            <w:pPr>
              <w:pStyle w:val="NormalWeb"/>
              <w:jc w:val="center"/>
              <w:rPr>
                <w:sz w:val="18"/>
                <w:szCs w:val="18"/>
              </w:rPr>
            </w:pPr>
            <w:r w:rsidRPr="00AC4025">
              <w:rPr>
                <w:sz w:val="18"/>
                <w:szCs w:val="18"/>
              </w:rPr>
              <w:t>32</w:t>
            </w:r>
          </w:p>
        </w:tc>
        <w:tc>
          <w:tcPr>
            <w:tcW w:w="575" w:type="dxa"/>
            <w:hideMark/>
          </w:tcPr>
          <w:p w14:paraId="3B40DDA8" w14:textId="77777777" w:rsidR="00EB75EE" w:rsidRPr="00AC4025" w:rsidRDefault="00EB75EE" w:rsidP="00A948F8">
            <w:pPr>
              <w:pStyle w:val="NormalWeb"/>
              <w:jc w:val="center"/>
              <w:rPr>
                <w:sz w:val="18"/>
                <w:szCs w:val="18"/>
              </w:rPr>
            </w:pPr>
            <w:r w:rsidRPr="00AC4025">
              <w:rPr>
                <w:sz w:val="18"/>
                <w:szCs w:val="18"/>
              </w:rPr>
              <w:t>3.7</w:t>
            </w:r>
          </w:p>
        </w:tc>
        <w:tc>
          <w:tcPr>
            <w:tcW w:w="574" w:type="dxa"/>
            <w:hideMark/>
          </w:tcPr>
          <w:p w14:paraId="4284447B" w14:textId="77777777" w:rsidR="00EB75EE" w:rsidRPr="00AC4025" w:rsidRDefault="00EB75EE" w:rsidP="00A948F8">
            <w:pPr>
              <w:pStyle w:val="NormalWeb"/>
              <w:jc w:val="center"/>
              <w:rPr>
                <w:sz w:val="18"/>
                <w:szCs w:val="18"/>
              </w:rPr>
            </w:pPr>
            <w:r w:rsidRPr="00AC4025">
              <w:rPr>
                <w:sz w:val="18"/>
                <w:szCs w:val="18"/>
              </w:rPr>
              <w:t>11</w:t>
            </w:r>
          </w:p>
        </w:tc>
        <w:tc>
          <w:tcPr>
            <w:tcW w:w="575" w:type="dxa"/>
            <w:hideMark/>
          </w:tcPr>
          <w:p w14:paraId="67440357" w14:textId="77777777" w:rsidR="00EB75EE" w:rsidRPr="00AC4025" w:rsidRDefault="00EB75EE" w:rsidP="00A948F8">
            <w:pPr>
              <w:pStyle w:val="NormalWeb"/>
              <w:jc w:val="center"/>
              <w:rPr>
                <w:sz w:val="18"/>
                <w:szCs w:val="18"/>
              </w:rPr>
            </w:pPr>
            <w:r w:rsidRPr="00AC4025">
              <w:rPr>
                <w:sz w:val="18"/>
                <w:szCs w:val="18"/>
              </w:rPr>
              <w:t>0.9</w:t>
            </w:r>
          </w:p>
        </w:tc>
        <w:tc>
          <w:tcPr>
            <w:tcW w:w="575" w:type="dxa"/>
            <w:hideMark/>
          </w:tcPr>
          <w:p w14:paraId="37410695" w14:textId="77777777" w:rsidR="00EB75EE" w:rsidRPr="00AC4025" w:rsidRDefault="00EB75EE" w:rsidP="00A948F8">
            <w:pPr>
              <w:pStyle w:val="NormalWeb"/>
              <w:jc w:val="center"/>
              <w:rPr>
                <w:sz w:val="18"/>
                <w:szCs w:val="18"/>
              </w:rPr>
            </w:pPr>
            <w:r w:rsidRPr="00AC4025">
              <w:rPr>
                <w:sz w:val="18"/>
                <w:szCs w:val="18"/>
              </w:rPr>
              <w:t>18</w:t>
            </w:r>
          </w:p>
        </w:tc>
        <w:tc>
          <w:tcPr>
            <w:tcW w:w="574" w:type="dxa"/>
            <w:hideMark/>
          </w:tcPr>
          <w:p w14:paraId="54A66422" w14:textId="77777777" w:rsidR="00EB75EE" w:rsidRPr="00AC4025" w:rsidRDefault="00EB75EE" w:rsidP="00A948F8">
            <w:pPr>
              <w:pStyle w:val="NormalWeb"/>
              <w:jc w:val="center"/>
              <w:rPr>
                <w:sz w:val="18"/>
                <w:szCs w:val="18"/>
              </w:rPr>
            </w:pPr>
            <w:r w:rsidRPr="00AC4025">
              <w:rPr>
                <w:sz w:val="18"/>
                <w:szCs w:val="18"/>
              </w:rPr>
              <w:t>1.3</w:t>
            </w:r>
          </w:p>
        </w:tc>
        <w:tc>
          <w:tcPr>
            <w:tcW w:w="575" w:type="dxa"/>
            <w:hideMark/>
          </w:tcPr>
          <w:p w14:paraId="0E5C5CAC" w14:textId="77777777" w:rsidR="00EB75EE" w:rsidRPr="00AC4025" w:rsidRDefault="00EB75EE" w:rsidP="00A948F8">
            <w:pPr>
              <w:pStyle w:val="NormalWeb"/>
              <w:jc w:val="center"/>
              <w:rPr>
                <w:sz w:val="18"/>
                <w:szCs w:val="18"/>
              </w:rPr>
            </w:pPr>
            <w:r w:rsidRPr="00AC4025">
              <w:rPr>
                <w:sz w:val="18"/>
                <w:szCs w:val="18"/>
              </w:rPr>
              <w:t>16</w:t>
            </w:r>
          </w:p>
        </w:tc>
        <w:tc>
          <w:tcPr>
            <w:tcW w:w="575" w:type="dxa"/>
            <w:hideMark/>
          </w:tcPr>
          <w:p w14:paraId="085BF0AE" w14:textId="77777777" w:rsidR="00EB75EE" w:rsidRPr="00AC4025" w:rsidRDefault="00EB75EE" w:rsidP="00A948F8">
            <w:pPr>
              <w:pStyle w:val="NormalWeb"/>
              <w:jc w:val="center"/>
              <w:rPr>
                <w:sz w:val="18"/>
                <w:szCs w:val="18"/>
              </w:rPr>
            </w:pPr>
            <w:r w:rsidRPr="00AC4025">
              <w:rPr>
                <w:sz w:val="18"/>
                <w:szCs w:val="18"/>
              </w:rPr>
              <w:t>1.0</w:t>
            </w:r>
          </w:p>
        </w:tc>
      </w:tr>
      <w:tr w:rsidR="00E16519" w:rsidRPr="00AC4025" w14:paraId="36630AE3" w14:textId="77777777"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14:paraId="38A1DF63" w14:textId="77777777" w:rsidR="00EB75EE" w:rsidRPr="00AC4025" w:rsidRDefault="00EB75EE">
            <w:pPr>
              <w:pStyle w:val="NormalWeb"/>
              <w:rPr>
                <w:sz w:val="18"/>
                <w:szCs w:val="18"/>
              </w:rPr>
            </w:pPr>
            <w:r w:rsidRPr="00AC4025">
              <w:rPr>
                <w:sz w:val="18"/>
                <w:szCs w:val="18"/>
              </w:rPr>
              <w:t>South Australia</w:t>
            </w:r>
          </w:p>
        </w:tc>
        <w:tc>
          <w:tcPr>
            <w:tcW w:w="574" w:type="dxa"/>
            <w:hideMark/>
          </w:tcPr>
          <w:p w14:paraId="3503B667" w14:textId="77777777" w:rsidR="00EB75EE" w:rsidRPr="00AC4025" w:rsidRDefault="00EB75EE" w:rsidP="00A948F8">
            <w:pPr>
              <w:pStyle w:val="NormalWeb"/>
              <w:jc w:val="center"/>
              <w:rPr>
                <w:sz w:val="18"/>
                <w:szCs w:val="18"/>
              </w:rPr>
            </w:pPr>
            <w:r w:rsidRPr="00AC4025">
              <w:rPr>
                <w:sz w:val="18"/>
                <w:szCs w:val="18"/>
              </w:rPr>
              <w:t>4</w:t>
            </w:r>
          </w:p>
        </w:tc>
        <w:tc>
          <w:tcPr>
            <w:tcW w:w="575" w:type="dxa"/>
            <w:hideMark/>
          </w:tcPr>
          <w:p w14:paraId="6A79544C" w14:textId="77777777" w:rsidR="00EB75EE" w:rsidRPr="00AC4025" w:rsidRDefault="00EB75EE" w:rsidP="00A948F8">
            <w:pPr>
              <w:pStyle w:val="NormalWeb"/>
              <w:jc w:val="center"/>
              <w:rPr>
                <w:sz w:val="18"/>
                <w:szCs w:val="18"/>
              </w:rPr>
            </w:pPr>
            <w:r w:rsidRPr="00AC4025">
              <w:rPr>
                <w:sz w:val="18"/>
                <w:szCs w:val="18"/>
              </w:rPr>
              <w:t>1.9</w:t>
            </w:r>
          </w:p>
        </w:tc>
        <w:tc>
          <w:tcPr>
            <w:tcW w:w="574" w:type="dxa"/>
            <w:hideMark/>
          </w:tcPr>
          <w:p w14:paraId="4BA3E15E"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6909B35B" w14:textId="77777777" w:rsidR="00EB75EE" w:rsidRPr="00AC4025" w:rsidRDefault="00EB75EE" w:rsidP="00A948F8">
            <w:pPr>
              <w:pStyle w:val="NormalWeb"/>
              <w:jc w:val="center"/>
              <w:rPr>
                <w:sz w:val="18"/>
                <w:szCs w:val="18"/>
              </w:rPr>
            </w:pPr>
            <w:r w:rsidRPr="00AC4025">
              <w:rPr>
                <w:sz w:val="18"/>
                <w:szCs w:val="18"/>
              </w:rPr>
              <w:t>1.0</w:t>
            </w:r>
          </w:p>
        </w:tc>
        <w:tc>
          <w:tcPr>
            <w:tcW w:w="575" w:type="dxa"/>
            <w:hideMark/>
          </w:tcPr>
          <w:p w14:paraId="34328C97" w14:textId="77777777" w:rsidR="00EB75EE" w:rsidRPr="00AC4025" w:rsidRDefault="00EB75EE" w:rsidP="00A948F8">
            <w:pPr>
              <w:pStyle w:val="NormalWeb"/>
              <w:jc w:val="center"/>
              <w:rPr>
                <w:sz w:val="18"/>
                <w:szCs w:val="18"/>
              </w:rPr>
            </w:pPr>
            <w:r w:rsidRPr="00AC4025">
              <w:rPr>
                <w:sz w:val="18"/>
                <w:szCs w:val="18"/>
              </w:rPr>
              <w:t>9</w:t>
            </w:r>
          </w:p>
        </w:tc>
        <w:tc>
          <w:tcPr>
            <w:tcW w:w="574" w:type="dxa"/>
            <w:hideMark/>
          </w:tcPr>
          <w:p w14:paraId="1248513A" w14:textId="77777777" w:rsidR="00EB75EE" w:rsidRPr="00AC4025" w:rsidRDefault="00EB75EE" w:rsidP="00A948F8">
            <w:pPr>
              <w:pStyle w:val="NormalWeb"/>
              <w:jc w:val="center"/>
              <w:rPr>
                <w:sz w:val="18"/>
                <w:szCs w:val="18"/>
              </w:rPr>
            </w:pPr>
            <w:r w:rsidRPr="00AC4025">
              <w:rPr>
                <w:sz w:val="18"/>
                <w:szCs w:val="18"/>
              </w:rPr>
              <w:t>3.6</w:t>
            </w:r>
          </w:p>
        </w:tc>
        <w:tc>
          <w:tcPr>
            <w:tcW w:w="575" w:type="dxa"/>
            <w:hideMark/>
          </w:tcPr>
          <w:p w14:paraId="7B60E5C6"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4F5BD69D" w14:textId="77777777" w:rsidR="00EB75EE" w:rsidRPr="00AC4025" w:rsidRDefault="00EB75EE" w:rsidP="00A948F8">
            <w:pPr>
              <w:pStyle w:val="NormalWeb"/>
              <w:jc w:val="center"/>
              <w:rPr>
                <w:sz w:val="18"/>
                <w:szCs w:val="18"/>
              </w:rPr>
            </w:pPr>
            <w:r w:rsidRPr="00AC4025">
              <w:rPr>
                <w:sz w:val="18"/>
                <w:szCs w:val="18"/>
              </w:rPr>
              <w:t>0.6</w:t>
            </w:r>
          </w:p>
        </w:tc>
        <w:tc>
          <w:tcPr>
            <w:tcW w:w="574" w:type="dxa"/>
            <w:hideMark/>
          </w:tcPr>
          <w:p w14:paraId="11451E47"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23A74A15" w14:textId="77777777" w:rsidR="00EB75EE" w:rsidRPr="00AC4025" w:rsidRDefault="00EB75EE" w:rsidP="00A948F8">
            <w:pPr>
              <w:pStyle w:val="NormalWeb"/>
              <w:jc w:val="center"/>
              <w:rPr>
                <w:sz w:val="18"/>
                <w:szCs w:val="18"/>
              </w:rPr>
            </w:pPr>
            <w:r w:rsidRPr="00AC4025">
              <w:rPr>
                <w:sz w:val="18"/>
                <w:szCs w:val="18"/>
              </w:rPr>
              <w:t>0.6</w:t>
            </w:r>
          </w:p>
        </w:tc>
        <w:tc>
          <w:tcPr>
            <w:tcW w:w="575" w:type="dxa"/>
            <w:hideMark/>
          </w:tcPr>
          <w:p w14:paraId="63D1DB9F" w14:textId="77777777" w:rsidR="00EB75EE" w:rsidRPr="00AC4025" w:rsidRDefault="00EB75EE" w:rsidP="00A948F8">
            <w:pPr>
              <w:pStyle w:val="NormalWeb"/>
              <w:jc w:val="center"/>
              <w:rPr>
                <w:sz w:val="18"/>
                <w:szCs w:val="18"/>
              </w:rPr>
            </w:pPr>
            <w:r w:rsidRPr="00AC4025">
              <w:rPr>
                <w:sz w:val="18"/>
                <w:szCs w:val="18"/>
              </w:rPr>
              <w:t>3</w:t>
            </w:r>
          </w:p>
        </w:tc>
        <w:tc>
          <w:tcPr>
            <w:tcW w:w="574" w:type="dxa"/>
            <w:hideMark/>
          </w:tcPr>
          <w:p w14:paraId="04E3545B" w14:textId="77777777" w:rsidR="00EB75EE" w:rsidRPr="00AC4025" w:rsidRDefault="00EB75EE" w:rsidP="00A948F8">
            <w:pPr>
              <w:pStyle w:val="NormalWeb"/>
              <w:jc w:val="center"/>
              <w:rPr>
                <w:sz w:val="18"/>
                <w:szCs w:val="18"/>
              </w:rPr>
            </w:pPr>
            <w:r w:rsidRPr="00AC4025">
              <w:rPr>
                <w:sz w:val="18"/>
                <w:szCs w:val="18"/>
              </w:rPr>
              <w:t>1.3</w:t>
            </w:r>
          </w:p>
        </w:tc>
        <w:tc>
          <w:tcPr>
            <w:tcW w:w="575" w:type="dxa"/>
            <w:hideMark/>
          </w:tcPr>
          <w:p w14:paraId="2027E8A0" w14:textId="77777777" w:rsidR="00EB75EE" w:rsidRPr="00AC4025" w:rsidRDefault="00EB75EE" w:rsidP="00A948F8">
            <w:pPr>
              <w:pStyle w:val="NormalWeb"/>
              <w:jc w:val="center"/>
              <w:rPr>
                <w:sz w:val="18"/>
                <w:szCs w:val="18"/>
              </w:rPr>
            </w:pPr>
            <w:r w:rsidRPr="00AC4025">
              <w:rPr>
                <w:sz w:val="18"/>
                <w:szCs w:val="18"/>
              </w:rPr>
              <w:t>9</w:t>
            </w:r>
          </w:p>
        </w:tc>
        <w:tc>
          <w:tcPr>
            <w:tcW w:w="575" w:type="dxa"/>
            <w:hideMark/>
          </w:tcPr>
          <w:p w14:paraId="3613F321" w14:textId="77777777" w:rsidR="00EB75EE" w:rsidRPr="00AC4025" w:rsidRDefault="00EB75EE" w:rsidP="00A948F8">
            <w:pPr>
              <w:pStyle w:val="NormalWeb"/>
              <w:jc w:val="center"/>
              <w:rPr>
                <w:sz w:val="18"/>
                <w:szCs w:val="18"/>
              </w:rPr>
            </w:pPr>
            <w:r w:rsidRPr="00AC4025">
              <w:rPr>
                <w:sz w:val="18"/>
                <w:szCs w:val="18"/>
              </w:rPr>
              <w:t>1.6</w:t>
            </w:r>
          </w:p>
        </w:tc>
      </w:tr>
      <w:tr w:rsidR="00A948F8" w:rsidRPr="00AC4025" w14:paraId="03F86EFC" w14:textId="77777777" w:rsidTr="00A948F8">
        <w:tc>
          <w:tcPr>
            <w:tcW w:w="0" w:type="auto"/>
            <w:hideMark/>
          </w:tcPr>
          <w:p w14:paraId="10A56E66" w14:textId="77777777" w:rsidR="00EB75EE" w:rsidRPr="00AC4025" w:rsidRDefault="00EB75EE">
            <w:pPr>
              <w:pStyle w:val="NormalWeb"/>
              <w:rPr>
                <w:sz w:val="18"/>
                <w:szCs w:val="18"/>
              </w:rPr>
            </w:pPr>
            <w:r w:rsidRPr="00AC4025">
              <w:rPr>
                <w:sz w:val="18"/>
                <w:szCs w:val="18"/>
              </w:rPr>
              <w:t>Tasmania</w:t>
            </w:r>
          </w:p>
        </w:tc>
        <w:tc>
          <w:tcPr>
            <w:tcW w:w="574" w:type="dxa"/>
            <w:hideMark/>
          </w:tcPr>
          <w:p w14:paraId="358900EB" w14:textId="77777777" w:rsidR="00EB75EE" w:rsidRPr="00AC4025" w:rsidRDefault="00EB75EE" w:rsidP="00A948F8">
            <w:pPr>
              <w:pStyle w:val="NormalWeb"/>
              <w:jc w:val="center"/>
              <w:rPr>
                <w:sz w:val="18"/>
                <w:szCs w:val="18"/>
              </w:rPr>
            </w:pPr>
            <w:r w:rsidRPr="00AC4025">
              <w:rPr>
                <w:sz w:val="18"/>
                <w:szCs w:val="18"/>
              </w:rPr>
              <w:t>11</w:t>
            </w:r>
          </w:p>
        </w:tc>
        <w:tc>
          <w:tcPr>
            <w:tcW w:w="575" w:type="dxa"/>
            <w:hideMark/>
          </w:tcPr>
          <w:p w14:paraId="63F5043F" w14:textId="77777777" w:rsidR="00EB75EE" w:rsidRPr="00AC4025" w:rsidRDefault="00EB75EE" w:rsidP="00A948F8">
            <w:pPr>
              <w:pStyle w:val="NormalWeb"/>
              <w:jc w:val="center"/>
              <w:rPr>
                <w:sz w:val="18"/>
                <w:szCs w:val="18"/>
              </w:rPr>
            </w:pPr>
            <w:r w:rsidRPr="00AC4025">
              <w:rPr>
                <w:sz w:val="18"/>
                <w:szCs w:val="18"/>
              </w:rPr>
              <w:t>24.4</w:t>
            </w:r>
          </w:p>
        </w:tc>
        <w:tc>
          <w:tcPr>
            <w:tcW w:w="574" w:type="dxa"/>
            <w:hideMark/>
          </w:tcPr>
          <w:p w14:paraId="49B0CCAA"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1EA85F31"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3C588E94"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2C628AF3"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5B79552E" w14:textId="77777777" w:rsidR="00EB75EE" w:rsidRPr="00AC4025" w:rsidRDefault="00EB75EE" w:rsidP="00A948F8">
            <w:pPr>
              <w:pStyle w:val="NormalWeb"/>
              <w:jc w:val="center"/>
              <w:rPr>
                <w:sz w:val="18"/>
                <w:szCs w:val="18"/>
              </w:rPr>
            </w:pPr>
            <w:r w:rsidRPr="00AC4025">
              <w:rPr>
                <w:sz w:val="18"/>
                <w:szCs w:val="18"/>
              </w:rPr>
              <w:t>1</w:t>
            </w:r>
          </w:p>
        </w:tc>
        <w:tc>
          <w:tcPr>
            <w:tcW w:w="575" w:type="dxa"/>
            <w:hideMark/>
          </w:tcPr>
          <w:p w14:paraId="58C5BBCC" w14:textId="77777777" w:rsidR="00EB75EE" w:rsidRPr="00AC4025" w:rsidRDefault="00EB75EE" w:rsidP="00A948F8">
            <w:pPr>
              <w:pStyle w:val="NormalWeb"/>
              <w:jc w:val="center"/>
              <w:rPr>
                <w:sz w:val="18"/>
                <w:szCs w:val="18"/>
              </w:rPr>
            </w:pPr>
            <w:r w:rsidRPr="00AC4025">
              <w:rPr>
                <w:sz w:val="18"/>
                <w:szCs w:val="18"/>
              </w:rPr>
              <w:t>3.6</w:t>
            </w:r>
          </w:p>
        </w:tc>
        <w:tc>
          <w:tcPr>
            <w:tcW w:w="574" w:type="dxa"/>
            <w:hideMark/>
          </w:tcPr>
          <w:p w14:paraId="34C26524"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20AEDC5D"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6F489DCB" w14:textId="77777777" w:rsidR="00EB75EE" w:rsidRPr="00AC4025" w:rsidRDefault="00EB75EE" w:rsidP="00A948F8">
            <w:pPr>
              <w:pStyle w:val="NormalWeb"/>
              <w:jc w:val="center"/>
              <w:rPr>
                <w:sz w:val="18"/>
                <w:szCs w:val="18"/>
              </w:rPr>
            </w:pPr>
            <w:r w:rsidRPr="00AC4025">
              <w:rPr>
                <w:sz w:val="18"/>
                <w:szCs w:val="18"/>
              </w:rPr>
              <w:t>4</w:t>
            </w:r>
          </w:p>
        </w:tc>
        <w:tc>
          <w:tcPr>
            <w:tcW w:w="574" w:type="dxa"/>
            <w:hideMark/>
          </w:tcPr>
          <w:p w14:paraId="4FDA75EC" w14:textId="77777777" w:rsidR="00EB75EE" w:rsidRPr="00AC4025" w:rsidRDefault="00EB75EE" w:rsidP="00A948F8">
            <w:pPr>
              <w:pStyle w:val="NormalWeb"/>
              <w:jc w:val="center"/>
              <w:rPr>
                <w:sz w:val="18"/>
                <w:szCs w:val="18"/>
              </w:rPr>
            </w:pPr>
            <w:r w:rsidRPr="00AC4025">
              <w:rPr>
                <w:sz w:val="18"/>
                <w:szCs w:val="18"/>
              </w:rPr>
              <w:t>7.3</w:t>
            </w:r>
          </w:p>
        </w:tc>
        <w:tc>
          <w:tcPr>
            <w:tcW w:w="575" w:type="dxa"/>
            <w:hideMark/>
          </w:tcPr>
          <w:p w14:paraId="0AEABE46" w14:textId="77777777" w:rsidR="00EB75EE" w:rsidRPr="00AC4025" w:rsidRDefault="00EB75EE" w:rsidP="00A948F8">
            <w:pPr>
              <w:pStyle w:val="NormalWeb"/>
              <w:jc w:val="center"/>
              <w:rPr>
                <w:sz w:val="18"/>
                <w:szCs w:val="18"/>
              </w:rPr>
            </w:pPr>
            <w:r w:rsidRPr="00AC4025">
              <w:rPr>
                <w:sz w:val="18"/>
                <w:szCs w:val="18"/>
              </w:rPr>
              <w:t>1</w:t>
            </w:r>
          </w:p>
        </w:tc>
        <w:tc>
          <w:tcPr>
            <w:tcW w:w="575" w:type="dxa"/>
            <w:hideMark/>
          </w:tcPr>
          <w:p w14:paraId="6A92273E" w14:textId="77777777" w:rsidR="00EB75EE" w:rsidRPr="00AC4025" w:rsidRDefault="00EB75EE" w:rsidP="00A948F8">
            <w:pPr>
              <w:pStyle w:val="NormalWeb"/>
              <w:jc w:val="center"/>
              <w:rPr>
                <w:sz w:val="18"/>
                <w:szCs w:val="18"/>
              </w:rPr>
            </w:pPr>
            <w:r w:rsidRPr="00AC4025">
              <w:rPr>
                <w:sz w:val="18"/>
                <w:szCs w:val="18"/>
              </w:rPr>
              <w:t>2.1</w:t>
            </w:r>
          </w:p>
        </w:tc>
      </w:tr>
      <w:tr w:rsidR="00E16519" w:rsidRPr="00AC4025" w14:paraId="05AC527F" w14:textId="77777777"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14:paraId="6CC67DE1" w14:textId="77777777" w:rsidR="00EB75EE" w:rsidRPr="00AC4025" w:rsidRDefault="00EB75EE">
            <w:pPr>
              <w:pStyle w:val="NormalWeb"/>
              <w:rPr>
                <w:sz w:val="18"/>
                <w:szCs w:val="18"/>
              </w:rPr>
            </w:pPr>
            <w:r w:rsidRPr="00AC4025">
              <w:rPr>
                <w:sz w:val="18"/>
                <w:szCs w:val="18"/>
              </w:rPr>
              <w:t>Victoria</w:t>
            </w:r>
          </w:p>
        </w:tc>
        <w:tc>
          <w:tcPr>
            <w:tcW w:w="574" w:type="dxa"/>
            <w:hideMark/>
          </w:tcPr>
          <w:p w14:paraId="15D813C2" w14:textId="77777777" w:rsidR="00EB75EE" w:rsidRPr="00AC4025" w:rsidRDefault="00EB75EE" w:rsidP="00A948F8">
            <w:pPr>
              <w:pStyle w:val="NormalWeb"/>
              <w:jc w:val="center"/>
              <w:rPr>
                <w:sz w:val="18"/>
                <w:szCs w:val="18"/>
              </w:rPr>
            </w:pPr>
            <w:r w:rsidRPr="00AC4025">
              <w:rPr>
                <w:sz w:val="18"/>
                <w:szCs w:val="18"/>
              </w:rPr>
              <w:t>181</w:t>
            </w:r>
          </w:p>
        </w:tc>
        <w:tc>
          <w:tcPr>
            <w:tcW w:w="575" w:type="dxa"/>
            <w:hideMark/>
          </w:tcPr>
          <w:p w14:paraId="1D7AA610" w14:textId="77777777" w:rsidR="00EB75EE" w:rsidRPr="00AC4025" w:rsidRDefault="00EB75EE" w:rsidP="00A948F8">
            <w:pPr>
              <w:pStyle w:val="NormalWeb"/>
              <w:jc w:val="center"/>
              <w:rPr>
                <w:sz w:val="18"/>
                <w:szCs w:val="18"/>
              </w:rPr>
            </w:pPr>
            <w:r w:rsidRPr="00AC4025">
              <w:rPr>
                <w:sz w:val="18"/>
                <w:szCs w:val="18"/>
              </w:rPr>
              <w:t>11.8</w:t>
            </w:r>
          </w:p>
        </w:tc>
        <w:tc>
          <w:tcPr>
            <w:tcW w:w="574" w:type="dxa"/>
            <w:hideMark/>
          </w:tcPr>
          <w:p w14:paraId="05416A37" w14:textId="77777777" w:rsidR="00EB75EE" w:rsidRPr="00AC4025" w:rsidRDefault="00EB75EE" w:rsidP="00A948F8">
            <w:pPr>
              <w:pStyle w:val="NormalWeb"/>
              <w:jc w:val="center"/>
              <w:rPr>
                <w:sz w:val="18"/>
                <w:szCs w:val="18"/>
              </w:rPr>
            </w:pPr>
            <w:r w:rsidRPr="00AC4025">
              <w:rPr>
                <w:sz w:val="18"/>
                <w:szCs w:val="18"/>
              </w:rPr>
              <w:t>95</w:t>
            </w:r>
          </w:p>
        </w:tc>
        <w:tc>
          <w:tcPr>
            <w:tcW w:w="575" w:type="dxa"/>
            <w:hideMark/>
          </w:tcPr>
          <w:p w14:paraId="39946E83" w14:textId="77777777" w:rsidR="00EB75EE" w:rsidRPr="00AC4025" w:rsidRDefault="00EB75EE" w:rsidP="00A948F8">
            <w:pPr>
              <w:pStyle w:val="NormalWeb"/>
              <w:jc w:val="center"/>
              <w:rPr>
                <w:sz w:val="18"/>
                <w:szCs w:val="18"/>
              </w:rPr>
            </w:pPr>
            <w:r w:rsidRPr="00AC4025">
              <w:rPr>
                <w:sz w:val="18"/>
                <w:szCs w:val="18"/>
              </w:rPr>
              <w:t>6.6</w:t>
            </w:r>
          </w:p>
        </w:tc>
        <w:tc>
          <w:tcPr>
            <w:tcW w:w="575" w:type="dxa"/>
            <w:hideMark/>
          </w:tcPr>
          <w:p w14:paraId="0E6069B7" w14:textId="77777777" w:rsidR="00EB75EE" w:rsidRPr="00AC4025" w:rsidRDefault="00EB75EE" w:rsidP="00A948F8">
            <w:pPr>
              <w:pStyle w:val="NormalWeb"/>
              <w:jc w:val="center"/>
              <w:rPr>
                <w:sz w:val="18"/>
                <w:szCs w:val="18"/>
              </w:rPr>
            </w:pPr>
            <w:r w:rsidRPr="00AC4025">
              <w:rPr>
                <w:sz w:val="18"/>
                <w:szCs w:val="18"/>
              </w:rPr>
              <w:t>25</w:t>
            </w:r>
          </w:p>
        </w:tc>
        <w:tc>
          <w:tcPr>
            <w:tcW w:w="574" w:type="dxa"/>
            <w:hideMark/>
          </w:tcPr>
          <w:p w14:paraId="23C447F5" w14:textId="77777777" w:rsidR="00EB75EE" w:rsidRPr="00AC4025" w:rsidRDefault="00EB75EE" w:rsidP="00A948F8">
            <w:pPr>
              <w:pStyle w:val="NormalWeb"/>
              <w:jc w:val="center"/>
              <w:rPr>
                <w:sz w:val="18"/>
                <w:szCs w:val="18"/>
              </w:rPr>
            </w:pPr>
            <w:r w:rsidRPr="00AC4025">
              <w:rPr>
                <w:sz w:val="18"/>
                <w:szCs w:val="18"/>
              </w:rPr>
              <w:t>1.5</w:t>
            </w:r>
          </w:p>
        </w:tc>
        <w:tc>
          <w:tcPr>
            <w:tcW w:w="575" w:type="dxa"/>
            <w:hideMark/>
          </w:tcPr>
          <w:p w14:paraId="3C093781" w14:textId="77777777" w:rsidR="00EB75EE" w:rsidRPr="00AC4025" w:rsidRDefault="00EB75EE" w:rsidP="00A948F8">
            <w:pPr>
              <w:pStyle w:val="NormalWeb"/>
              <w:jc w:val="center"/>
              <w:rPr>
                <w:sz w:val="18"/>
                <w:szCs w:val="18"/>
              </w:rPr>
            </w:pPr>
            <w:r w:rsidRPr="00AC4025">
              <w:rPr>
                <w:sz w:val="18"/>
                <w:szCs w:val="18"/>
              </w:rPr>
              <w:t>19</w:t>
            </w:r>
          </w:p>
        </w:tc>
        <w:tc>
          <w:tcPr>
            <w:tcW w:w="575" w:type="dxa"/>
            <w:hideMark/>
          </w:tcPr>
          <w:p w14:paraId="48A31DDD" w14:textId="77777777" w:rsidR="00EB75EE" w:rsidRPr="00AC4025" w:rsidRDefault="00EB75EE" w:rsidP="00A948F8">
            <w:pPr>
              <w:pStyle w:val="NormalWeb"/>
              <w:jc w:val="center"/>
              <w:rPr>
                <w:sz w:val="18"/>
                <w:szCs w:val="18"/>
              </w:rPr>
            </w:pPr>
            <w:r w:rsidRPr="00AC4025">
              <w:rPr>
                <w:sz w:val="18"/>
                <w:szCs w:val="18"/>
              </w:rPr>
              <w:t>1.1</w:t>
            </w:r>
          </w:p>
        </w:tc>
        <w:tc>
          <w:tcPr>
            <w:tcW w:w="574" w:type="dxa"/>
            <w:hideMark/>
          </w:tcPr>
          <w:p w14:paraId="34BD847F" w14:textId="77777777" w:rsidR="00EB75EE" w:rsidRPr="00AC4025" w:rsidRDefault="00EB75EE" w:rsidP="00A948F8">
            <w:pPr>
              <w:pStyle w:val="NormalWeb"/>
              <w:jc w:val="center"/>
              <w:rPr>
                <w:sz w:val="18"/>
                <w:szCs w:val="18"/>
              </w:rPr>
            </w:pPr>
            <w:r w:rsidRPr="00AC4025">
              <w:rPr>
                <w:sz w:val="18"/>
                <w:szCs w:val="18"/>
              </w:rPr>
              <w:t>48</w:t>
            </w:r>
          </w:p>
        </w:tc>
        <w:tc>
          <w:tcPr>
            <w:tcW w:w="575" w:type="dxa"/>
            <w:hideMark/>
          </w:tcPr>
          <w:p w14:paraId="6590D47A" w14:textId="77777777" w:rsidR="00EB75EE" w:rsidRPr="00AC4025" w:rsidRDefault="00EB75EE" w:rsidP="00A948F8">
            <w:pPr>
              <w:pStyle w:val="NormalWeb"/>
              <w:jc w:val="center"/>
              <w:rPr>
                <w:sz w:val="18"/>
                <w:szCs w:val="18"/>
              </w:rPr>
            </w:pPr>
            <w:r w:rsidRPr="00AC4025">
              <w:rPr>
                <w:sz w:val="18"/>
                <w:szCs w:val="18"/>
              </w:rPr>
              <w:t>2.1</w:t>
            </w:r>
          </w:p>
        </w:tc>
        <w:tc>
          <w:tcPr>
            <w:tcW w:w="575" w:type="dxa"/>
            <w:hideMark/>
          </w:tcPr>
          <w:p w14:paraId="00342C15" w14:textId="77777777" w:rsidR="00EB75EE" w:rsidRPr="00AC4025" w:rsidRDefault="00EB75EE" w:rsidP="00A948F8">
            <w:pPr>
              <w:pStyle w:val="NormalWeb"/>
              <w:jc w:val="center"/>
              <w:rPr>
                <w:sz w:val="18"/>
                <w:szCs w:val="18"/>
              </w:rPr>
            </w:pPr>
            <w:r w:rsidRPr="00AC4025">
              <w:rPr>
                <w:sz w:val="18"/>
                <w:szCs w:val="18"/>
              </w:rPr>
              <w:t>83</w:t>
            </w:r>
          </w:p>
        </w:tc>
        <w:tc>
          <w:tcPr>
            <w:tcW w:w="574" w:type="dxa"/>
            <w:hideMark/>
          </w:tcPr>
          <w:p w14:paraId="6C8BDA59" w14:textId="77777777" w:rsidR="00EB75EE" w:rsidRPr="00AC4025" w:rsidRDefault="00EB75EE" w:rsidP="00A948F8">
            <w:pPr>
              <w:pStyle w:val="NormalWeb"/>
              <w:jc w:val="center"/>
              <w:rPr>
                <w:sz w:val="18"/>
                <w:szCs w:val="18"/>
              </w:rPr>
            </w:pPr>
            <w:r w:rsidRPr="00AC4025">
              <w:rPr>
                <w:sz w:val="18"/>
                <w:szCs w:val="18"/>
              </w:rPr>
              <w:t>3.2</w:t>
            </w:r>
          </w:p>
        </w:tc>
        <w:tc>
          <w:tcPr>
            <w:tcW w:w="575" w:type="dxa"/>
            <w:hideMark/>
          </w:tcPr>
          <w:p w14:paraId="4C44756E" w14:textId="77777777" w:rsidR="00EB75EE" w:rsidRPr="00AC4025" w:rsidRDefault="00EB75EE" w:rsidP="00A948F8">
            <w:pPr>
              <w:pStyle w:val="NormalWeb"/>
              <w:jc w:val="center"/>
              <w:rPr>
                <w:sz w:val="18"/>
                <w:szCs w:val="18"/>
              </w:rPr>
            </w:pPr>
            <w:r w:rsidRPr="00AC4025">
              <w:rPr>
                <w:sz w:val="18"/>
                <w:szCs w:val="18"/>
              </w:rPr>
              <w:t>42</w:t>
            </w:r>
          </w:p>
        </w:tc>
        <w:tc>
          <w:tcPr>
            <w:tcW w:w="575" w:type="dxa"/>
            <w:hideMark/>
          </w:tcPr>
          <w:p w14:paraId="7959D0CD" w14:textId="77777777" w:rsidR="00EB75EE" w:rsidRPr="00AC4025" w:rsidRDefault="00EB75EE" w:rsidP="00A948F8">
            <w:pPr>
              <w:pStyle w:val="NormalWeb"/>
              <w:jc w:val="center"/>
              <w:rPr>
                <w:sz w:val="18"/>
                <w:szCs w:val="18"/>
              </w:rPr>
            </w:pPr>
            <w:r w:rsidRPr="00AC4025">
              <w:rPr>
                <w:sz w:val="18"/>
                <w:szCs w:val="18"/>
              </w:rPr>
              <w:t>1.6</w:t>
            </w:r>
          </w:p>
        </w:tc>
      </w:tr>
      <w:tr w:rsidR="00A948F8" w:rsidRPr="00AC4025" w14:paraId="2F34D646" w14:textId="77777777" w:rsidTr="00A948F8">
        <w:tc>
          <w:tcPr>
            <w:tcW w:w="0" w:type="auto"/>
            <w:hideMark/>
          </w:tcPr>
          <w:p w14:paraId="3EE575BA" w14:textId="77777777" w:rsidR="00EB75EE" w:rsidRPr="00AC4025" w:rsidRDefault="00EB75EE">
            <w:pPr>
              <w:pStyle w:val="NormalWeb"/>
              <w:rPr>
                <w:sz w:val="18"/>
                <w:szCs w:val="18"/>
              </w:rPr>
            </w:pPr>
            <w:r w:rsidRPr="00AC4025">
              <w:rPr>
                <w:sz w:val="18"/>
                <w:szCs w:val="18"/>
              </w:rPr>
              <w:t>Northern Territory non-remote</w:t>
            </w:r>
          </w:p>
        </w:tc>
        <w:tc>
          <w:tcPr>
            <w:tcW w:w="574" w:type="dxa"/>
            <w:hideMark/>
          </w:tcPr>
          <w:p w14:paraId="03E24521"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1A82AD53" w14:textId="77777777" w:rsidR="00EB75EE" w:rsidRPr="00AC4025" w:rsidRDefault="00EB75EE" w:rsidP="00A948F8">
            <w:pPr>
              <w:pStyle w:val="NormalWeb"/>
              <w:jc w:val="center"/>
              <w:rPr>
                <w:sz w:val="18"/>
                <w:szCs w:val="18"/>
              </w:rPr>
            </w:pPr>
            <w:r w:rsidRPr="00AC4025">
              <w:rPr>
                <w:sz w:val="18"/>
                <w:szCs w:val="18"/>
              </w:rPr>
              <w:t>1.9</w:t>
            </w:r>
          </w:p>
        </w:tc>
        <w:tc>
          <w:tcPr>
            <w:tcW w:w="574" w:type="dxa"/>
            <w:hideMark/>
          </w:tcPr>
          <w:p w14:paraId="224014AF" w14:textId="77777777" w:rsidR="00EB75EE" w:rsidRPr="00AC4025" w:rsidRDefault="00EB75EE" w:rsidP="00A948F8">
            <w:pPr>
              <w:pStyle w:val="NormalWeb"/>
              <w:jc w:val="center"/>
              <w:rPr>
                <w:sz w:val="18"/>
                <w:szCs w:val="18"/>
              </w:rPr>
            </w:pPr>
            <w:r w:rsidRPr="00AC4025">
              <w:rPr>
                <w:sz w:val="18"/>
                <w:szCs w:val="18"/>
              </w:rPr>
              <w:t>3</w:t>
            </w:r>
          </w:p>
        </w:tc>
        <w:tc>
          <w:tcPr>
            <w:tcW w:w="575" w:type="dxa"/>
            <w:hideMark/>
          </w:tcPr>
          <w:p w14:paraId="0F6634A6" w14:textId="77777777" w:rsidR="00EB75EE" w:rsidRPr="00AC4025" w:rsidRDefault="00EB75EE" w:rsidP="00A948F8">
            <w:pPr>
              <w:pStyle w:val="NormalWeb"/>
              <w:jc w:val="center"/>
              <w:rPr>
                <w:sz w:val="18"/>
                <w:szCs w:val="18"/>
              </w:rPr>
            </w:pPr>
            <w:r w:rsidRPr="00AC4025">
              <w:rPr>
                <w:sz w:val="18"/>
                <w:szCs w:val="18"/>
              </w:rPr>
              <w:t>3.0</w:t>
            </w:r>
          </w:p>
        </w:tc>
        <w:tc>
          <w:tcPr>
            <w:tcW w:w="575" w:type="dxa"/>
            <w:hideMark/>
          </w:tcPr>
          <w:p w14:paraId="5EFE8B2F"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662E83D5"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21846297"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6EC6F705"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61FF758C"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204D6A15"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54EB6286"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652F7FAD"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6A41F73F"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7FB71F33" w14:textId="77777777" w:rsidR="00EB75EE" w:rsidRPr="00AC4025" w:rsidRDefault="00EB75EE" w:rsidP="00A948F8">
            <w:pPr>
              <w:pStyle w:val="NormalWeb"/>
              <w:jc w:val="center"/>
              <w:rPr>
                <w:sz w:val="18"/>
                <w:szCs w:val="18"/>
              </w:rPr>
            </w:pPr>
            <w:r w:rsidRPr="00AC4025">
              <w:rPr>
                <w:sz w:val="18"/>
                <w:szCs w:val="18"/>
              </w:rPr>
              <w:t>0</w:t>
            </w:r>
          </w:p>
        </w:tc>
      </w:tr>
      <w:tr w:rsidR="00E16519" w:rsidRPr="00AC4025" w14:paraId="4455DF2B" w14:textId="77777777"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14:paraId="190D00E4" w14:textId="77777777" w:rsidR="00EB75EE" w:rsidRPr="00AC4025" w:rsidRDefault="00EB75EE">
            <w:pPr>
              <w:pStyle w:val="NormalWeb"/>
              <w:rPr>
                <w:sz w:val="18"/>
                <w:szCs w:val="18"/>
              </w:rPr>
            </w:pPr>
            <w:r w:rsidRPr="00AC4025">
              <w:rPr>
                <w:sz w:val="18"/>
                <w:szCs w:val="18"/>
              </w:rPr>
              <w:t>Northern Territory Remote</w:t>
            </w:r>
          </w:p>
        </w:tc>
        <w:tc>
          <w:tcPr>
            <w:tcW w:w="574" w:type="dxa"/>
            <w:hideMark/>
          </w:tcPr>
          <w:p w14:paraId="22E7ECEB"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3678AECA" w14:textId="77777777" w:rsidR="00EB75EE" w:rsidRPr="00AC4025" w:rsidRDefault="00EB75EE" w:rsidP="00A948F8">
            <w:pPr>
              <w:pStyle w:val="NormalWeb"/>
              <w:jc w:val="center"/>
              <w:rPr>
                <w:sz w:val="18"/>
                <w:szCs w:val="18"/>
              </w:rPr>
            </w:pPr>
            <w:r w:rsidRPr="00AC4025">
              <w:rPr>
                <w:sz w:val="18"/>
                <w:szCs w:val="18"/>
              </w:rPr>
              <w:t>0.8</w:t>
            </w:r>
          </w:p>
        </w:tc>
        <w:tc>
          <w:tcPr>
            <w:tcW w:w="574" w:type="dxa"/>
            <w:hideMark/>
          </w:tcPr>
          <w:p w14:paraId="4ED656CB" w14:textId="77777777" w:rsidR="00EB75EE" w:rsidRPr="00AC4025" w:rsidRDefault="00EB75EE" w:rsidP="00A948F8">
            <w:pPr>
              <w:pStyle w:val="NormalWeb"/>
              <w:jc w:val="center"/>
              <w:rPr>
                <w:sz w:val="18"/>
                <w:szCs w:val="18"/>
              </w:rPr>
            </w:pPr>
            <w:r w:rsidRPr="00AC4025">
              <w:rPr>
                <w:sz w:val="18"/>
                <w:szCs w:val="18"/>
              </w:rPr>
              <w:t>1</w:t>
            </w:r>
          </w:p>
        </w:tc>
        <w:tc>
          <w:tcPr>
            <w:tcW w:w="575" w:type="dxa"/>
            <w:hideMark/>
          </w:tcPr>
          <w:p w14:paraId="0FCC9AAB" w14:textId="77777777" w:rsidR="00EB75EE" w:rsidRPr="00AC4025" w:rsidRDefault="00EB75EE" w:rsidP="00A948F8">
            <w:pPr>
              <w:pStyle w:val="NormalWeb"/>
              <w:jc w:val="center"/>
              <w:rPr>
                <w:sz w:val="18"/>
                <w:szCs w:val="18"/>
              </w:rPr>
            </w:pPr>
            <w:r w:rsidRPr="00AC4025">
              <w:rPr>
                <w:sz w:val="18"/>
                <w:szCs w:val="18"/>
              </w:rPr>
              <w:t>0.8</w:t>
            </w:r>
          </w:p>
        </w:tc>
        <w:tc>
          <w:tcPr>
            <w:tcW w:w="575" w:type="dxa"/>
            <w:hideMark/>
          </w:tcPr>
          <w:p w14:paraId="37563B55"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022F01FA"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606B7BFB"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168033D1"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4F50850F"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5F0D69C3"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209F4B76"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1A1EBDBE"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2861EDA1"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4FE5F787" w14:textId="77777777" w:rsidR="00EB75EE" w:rsidRPr="00AC4025" w:rsidRDefault="00EB75EE" w:rsidP="00A948F8">
            <w:pPr>
              <w:pStyle w:val="NormalWeb"/>
              <w:jc w:val="center"/>
              <w:rPr>
                <w:sz w:val="18"/>
                <w:szCs w:val="18"/>
              </w:rPr>
            </w:pPr>
            <w:r w:rsidRPr="00AC4025">
              <w:rPr>
                <w:sz w:val="18"/>
                <w:szCs w:val="18"/>
              </w:rPr>
              <w:t>0</w:t>
            </w:r>
          </w:p>
        </w:tc>
      </w:tr>
      <w:tr w:rsidR="00A948F8" w:rsidRPr="00AC4025" w14:paraId="7F3BB1C3" w14:textId="77777777" w:rsidTr="00A948F8">
        <w:tc>
          <w:tcPr>
            <w:tcW w:w="0" w:type="auto"/>
            <w:hideMark/>
          </w:tcPr>
          <w:p w14:paraId="2D5F4864" w14:textId="77777777" w:rsidR="00EB75EE" w:rsidRPr="00AC4025" w:rsidRDefault="00EB75EE">
            <w:pPr>
              <w:pStyle w:val="NormalWeb"/>
              <w:rPr>
                <w:sz w:val="18"/>
                <w:szCs w:val="18"/>
              </w:rPr>
            </w:pPr>
            <w:r w:rsidRPr="00AC4025">
              <w:rPr>
                <w:sz w:val="18"/>
                <w:szCs w:val="18"/>
              </w:rPr>
              <w:t>Western Australia non-remote</w:t>
            </w:r>
          </w:p>
        </w:tc>
        <w:tc>
          <w:tcPr>
            <w:tcW w:w="574" w:type="dxa"/>
            <w:hideMark/>
          </w:tcPr>
          <w:p w14:paraId="3B690104" w14:textId="77777777" w:rsidR="00EB75EE" w:rsidRPr="00AC4025" w:rsidRDefault="00EB75EE" w:rsidP="00A948F8">
            <w:pPr>
              <w:pStyle w:val="NormalWeb"/>
              <w:jc w:val="center"/>
              <w:rPr>
                <w:sz w:val="18"/>
                <w:szCs w:val="18"/>
              </w:rPr>
            </w:pPr>
            <w:r w:rsidRPr="00AC4025">
              <w:rPr>
                <w:sz w:val="18"/>
                <w:szCs w:val="18"/>
              </w:rPr>
              <w:t>13</w:t>
            </w:r>
          </w:p>
        </w:tc>
        <w:tc>
          <w:tcPr>
            <w:tcW w:w="575" w:type="dxa"/>
            <w:hideMark/>
          </w:tcPr>
          <w:p w14:paraId="4658C461" w14:textId="77777777" w:rsidR="00EB75EE" w:rsidRPr="00AC4025" w:rsidRDefault="00EB75EE" w:rsidP="00A948F8">
            <w:pPr>
              <w:pStyle w:val="NormalWeb"/>
              <w:jc w:val="center"/>
              <w:rPr>
                <w:sz w:val="18"/>
                <w:szCs w:val="18"/>
              </w:rPr>
            </w:pPr>
            <w:r w:rsidRPr="00AC4025">
              <w:rPr>
                <w:sz w:val="18"/>
                <w:szCs w:val="18"/>
              </w:rPr>
              <w:t>2.7</w:t>
            </w:r>
          </w:p>
        </w:tc>
        <w:tc>
          <w:tcPr>
            <w:tcW w:w="574" w:type="dxa"/>
            <w:hideMark/>
          </w:tcPr>
          <w:p w14:paraId="5672937B" w14:textId="77777777" w:rsidR="00EB75EE" w:rsidRPr="00AC4025" w:rsidRDefault="00EB75EE" w:rsidP="00A948F8">
            <w:pPr>
              <w:pStyle w:val="NormalWeb"/>
              <w:jc w:val="center"/>
              <w:rPr>
                <w:sz w:val="18"/>
                <w:szCs w:val="18"/>
              </w:rPr>
            </w:pPr>
            <w:r w:rsidRPr="00AC4025">
              <w:rPr>
                <w:sz w:val="18"/>
                <w:szCs w:val="18"/>
              </w:rPr>
              <w:t>14</w:t>
            </w:r>
          </w:p>
        </w:tc>
        <w:tc>
          <w:tcPr>
            <w:tcW w:w="575" w:type="dxa"/>
            <w:hideMark/>
          </w:tcPr>
          <w:p w14:paraId="0490B226" w14:textId="77777777" w:rsidR="00EB75EE" w:rsidRPr="00AC4025" w:rsidRDefault="00EB75EE" w:rsidP="00A948F8">
            <w:pPr>
              <w:pStyle w:val="NormalWeb"/>
              <w:jc w:val="center"/>
              <w:rPr>
                <w:sz w:val="18"/>
                <w:szCs w:val="18"/>
              </w:rPr>
            </w:pPr>
            <w:r w:rsidRPr="00AC4025">
              <w:rPr>
                <w:sz w:val="18"/>
                <w:szCs w:val="18"/>
              </w:rPr>
              <w:t>3.6</w:t>
            </w:r>
          </w:p>
        </w:tc>
        <w:tc>
          <w:tcPr>
            <w:tcW w:w="575" w:type="dxa"/>
            <w:hideMark/>
          </w:tcPr>
          <w:p w14:paraId="3E0F14D3" w14:textId="77777777" w:rsidR="00EB75EE" w:rsidRPr="00AC4025" w:rsidRDefault="00EB75EE" w:rsidP="00A948F8">
            <w:pPr>
              <w:pStyle w:val="NormalWeb"/>
              <w:jc w:val="center"/>
              <w:rPr>
                <w:sz w:val="18"/>
                <w:szCs w:val="18"/>
              </w:rPr>
            </w:pPr>
            <w:r w:rsidRPr="00AC4025">
              <w:rPr>
                <w:sz w:val="18"/>
                <w:szCs w:val="18"/>
              </w:rPr>
              <w:t>5</w:t>
            </w:r>
          </w:p>
        </w:tc>
        <w:tc>
          <w:tcPr>
            <w:tcW w:w="574" w:type="dxa"/>
            <w:hideMark/>
          </w:tcPr>
          <w:p w14:paraId="639EC542" w14:textId="77777777" w:rsidR="00EB75EE" w:rsidRPr="00AC4025" w:rsidRDefault="00EB75EE" w:rsidP="00A948F8">
            <w:pPr>
              <w:pStyle w:val="NormalWeb"/>
              <w:jc w:val="center"/>
              <w:rPr>
                <w:sz w:val="18"/>
                <w:szCs w:val="18"/>
              </w:rPr>
            </w:pPr>
            <w:r w:rsidRPr="00AC4025">
              <w:rPr>
                <w:sz w:val="18"/>
                <w:szCs w:val="18"/>
              </w:rPr>
              <w:t>1.3</w:t>
            </w:r>
          </w:p>
        </w:tc>
        <w:tc>
          <w:tcPr>
            <w:tcW w:w="575" w:type="dxa"/>
            <w:hideMark/>
          </w:tcPr>
          <w:p w14:paraId="5D025050" w14:textId="77777777" w:rsidR="00EB75EE" w:rsidRPr="00AC4025" w:rsidRDefault="00EB75EE" w:rsidP="00A948F8">
            <w:pPr>
              <w:pStyle w:val="NormalWeb"/>
              <w:jc w:val="center"/>
              <w:rPr>
                <w:sz w:val="18"/>
                <w:szCs w:val="18"/>
              </w:rPr>
            </w:pPr>
            <w:r w:rsidRPr="00AC4025">
              <w:rPr>
                <w:sz w:val="18"/>
                <w:szCs w:val="18"/>
              </w:rPr>
              <w:t>9</w:t>
            </w:r>
          </w:p>
        </w:tc>
        <w:tc>
          <w:tcPr>
            <w:tcW w:w="575" w:type="dxa"/>
            <w:hideMark/>
          </w:tcPr>
          <w:p w14:paraId="3CCFF703" w14:textId="77777777" w:rsidR="00EB75EE" w:rsidRPr="00AC4025" w:rsidRDefault="00EB75EE" w:rsidP="00A948F8">
            <w:pPr>
              <w:pStyle w:val="NormalWeb"/>
              <w:jc w:val="center"/>
              <w:rPr>
                <w:sz w:val="18"/>
                <w:szCs w:val="18"/>
              </w:rPr>
            </w:pPr>
            <w:r w:rsidRPr="00AC4025">
              <w:rPr>
                <w:sz w:val="18"/>
                <w:szCs w:val="18"/>
              </w:rPr>
              <w:t>1.3</w:t>
            </w:r>
          </w:p>
        </w:tc>
        <w:tc>
          <w:tcPr>
            <w:tcW w:w="574" w:type="dxa"/>
            <w:hideMark/>
          </w:tcPr>
          <w:p w14:paraId="114401CA" w14:textId="77777777" w:rsidR="00EB75EE" w:rsidRPr="00AC4025" w:rsidRDefault="00EB75EE" w:rsidP="00A948F8">
            <w:pPr>
              <w:pStyle w:val="NormalWeb"/>
              <w:jc w:val="center"/>
              <w:rPr>
                <w:sz w:val="18"/>
                <w:szCs w:val="18"/>
              </w:rPr>
            </w:pPr>
            <w:r w:rsidRPr="00AC4025">
              <w:rPr>
                <w:sz w:val="18"/>
                <w:szCs w:val="18"/>
              </w:rPr>
              <w:t>9</w:t>
            </w:r>
          </w:p>
        </w:tc>
        <w:tc>
          <w:tcPr>
            <w:tcW w:w="575" w:type="dxa"/>
            <w:hideMark/>
          </w:tcPr>
          <w:p w14:paraId="790551BC" w14:textId="77777777" w:rsidR="00EB75EE" w:rsidRPr="00AC4025" w:rsidRDefault="00EB75EE" w:rsidP="00A948F8">
            <w:pPr>
              <w:pStyle w:val="NormalWeb"/>
              <w:jc w:val="center"/>
              <w:rPr>
                <w:sz w:val="18"/>
                <w:szCs w:val="18"/>
              </w:rPr>
            </w:pPr>
            <w:r w:rsidRPr="00AC4025">
              <w:rPr>
                <w:sz w:val="18"/>
                <w:szCs w:val="18"/>
              </w:rPr>
              <w:t>1.4</w:t>
            </w:r>
          </w:p>
        </w:tc>
        <w:tc>
          <w:tcPr>
            <w:tcW w:w="575" w:type="dxa"/>
            <w:hideMark/>
          </w:tcPr>
          <w:p w14:paraId="5C1D91B5" w14:textId="77777777" w:rsidR="00EB75EE" w:rsidRPr="00AC4025" w:rsidRDefault="00EB75EE" w:rsidP="00A948F8">
            <w:pPr>
              <w:pStyle w:val="NormalWeb"/>
              <w:jc w:val="center"/>
              <w:rPr>
                <w:sz w:val="18"/>
                <w:szCs w:val="18"/>
              </w:rPr>
            </w:pPr>
            <w:r w:rsidRPr="00AC4025">
              <w:rPr>
                <w:sz w:val="18"/>
                <w:szCs w:val="18"/>
              </w:rPr>
              <w:t>14</w:t>
            </w:r>
          </w:p>
        </w:tc>
        <w:tc>
          <w:tcPr>
            <w:tcW w:w="574" w:type="dxa"/>
            <w:hideMark/>
          </w:tcPr>
          <w:p w14:paraId="756BA2B2" w14:textId="77777777" w:rsidR="00EB75EE" w:rsidRPr="00AC4025" w:rsidRDefault="00EB75EE" w:rsidP="00A948F8">
            <w:pPr>
              <w:pStyle w:val="NormalWeb"/>
              <w:jc w:val="center"/>
              <w:rPr>
                <w:sz w:val="18"/>
                <w:szCs w:val="18"/>
              </w:rPr>
            </w:pPr>
            <w:r w:rsidRPr="00AC4025">
              <w:rPr>
                <w:sz w:val="18"/>
                <w:szCs w:val="18"/>
              </w:rPr>
              <w:t>2.1</w:t>
            </w:r>
          </w:p>
        </w:tc>
        <w:tc>
          <w:tcPr>
            <w:tcW w:w="575" w:type="dxa"/>
            <w:hideMark/>
          </w:tcPr>
          <w:p w14:paraId="3D4D6D9E" w14:textId="77777777" w:rsidR="00EB75EE" w:rsidRPr="00AC4025" w:rsidRDefault="00EB75EE" w:rsidP="00A948F8">
            <w:pPr>
              <w:pStyle w:val="NormalWeb"/>
              <w:jc w:val="center"/>
              <w:rPr>
                <w:sz w:val="18"/>
                <w:szCs w:val="18"/>
              </w:rPr>
            </w:pPr>
            <w:r w:rsidRPr="00AC4025">
              <w:rPr>
                <w:sz w:val="18"/>
                <w:szCs w:val="18"/>
              </w:rPr>
              <w:t>11</w:t>
            </w:r>
          </w:p>
        </w:tc>
        <w:tc>
          <w:tcPr>
            <w:tcW w:w="575" w:type="dxa"/>
            <w:hideMark/>
          </w:tcPr>
          <w:p w14:paraId="5E73100D" w14:textId="77777777" w:rsidR="00EB75EE" w:rsidRPr="00AC4025" w:rsidRDefault="00EB75EE" w:rsidP="00A948F8">
            <w:pPr>
              <w:pStyle w:val="NormalWeb"/>
              <w:jc w:val="center"/>
              <w:rPr>
                <w:sz w:val="18"/>
                <w:szCs w:val="18"/>
              </w:rPr>
            </w:pPr>
            <w:r w:rsidRPr="00AC4025">
              <w:rPr>
                <w:sz w:val="18"/>
                <w:szCs w:val="18"/>
              </w:rPr>
              <w:t>1.5</w:t>
            </w:r>
          </w:p>
        </w:tc>
      </w:tr>
      <w:tr w:rsidR="00E16519" w:rsidRPr="00AC4025" w14:paraId="1C7AC22D" w14:textId="77777777" w:rsidTr="00A948F8">
        <w:trPr>
          <w:cnfStyle w:val="000000010000" w:firstRow="0" w:lastRow="0" w:firstColumn="0" w:lastColumn="0" w:oddVBand="0" w:evenVBand="0" w:oddHBand="0" w:evenHBand="1" w:firstRowFirstColumn="0" w:firstRowLastColumn="0" w:lastRowFirstColumn="0" w:lastRowLastColumn="0"/>
        </w:trPr>
        <w:tc>
          <w:tcPr>
            <w:tcW w:w="0" w:type="auto"/>
            <w:hideMark/>
          </w:tcPr>
          <w:p w14:paraId="301F8D63" w14:textId="77777777" w:rsidR="00EB75EE" w:rsidRPr="00AC4025" w:rsidRDefault="00EB75EE">
            <w:pPr>
              <w:pStyle w:val="NormalWeb"/>
              <w:rPr>
                <w:sz w:val="18"/>
                <w:szCs w:val="18"/>
              </w:rPr>
            </w:pPr>
            <w:r w:rsidRPr="00AC4025">
              <w:rPr>
                <w:sz w:val="18"/>
                <w:szCs w:val="18"/>
              </w:rPr>
              <w:t>Western Australia Remote</w:t>
            </w:r>
          </w:p>
        </w:tc>
        <w:tc>
          <w:tcPr>
            <w:tcW w:w="574" w:type="dxa"/>
            <w:hideMark/>
          </w:tcPr>
          <w:p w14:paraId="457FD912"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54B753AA"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18118F94" w14:textId="77777777" w:rsidR="00EB75EE" w:rsidRPr="00AC4025" w:rsidRDefault="00EB75EE" w:rsidP="00A948F8">
            <w:pPr>
              <w:pStyle w:val="NormalWeb"/>
              <w:jc w:val="center"/>
              <w:rPr>
                <w:sz w:val="18"/>
                <w:szCs w:val="18"/>
              </w:rPr>
            </w:pPr>
            <w:r w:rsidRPr="00AC4025">
              <w:rPr>
                <w:sz w:val="18"/>
                <w:szCs w:val="18"/>
              </w:rPr>
              <w:t>1</w:t>
            </w:r>
          </w:p>
        </w:tc>
        <w:tc>
          <w:tcPr>
            <w:tcW w:w="575" w:type="dxa"/>
            <w:hideMark/>
          </w:tcPr>
          <w:p w14:paraId="74BDED0A" w14:textId="77777777" w:rsidR="00EB75EE" w:rsidRPr="00AC4025" w:rsidRDefault="00EB75EE" w:rsidP="00A948F8">
            <w:pPr>
              <w:pStyle w:val="NormalWeb"/>
              <w:jc w:val="center"/>
              <w:rPr>
                <w:sz w:val="18"/>
                <w:szCs w:val="18"/>
              </w:rPr>
            </w:pPr>
            <w:r w:rsidRPr="00AC4025">
              <w:rPr>
                <w:sz w:val="18"/>
                <w:szCs w:val="18"/>
              </w:rPr>
              <w:t>0.9</w:t>
            </w:r>
          </w:p>
        </w:tc>
        <w:tc>
          <w:tcPr>
            <w:tcW w:w="575" w:type="dxa"/>
            <w:hideMark/>
          </w:tcPr>
          <w:p w14:paraId="353B9564"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49DEE170"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067B63CD"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46B06858"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789FCCA2"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257A6CCC"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64AC9105" w14:textId="77777777" w:rsidR="00EB75EE" w:rsidRPr="00AC4025" w:rsidRDefault="00EB75EE" w:rsidP="00A948F8">
            <w:pPr>
              <w:pStyle w:val="NormalWeb"/>
              <w:jc w:val="center"/>
              <w:rPr>
                <w:sz w:val="18"/>
                <w:szCs w:val="18"/>
              </w:rPr>
            </w:pPr>
            <w:r w:rsidRPr="00AC4025">
              <w:rPr>
                <w:sz w:val="18"/>
                <w:szCs w:val="18"/>
              </w:rPr>
              <w:t>0</w:t>
            </w:r>
          </w:p>
        </w:tc>
        <w:tc>
          <w:tcPr>
            <w:tcW w:w="574" w:type="dxa"/>
            <w:hideMark/>
          </w:tcPr>
          <w:p w14:paraId="4B444E86" w14:textId="77777777" w:rsidR="00EB75EE" w:rsidRPr="00AC4025" w:rsidRDefault="00EB75EE" w:rsidP="00A948F8">
            <w:pPr>
              <w:pStyle w:val="NormalWeb"/>
              <w:jc w:val="center"/>
              <w:rPr>
                <w:sz w:val="18"/>
                <w:szCs w:val="18"/>
              </w:rPr>
            </w:pPr>
            <w:r w:rsidRPr="00AC4025">
              <w:rPr>
                <w:sz w:val="18"/>
                <w:szCs w:val="18"/>
              </w:rPr>
              <w:t>0</w:t>
            </w:r>
          </w:p>
        </w:tc>
        <w:tc>
          <w:tcPr>
            <w:tcW w:w="575" w:type="dxa"/>
            <w:hideMark/>
          </w:tcPr>
          <w:p w14:paraId="16853F20" w14:textId="77777777" w:rsidR="00EB75EE" w:rsidRPr="00AC4025" w:rsidRDefault="00EB75EE" w:rsidP="00A948F8">
            <w:pPr>
              <w:pStyle w:val="NormalWeb"/>
              <w:jc w:val="center"/>
              <w:rPr>
                <w:sz w:val="18"/>
                <w:szCs w:val="18"/>
              </w:rPr>
            </w:pPr>
            <w:r w:rsidRPr="00AC4025">
              <w:rPr>
                <w:sz w:val="18"/>
                <w:szCs w:val="18"/>
              </w:rPr>
              <w:t>2</w:t>
            </w:r>
          </w:p>
        </w:tc>
        <w:tc>
          <w:tcPr>
            <w:tcW w:w="575" w:type="dxa"/>
            <w:hideMark/>
          </w:tcPr>
          <w:p w14:paraId="10D37D4E" w14:textId="77777777" w:rsidR="00EB75EE" w:rsidRPr="00AC4025" w:rsidRDefault="00EB75EE" w:rsidP="00A948F8">
            <w:pPr>
              <w:pStyle w:val="NormalWeb"/>
              <w:jc w:val="center"/>
              <w:rPr>
                <w:sz w:val="18"/>
                <w:szCs w:val="18"/>
              </w:rPr>
            </w:pPr>
            <w:r w:rsidRPr="00AC4025">
              <w:rPr>
                <w:sz w:val="18"/>
                <w:szCs w:val="18"/>
              </w:rPr>
              <w:t>2.4</w:t>
            </w:r>
          </w:p>
        </w:tc>
      </w:tr>
      <w:tr w:rsidR="00A948F8" w:rsidRPr="00A3735F" w14:paraId="59256B50" w14:textId="77777777" w:rsidTr="00A3735F">
        <w:tc>
          <w:tcPr>
            <w:tcW w:w="0" w:type="auto"/>
            <w:shd w:val="clear" w:color="auto" w:fill="FDE9D9" w:themeFill="accent6" w:themeFillTint="33"/>
            <w:hideMark/>
          </w:tcPr>
          <w:p w14:paraId="2C77EB9A" w14:textId="77777777" w:rsidR="00EB75EE" w:rsidRPr="00A3735F" w:rsidRDefault="00EB75EE">
            <w:pPr>
              <w:pStyle w:val="NormalWeb"/>
              <w:rPr>
                <w:b/>
                <w:sz w:val="18"/>
                <w:szCs w:val="18"/>
              </w:rPr>
            </w:pPr>
            <w:r w:rsidRPr="00A3735F">
              <w:rPr>
                <w:b/>
                <w:sz w:val="18"/>
                <w:szCs w:val="18"/>
              </w:rPr>
              <w:t>Australia</w:t>
            </w:r>
          </w:p>
        </w:tc>
        <w:tc>
          <w:tcPr>
            <w:tcW w:w="574" w:type="dxa"/>
            <w:shd w:val="clear" w:color="auto" w:fill="FDE9D9" w:themeFill="accent6" w:themeFillTint="33"/>
            <w:hideMark/>
          </w:tcPr>
          <w:p w14:paraId="0F962FB7" w14:textId="77777777" w:rsidR="00EB75EE" w:rsidRPr="00A3735F" w:rsidRDefault="00EB75EE" w:rsidP="00A948F8">
            <w:pPr>
              <w:pStyle w:val="NormalWeb"/>
              <w:jc w:val="center"/>
              <w:rPr>
                <w:b/>
                <w:sz w:val="18"/>
                <w:szCs w:val="18"/>
              </w:rPr>
            </w:pPr>
            <w:r w:rsidRPr="00A3735F">
              <w:rPr>
                <w:b/>
                <w:sz w:val="18"/>
                <w:szCs w:val="18"/>
              </w:rPr>
              <w:t>429</w:t>
            </w:r>
          </w:p>
        </w:tc>
        <w:tc>
          <w:tcPr>
            <w:tcW w:w="575" w:type="dxa"/>
            <w:shd w:val="clear" w:color="auto" w:fill="FDE9D9" w:themeFill="accent6" w:themeFillTint="33"/>
            <w:hideMark/>
          </w:tcPr>
          <w:p w14:paraId="0FB13EE0" w14:textId="77777777" w:rsidR="00EB75EE" w:rsidRPr="00A3735F" w:rsidRDefault="00EB75EE" w:rsidP="00A948F8">
            <w:pPr>
              <w:pStyle w:val="NormalWeb"/>
              <w:jc w:val="center"/>
              <w:rPr>
                <w:b/>
                <w:sz w:val="18"/>
                <w:szCs w:val="18"/>
              </w:rPr>
            </w:pPr>
            <w:r w:rsidRPr="00A3735F">
              <w:rPr>
                <w:b/>
                <w:sz w:val="18"/>
                <w:szCs w:val="18"/>
              </w:rPr>
              <w:t>8.8</w:t>
            </w:r>
          </w:p>
        </w:tc>
        <w:tc>
          <w:tcPr>
            <w:tcW w:w="574" w:type="dxa"/>
            <w:shd w:val="clear" w:color="auto" w:fill="FDE9D9" w:themeFill="accent6" w:themeFillTint="33"/>
            <w:hideMark/>
          </w:tcPr>
          <w:p w14:paraId="1DC5BE1E" w14:textId="77777777" w:rsidR="00EB75EE" w:rsidRPr="00A3735F" w:rsidRDefault="00EB75EE" w:rsidP="00A948F8">
            <w:pPr>
              <w:pStyle w:val="NormalWeb"/>
              <w:jc w:val="center"/>
              <w:rPr>
                <w:b/>
                <w:sz w:val="18"/>
                <w:szCs w:val="18"/>
              </w:rPr>
            </w:pPr>
            <w:r w:rsidRPr="00A3735F">
              <w:rPr>
                <w:b/>
                <w:sz w:val="18"/>
                <w:szCs w:val="18"/>
              </w:rPr>
              <w:t>258</w:t>
            </w:r>
          </w:p>
        </w:tc>
        <w:tc>
          <w:tcPr>
            <w:tcW w:w="575" w:type="dxa"/>
            <w:shd w:val="clear" w:color="auto" w:fill="FDE9D9" w:themeFill="accent6" w:themeFillTint="33"/>
            <w:hideMark/>
          </w:tcPr>
          <w:p w14:paraId="461B34DA" w14:textId="77777777" w:rsidR="00EB75EE" w:rsidRPr="00A3735F" w:rsidRDefault="00EB75EE" w:rsidP="00A948F8">
            <w:pPr>
              <w:pStyle w:val="NormalWeb"/>
              <w:jc w:val="center"/>
              <w:rPr>
                <w:b/>
                <w:sz w:val="18"/>
                <w:szCs w:val="18"/>
              </w:rPr>
            </w:pPr>
            <w:r w:rsidRPr="00A3735F">
              <w:rPr>
                <w:b/>
                <w:sz w:val="18"/>
                <w:szCs w:val="18"/>
              </w:rPr>
              <w:t>5.4</w:t>
            </w:r>
          </w:p>
        </w:tc>
        <w:tc>
          <w:tcPr>
            <w:tcW w:w="575" w:type="dxa"/>
            <w:shd w:val="clear" w:color="auto" w:fill="FDE9D9" w:themeFill="accent6" w:themeFillTint="33"/>
            <w:hideMark/>
          </w:tcPr>
          <w:p w14:paraId="1CC772A1" w14:textId="77777777" w:rsidR="00EB75EE" w:rsidRPr="00A3735F" w:rsidRDefault="00EB75EE" w:rsidP="00A948F8">
            <w:pPr>
              <w:pStyle w:val="NormalWeb"/>
              <w:jc w:val="center"/>
              <w:rPr>
                <w:b/>
                <w:sz w:val="18"/>
                <w:szCs w:val="18"/>
              </w:rPr>
            </w:pPr>
            <w:r w:rsidRPr="00A3735F">
              <w:rPr>
                <w:b/>
                <w:sz w:val="18"/>
                <w:szCs w:val="18"/>
              </w:rPr>
              <w:t>98</w:t>
            </w:r>
          </w:p>
        </w:tc>
        <w:tc>
          <w:tcPr>
            <w:tcW w:w="574" w:type="dxa"/>
            <w:shd w:val="clear" w:color="auto" w:fill="FDE9D9" w:themeFill="accent6" w:themeFillTint="33"/>
            <w:hideMark/>
          </w:tcPr>
          <w:p w14:paraId="2A853F64" w14:textId="77777777" w:rsidR="00EB75EE" w:rsidRPr="00A3735F" w:rsidRDefault="00EB75EE" w:rsidP="00A948F8">
            <w:pPr>
              <w:pStyle w:val="NormalWeb"/>
              <w:jc w:val="center"/>
              <w:rPr>
                <w:b/>
                <w:sz w:val="18"/>
                <w:szCs w:val="18"/>
              </w:rPr>
            </w:pPr>
            <w:r w:rsidRPr="00A3735F">
              <w:rPr>
                <w:b/>
                <w:sz w:val="18"/>
                <w:szCs w:val="18"/>
              </w:rPr>
              <w:t>1.8</w:t>
            </w:r>
          </w:p>
        </w:tc>
        <w:tc>
          <w:tcPr>
            <w:tcW w:w="575" w:type="dxa"/>
            <w:shd w:val="clear" w:color="auto" w:fill="FDE9D9" w:themeFill="accent6" w:themeFillTint="33"/>
            <w:hideMark/>
          </w:tcPr>
          <w:p w14:paraId="54DD9BF2" w14:textId="77777777" w:rsidR="00EB75EE" w:rsidRPr="00A3735F" w:rsidRDefault="00EB75EE" w:rsidP="00A948F8">
            <w:pPr>
              <w:pStyle w:val="NormalWeb"/>
              <w:jc w:val="center"/>
              <w:rPr>
                <w:b/>
                <w:sz w:val="18"/>
                <w:szCs w:val="18"/>
              </w:rPr>
            </w:pPr>
            <w:r w:rsidRPr="00A3735F">
              <w:rPr>
                <w:b/>
                <w:sz w:val="18"/>
                <w:szCs w:val="18"/>
              </w:rPr>
              <w:t>109</w:t>
            </w:r>
          </w:p>
        </w:tc>
        <w:tc>
          <w:tcPr>
            <w:tcW w:w="575" w:type="dxa"/>
            <w:shd w:val="clear" w:color="auto" w:fill="FDE9D9" w:themeFill="accent6" w:themeFillTint="33"/>
            <w:hideMark/>
          </w:tcPr>
          <w:p w14:paraId="54B46ABB" w14:textId="77777777" w:rsidR="00EB75EE" w:rsidRPr="00A3735F" w:rsidRDefault="00EB75EE" w:rsidP="00A948F8">
            <w:pPr>
              <w:pStyle w:val="NormalWeb"/>
              <w:jc w:val="center"/>
              <w:rPr>
                <w:b/>
                <w:sz w:val="18"/>
                <w:szCs w:val="18"/>
              </w:rPr>
            </w:pPr>
            <w:r w:rsidRPr="00A3735F">
              <w:rPr>
                <w:b/>
                <w:sz w:val="18"/>
                <w:szCs w:val="18"/>
              </w:rPr>
              <w:t>1.7</w:t>
            </w:r>
          </w:p>
        </w:tc>
        <w:tc>
          <w:tcPr>
            <w:tcW w:w="574" w:type="dxa"/>
            <w:shd w:val="clear" w:color="auto" w:fill="FDE9D9" w:themeFill="accent6" w:themeFillTint="33"/>
            <w:hideMark/>
          </w:tcPr>
          <w:p w14:paraId="286F5D47" w14:textId="77777777" w:rsidR="00EB75EE" w:rsidRPr="00A3735F" w:rsidRDefault="00EB75EE" w:rsidP="00A948F8">
            <w:pPr>
              <w:pStyle w:val="NormalWeb"/>
              <w:jc w:val="center"/>
              <w:rPr>
                <w:b/>
                <w:sz w:val="18"/>
                <w:szCs w:val="18"/>
              </w:rPr>
            </w:pPr>
            <w:r w:rsidRPr="00A3735F">
              <w:rPr>
                <w:b/>
                <w:sz w:val="18"/>
                <w:szCs w:val="18"/>
              </w:rPr>
              <w:t>83</w:t>
            </w:r>
          </w:p>
        </w:tc>
        <w:tc>
          <w:tcPr>
            <w:tcW w:w="575" w:type="dxa"/>
            <w:shd w:val="clear" w:color="auto" w:fill="FDE9D9" w:themeFill="accent6" w:themeFillTint="33"/>
            <w:hideMark/>
          </w:tcPr>
          <w:p w14:paraId="535A425C" w14:textId="77777777" w:rsidR="00EB75EE" w:rsidRPr="00A3735F" w:rsidRDefault="00EB75EE" w:rsidP="00A948F8">
            <w:pPr>
              <w:pStyle w:val="NormalWeb"/>
              <w:jc w:val="center"/>
              <w:rPr>
                <w:b/>
                <w:sz w:val="18"/>
                <w:szCs w:val="18"/>
              </w:rPr>
            </w:pPr>
            <w:r w:rsidRPr="00A3735F">
              <w:rPr>
                <w:b/>
                <w:sz w:val="18"/>
                <w:szCs w:val="18"/>
              </w:rPr>
              <w:t>1.1</w:t>
            </w:r>
          </w:p>
        </w:tc>
        <w:tc>
          <w:tcPr>
            <w:tcW w:w="575" w:type="dxa"/>
            <w:shd w:val="clear" w:color="auto" w:fill="FDE9D9" w:themeFill="accent6" w:themeFillTint="33"/>
            <w:hideMark/>
          </w:tcPr>
          <w:p w14:paraId="48B0ADE5" w14:textId="77777777" w:rsidR="00EB75EE" w:rsidRPr="00A3735F" w:rsidRDefault="00EB75EE" w:rsidP="00A948F8">
            <w:pPr>
              <w:pStyle w:val="NormalWeb"/>
              <w:jc w:val="center"/>
              <w:rPr>
                <w:b/>
                <w:sz w:val="18"/>
                <w:szCs w:val="18"/>
              </w:rPr>
            </w:pPr>
            <w:r w:rsidRPr="00A3735F">
              <w:rPr>
                <w:b/>
                <w:sz w:val="18"/>
                <w:szCs w:val="18"/>
              </w:rPr>
              <w:t>156</w:t>
            </w:r>
          </w:p>
        </w:tc>
        <w:tc>
          <w:tcPr>
            <w:tcW w:w="574" w:type="dxa"/>
            <w:shd w:val="clear" w:color="auto" w:fill="FDE9D9" w:themeFill="accent6" w:themeFillTint="33"/>
            <w:hideMark/>
          </w:tcPr>
          <w:p w14:paraId="3D0C084D" w14:textId="77777777" w:rsidR="00EB75EE" w:rsidRPr="00A3735F" w:rsidRDefault="00EB75EE" w:rsidP="00A948F8">
            <w:pPr>
              <w:pStyle w:val="NormalWeb"/>
              <w:jc w:val="center"/>
              <w:rPr>
                <w:b/>
                <w:sz w:val="18"/>
                <w:szCs w:val="18"/>
              </w:rPr>
            </w:pPr>
            <w:r w:rsidRPr="00A3735F">
              <w:rPr>
                <w:b/>
                <w:sz w:val="18"/>
                <w:szCs w:val="18"/>
              </w:rPr>
              <w:t>1.7</w:t>
            </w:r>
          </w:p>
        </w:tc>
        <w:tc>
          <w:tcPr>
            <w:tcW w:w="575" w:type="dxa"/>
            <w:shd w:val="clear" w:color="auto" w:fill="FDE9D9" w:themeFill="accent6" w:themeFillTint="33"/>
            <w:hideMark/>
          </w:tcPr>
          <w:p w14:paraId="11A75136" w14:textId="77777777" w:rsidR="00EB75EE" w:rsidRPr="00A3735F" w:rsidRDefault="00EB75EE" w:rsidP="00A948F8">
            <w:pPr>
              <w:pStyle w:val="NormalWeb"/>
              <w:jc w:val="center"/>
              <w:rPr>
                <w:b/>
                <w:sz w:val="18"/>
                <w:szCs w:val="18"/>
              </w:rPr>
            </w:pPr>
            <w:r w:rsidRPr="00A3735F">
              <w:rPr>
                <w:b/>
                <w:sz w:val="18"/>
                <w:szCs w:val="18"/>
              </w:rPr>
              <w:t>127</w:t>
            </w:r>
          </w:p>
        </w:tc>
        <w:tc>
          <w:tcPr>
            <w:tcW w:w="575" w:type="dxa"/>
            <w:shd w:val="clear" w:color="auto" w:fill="FDE9D9" w:themeFill="accent6" w:themeFillTint="33"/>
            <w:hideMark/>
          </w:tcPr>
          <w:p w14:paraId="5AE332EC" w14:textId="77777777" w:rsidR="00EB75EE" w:rsidRPr="00A3735F" w:rsidRDefault="00EB75EE" w:rsidP="00A948F8">
            <w:pPr>
              <w:pStyle w:val="NormalWeb"/>
              <w:jc w:val="center"/>
              <w:rPr>
                <w:b/>
                <w:sz w:val="18"/>
                <w:szCs w:val="18"/>
              </w:rPr>
            </w:pPr>
            <w:r w:rsidRPr="00A3735F">
              <w:rPr>
                <w:b/>
                <w:sz w:val="18"/>
                <w:szCs w:val="18"/>
              </w:rPr>
              <w:t>1.3</w:t>
            </w:r>
          </w:p>
        </w:tc>
      </w:tr>
    </w:tbl>
    <w:p w14:paraId="0B92C544" w14:textId="77777777" w:rsidR="00EB75EE" w:rsidRDefault="00EB75EE" w:rsidP="00224B6C">
      <w:pPr>
        <w:pStyle w:val="CDIFigures"/>
      </w:pPr>
      <w:r>
        <w:t>Table 5: Proportion (%) of gonococcal isolates tested in Australia with ceftriaxone MIC values at 0.06 mg/L and ≥ 0.125 mg/L, 2010–2019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the proportions of gonococcal isolates with decreased susceptibility (MIC 0.06) and resistance (MIC ≥0.125mg/L) to ceftriaxone, over the years 2010 to 2019. In Australia the proportion with a ceftriaxone MIC of 0.06 mg/L increased from 3.2% in 2011 to 8.2% in 2013, but then decreased on average to 1.19% in 2019. The percent of isolates with a ceftriaxone MIC value of ≥0.125mgL increased from 0.1% in 2011 to 0.6% in 2013-2014, but then decreased to 0.06% in 2018, however, rates have once again increased to 0.14% in 2019."/>
      </w:tblPr>
      <w:tblGrid>
        <w:gridCol w:w="983"/>
        <w:gridCol w:w="945"/>
        <w:gridCol w:w="946"/>
        <w:gridCol w:w="946"/>
        <w:gridCol w:w="945"/>
        <w:gridCol w:w="946"/>
        <w:gridCol w:w="946"/>
        <w:gridCol w:w="945"/>
        <w:gridCol w:w="946"/>
        <w:gridCol w:w="946"/>
        <w:gridCol w:w="946"/>
      </w:tblGrid>
      <w:tr w:rsidR="00D455BD" w:rsidRPr="00340C4F" w14:paraId="2B481CCF" w14:textId="77777777" w:rsidTr="00774D07">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8A67615" w14:textId="77777777" w:rsidR="00EB75EE" w:rsidRPr="00340C4F" w:rsidRDefault="00EB75EE">
            <w:pPr>
              <w:pStyle w:val="NormalWeb"/>
              <w:rPr>
                <w:color w:val="FFFFFF" w:themeColor="background1"/>
                <w:sz w:val="18"/>
                <w:szCs w:val="18"/>
              </w:rPr>
            </w:pPr>
            <w:r w:rsidRPr="00340C4F">
              <w:rPr>
                <w:color w:val="FFFFFF" w:themeColor="background1"/>
                <w:sz w:val="18"/>
                <w:szCs w:val="18"/>
              </w:rPr>
              <w:t>Ceftriaxone</w:t>
            </w:r>
          </w:p>
        </w:tc>
        <w:tc>
          <w:tcPr>
            <w:tcW w:w="945" w:type="dxa"/>
            <w:vMerge w:val="restart"/>
            <w:hideMark/>
          </w:tcPr>
          <w:p w14:paraId="450CB5D5"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2010</w:t>
            </w:r>
          </w:p>
        </w:tc>
        <w:tc>
          <w:tcPr>
            <w:tcW w:w="946" w:type="dxa"/>
            <w:vMerge w:val="restart"/>
            <w:hideMark/>
          </w:tcPr>
          <w:p w14:paraId="13A87AAF"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2011</w:t>
            </w:r>
          </w:p>
        </w:tc>
        <w:tc>
          <w:tcPr>
            <w:tcW w:w="946" w:type="dxa"/>
            <w:vMerge w:val="restart"/>
            <w:hideMark/>
          </w:tcPr>
          <w:p w14:paraId="417737EF"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2012</w:t>
            </w:r>
          </w:p>
        </w:tc>
        <w:tc>
          <w:tcPr>
            <w:tcW w:w="945" w:type="dxa"/>
            <w:vMerge w:val="restart"/>
            <w:hideMark/>
          </w:tcPr>
          <w:p w14:paraId="15A993AF"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2013</w:t>
            </w:r>
          </w:p>
        </w:tc>
        <w:tc>
          <w:tcPr>
            <w:tcW w:w="946" w:type="dxa"/>
            <w:vMerge w:val="restart"/>
            <w:hideMark/>
          </w:tcPr>
          <w:p w14:paraId="25935B78"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2014</w:t>
            </w:r>
          </w:p>
        </w:tc>
        <w:tc>
          <w:tcPr>
            <w:tcW w:w="946" w:type="dxa"/>
            <w:vMerge w:val="restart"/>
            <w:hideMark/>
          </w:tcPr>
          <w:p w14:paraId="2128DB98"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2015</w:t>
            </w:r>
          </w:p>
        </w:tc>
        <w:tc>
          <w:tcPr>
            <w:tcW w:w="945" w:type="dxa"/>
            <w:vMerge w:val="restart"/>
            <w:hideMark/>
          </w:tcPr>
          <w:p w14:paraId="377D1742"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2016</w:t>
            </w:r>
          </w:p>
        </w:tc>
        <w:tc>
          <w:tcPr>
            <w:tcW w:w="946" w:type="dxa"/>
            <w:vMerge w:val="restart"/>
            <w:hideMark/>
          </w:tcPr>
          <w:p w14:paraId="54F20BED"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2017</w:t>
            </w:r>
          </w:p>
        </w:tc>
        <w:tc>
          <w:tcPr>
            <w:tcW w:w="946" w:type="dxa"/>
            <w:vMerge w:val="restart"/>
            <w:hideMark/>
          </w:tcPr>
          <w:p w14:paraId="64C071D7"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2018</w:t>
            </w:r>
          </w:p>
        </w:tc>
        <w:tc>
          <w:tcPr>
            <w:tcW w:w="946" w:type="dxa"/>
            <w:vMerge w:val="restart"/>
            <w:hideMark/>
          </w:tcPr>
          <w:p w14:paraId="45DC30C7" w14:textId="77777777" w:rsidR="00EB75EE" w:rsidRPr="00340C4F" w:rsidRDefault="00EB75EE" w:rsidP="00774D07">
            <w:pPr>
              <w:pStyle w:val="NormalWeb"/>
              <w:jc w:val="center"/>
              <w:rPr>
                <w:color w:val="FFFFFF" w:themeColor="background1"/>
                <w:sz w:val="18"/>
                <w:szCs w:val="18"/>
              </w:rPr>
            </w:pPr>
            <w:r w:rsidRPr="00340C4F">
              <w:rPr>
                <w:color w:val="FFFFFF" w:themeColor="background1"/>
                <w:sz w:val="18"/>
                <w:szCs w:val="18"/>
              </w:rPr>
              <w:t>2019</w:t>
            </w:r>
          </w:p>
        </w:tc>
      </w:tr>
      <w:tr w:rsidR="00D455BD" w:rsidRPr="00340C4F" w14:paraId="10D44431" w14:textId="77777777" w:rsidTr="00774D07">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885F4DD" w14:textId="77777777" w:rsidR="00EB75EE" w:rsidRPr="00340C4F" w:rsidRDefault="00EB75EE">
            <w:pPr>
              <w:pStyle w:val="NormalWeb"/>
              <w:rPr>
                <w:color w:val="FFFFFF" w:themeColor="background1"/>
                <w:sz w:val="18"/>
                <w:szCs w:val="18"/>
              </w:rPr>
            </w:pPr>
            <w:r w:rsidRPr="00340C4F">
              <w:rPr>
                <w:color w:val="FFFFFF" w:themeColor="background1"/>
                <w:sz w:val="18"/>
                <w:szCs w:val="18"/>
              </w:rPr>
              <w:t>MIC mg/L</w:t>
            </w:r>
          </w:p>
        </w:tc>
        <w:tc>
          <w:tcPr>
            <w:tcW w:w="945" w:type="dxa"/>
            <w:vMerge/>
            <w:hideMark/>
          </w:tcPr>
          <w:p w14:paraId="160F7697" w14:textId="77777777" w:rsidR="00EB75EE" w:rsidRPr="00340C4F" w:rsidRDefault="00EB75EE" w:rsidP="00774D07">
            <w:pPr>
              <w:jc w:val="center"/>
              <w:rPr>
                <w:color w:val="FFFFFF" w:themeColor="background1"/>
                <w:sz w:val="18"/>
                <w:szCs w:val="18"/>
              </w:rPr>
            </w:pPr>
          </w:p>
        </w:tc>
        <w:tc>
          <w:tcPr>
            <w:tcW w:w="946" w:type="dxa"/>
            <w:vMerge/>
            <w:hideMark/>
          </w:tcPr>
          <w:p w14:paraId="6A452A16" w14:textId="77777777" w:rsidR="00EB75EE" w:rsidRPr="00340C4F" w:rsidRDefault="00EB75EE" w:rsidP="00774D07">
            <w:pPr>
              <w:jc w:val="center"/>
              <w:rPr>
                <w:color w:val="FFFFFF" w:themeColor="background1"/>
                <w:sz w:val="18"/>
                <w:szCs w:val="18"/>
              </w:rPr>
            </w:pPr>
          </w:p>
        </w:tc>
        <w:tc>
          <w:tcPr>
            <w:tcW w:w="946" w:type="dxa"/>
            <w:vMerge/>
            <w:hideMark/>
          </w:tcPr>
          <w:p w14:paraId="7A6C86C6" w14:textId="77777777" w:rsidR="00EB75EE" w:rsidRPr="00340C4F" w:rsidRDefault="00EB75EE" w:rsidP="00774D07">
            <w:pPr>
              <w:jc w:val="center"/>
              <w:rPr>
                <w:color w:val="FFFFFF" w:themeColor="background1"/>
                <w:sz w:val="18"/>
                <w:szCs w:val="18"/>
              </w:rPr>
            </w:pPr>
          </w:p>
        </w:tc>
        <w:tc>
          <w:tcPr>
            <w:tcW w:w="945" w:type="dxa"/>
            <w:vMerge/>
            <w:hideMark/>
          </w:tcPr>
          <w:p w14:paraId="307B52A4" w14:textId="77777777" w:rsidR="00EB75EE" w:rsidRPr="00340C4F" w:rsidRDefault="00EB75EE" w:rsidP="00774D07">
            <w:pPr>
              <w:jc w:val="center"/>
              <w:rPr>
                <w:color w:val="FFFFFF" w:themeColor="background1"/>
                <w:sz w:val="18"/>
                <w:szCs w:val="18"/>
              </w:rPr>
            </w:pPr>
          </w:p>
        </w:tc>
        <w:tc>
          <w:tcPr>
            <w:tcW w:w="946" w:type="dxa"/>
            <w:vMerge/>
            <w:hideMark/>
          </w:tcPr>
          <w:p w14:paraId="061E2909" w14:textId="77777777" w:rsidR="00EB75EE" w:rsidRPr="00340C4F" w:rsidRDefault="00EB75EE" w:rsidP="00774D07">
            <w:pPr>
              <w:jc w:val="center"/>
              <w:rPr>
                <w:color w:val="FFFFFF" w:themeColor="background1"/>
                <w:sz w:val="18"/>
                <w:szCs w:val="18"/>
              </w:rPr>
            </w:pPr>
          </w:p>
        </w:tc>
        <w:tc>
          <w:tcPr>
            <w:tcW w:w="946" w:type="dxa"/>
            <w:vMerge/>
            <w:hideMark/>
          </w:tcPr>
          <w:p w14:paraId="4E18EE5F" w14:textId="77777777" w:rsidR="00EB75EE" w:rsidRPr="00340C4F" w:rsidRDefault="00EB75EE" w:rsidP="00774D07">
            <w:pPr>
              <w:jc w:val="center"/>
              <w:rPr>
                <w:color w:val="FFFFFF" w:themeColor="background1"/>
                <w:sz w:val="18"/>
                <w:szCs w:val="18"/>
              </w:rPr>
            </w:pPr>
          </w:p>
        </w:tc>
        <w:tc>
          <w:tcPr>
            <w:tcW w:w="945" w:type="dxa"/>
            <w:vMerge/>
            <w:hideMark/>
          </w:tcPr>
          <w:p w14:paraId="2D7DA3E1" w14:textId="77777777" w:rsidR="00EB75EE" w:rsidRPr="00340C4F" w:rsidRDefault="00EB75EE" w:rsidP="00774D07">
            <w:pPr>
              <w:jc w:val="center"/>
              <w:rPr>
                <w:color w:val="FFFFFF" w:themeColor="background1"/>
                <w:sz w:val="18"/>
                <w:szCs w:val="18"/>
              </w:rPr>
            </w:pPr>
          </w:p>
        </w:tc>
        <w:tc>
          <w:tcPr>
            <w:tcW w:w="946" w:type="dxa"/>
            <w:vMerge/>
            <w:hideMark/>
          </w:tcPr>
          <w:p w14:paraId="4804C1C2" w14:textId="77777777" w:rsidR="00EB75EE" w:rsidRPr="00340C4F" w:rsidRDefault="00EB75EE" w:rsidP="00774D07">
            <w:pPr>
              <w:jc w:val="center"/>
              <w:rPr>
                <w:color w:val="FFFFFF" w:themeColor="background1"/>
                <w:sz w:val="18"/>
                <w:szCs w:val="18"/>
              </w:rPr>
            </w:pPr>
          </w:p>
        </w:tc>
        <w:tc>
          <w:tcPr>
            <w:tcW w:w="946" w:type="dxa"/>
            <w:vMerge/>
            <w:hideMark/>
          </w:tcPr>
          <w:p w14:paraId="798A1334" w14:textId="77777777" w:rsidR="00EB75EE" w:rsidRPr="00340C4F" w:rsidRDefault="00EB75EE" w:rsidP="00774D07">
            <w:pPr>
              <w:jc w:val="center"/>
              <w:rPr>
                <w:color w:val="FFFFFF" w:themeColor="background1"/>
                <w:sz w:val="18"/>
                <w:szCs w:val="18"/>
              </w:rPr>
            </w:pPr>
          </w:p>
        </w:tc>
        <w:tc>
          <w:tcPr>
            <w:tcW w:w="946" w:type="dxa"/>
            <w:vMerge/>
            <w:hideMark/>
          </w:tcPr>
          <w:p w14:paraId="410FA907" w14:textId="77777777" w:rsidR="00EB75EE" w:rsidRPr="00340C4F" w:rsidRDefault="00EB75EE" w:rsidP="00774D07">
            <w:pPr>
              <w:jc w:val="center"/>
              <w:rPr>
                <w:color w:val="FFFFFF" w:themeColor="background1"/>
                <w:sz w:val="18"/>
                <w:szCs w:val="18"/>
              </w:rPr>
            </w:pPr>
          </w:p>
        </w:tc>
      </w:tr>
      <w:tr w:rsidR="00340C4F" w:rsidRPr="00340C4F" w14:paraId="1F01F93B" w14:textId="77777777" w:rsidTr="00774D07">
        <w:tc>
          <w:tcPr>
            <w:tcW w:w="0" w:type="auto"/>
            <w:hideMark/>
          </w:tcPr>
          <w:p w14:paraId="3A48CCB0" w14:textId="77777777" w:rsidR="00EB75EE" w:rsidRPr="00340C4F" w:rsidRDefault="00EB75EE">
            <w:pPr>
              <w:pStyle w:val="NormalWeb"/>
              <w:rPr>
                <w:sz w:val="18"/>
                <w:szCs w:val="18"/>
              </w:rPr>
            </w:pPr>
            <w:r w:rsidRPr="00340C4F">
              <w:rPr>
                <w:sz w:val="18"/>
                <w:szCs w:val="18"/>
              </w:rPr>
              <w:t>0.06</w:t>
            </w:r>
          </w:p>
        </w:tc>
        <w:tc>
          <w:tcPr>
            <w:tcW w:w="945" w:type="dxa"/>
            <w:hideMark/>
          </w:tcPr>
          <w:p w14:paraId="15E16152" w14:textId="77777777" w:rsidR="00EB75EE" w:rsidRPr="00340C4F" w:rsidRDefault="00EB75EE" w:rsidP="00774D07">
            <w:pPr>
              <w:pStyle w:val="NormalWeb"/>
              <w:jc w:val="center"/>
              <w:rPr>
                <w:sz w:val="18"/>
                <w:szCs w:val="18"/>
              </w:rPr>
            </w:pPr>
            <w:r w:rsidRPr="00340C4F">
              <w:rPr>
                <w:sz w:val="18"/>
                <w:szCs w:val="18"/>
              </w:rPr>
              <w:t>4.80%</w:t>
            </w:r>
          </w:p>
        </w:tc>
        <w:tc>
          <w:tcPr>
            <w:tcW w:w="946" w:type="dxa"/>
            <w:hideMark/>
          </w:tcPr>
          <w:p w14:paraId="025F310D" w14:textId="77777777" w:rsidR="00EB75EE" w:rsidRPr="00340C4F" w:rsidRDefault="00EB75EE" w:rsidP="00774D07">
            <w:pPr>
              <w:pStyle w:val="NormalWeb"/>
              <w:jc w:val="center"/>
              <w:rPr>
                <w:sz w:val="18"/>
                <w:szCs w:val="18"/>
              </w:rPr>
            </w:pPr>
            <w:r w:rsidRPr="00340C4F">
              <w:rPr>
                <w:sz w:val="18"/>
                <w:szCs w:val="18"/>
              </w:rPr>
              <w:t>3.20%</w:t>
            </w:r>
          </w:p>
        </w:tc>
        <w:tc>
          <w:tcPr>
            <w:tcW w:w="946" w:type="dxa"/>
            <w:hideMark/>
          </w:tcPr>
          <w:p w14:paraId="18E98449" w14:textId="77777777" w:rsidR="00EB75EE" w:rsidRPr="00340C4F" w:rsidRDefault="00EB75EE" w:rsidP="00774D07">
            <w:pPr>
              <w:pStyle w:val="NormalWeb"/>
              <w:jc w:val="center"/>
              <w:rPr>
                <w:sz w:val="18"/>
                <w:szCs w:val="18"/>
              </w:rPr>
            </w:pPr>
            <w:r w:rsidRPr="00340C4F">
              <w:rPr>
                <w:sz w:val="18"/>
                <w:szCs w:val="18"/>
              </w:rPr>
              <w:t>4.10%</w:t>
            </w:r>
          </w:p>
        </w:tc>
        <w:tc>
          <w:tcPr>
            <w:tcW w:w="945" w:type="dxa"/>
            <w:hideMark/>
          </w:tcPr>
          <w:p w14:paraId="51849FB7" w14:textId="77777777" w:rsidR="00EB75EE" w:rsidRPr="00340C4F" w:rsidRDefault="00EB75EE" w:rsidP="00774D07">
            <w:pPr>
              <w:pStyle w:val="NormalWeb"/>
              <w:jc w:val="center"/>
              <w:rPr>
                <w:sz w:val="18"/>
                <w:szCs w:val="18"/>
              </w:rPr>
            </w:pPr>
            <w:r w:rsidRPr="00340C4F">
              <w:rPr>
                <w:sz w:val="18"/>
                <w:szCs w:val="18"/>
              </w:rPr>
              <w:t>8.20%</w:t>
            </w:r>
          </w:p>
        </w:tc>
        <w:tc>
          <w:tcPr>
            <w:tcW w:w="946" w:type="dxa"/>
            <w:hideMark/>
          </w:tcPr>
          <w:p w14:paraId="67F00CFD" w14:textId="77777777" w:rsidR="00EB75EE" w:rsidRPr="00340C4F" w:rsidRDefault="00EB75EE" w:rsidP="00774D07">
            <w:pPr>
              <w:pStyle w:val="NormalWeb"/>
              <w:jc w:val="center"/>
              <w:rPr>
                <w:sz w:val="18"/>
                <w:szCs w:val="18"/>
              </w:rPr>
            </w:pPr>
            <w:r w:rsidRPr="00340C4F">
              <w:rPr>
                <w:sz w:val="18"/>
                <w:szCs w:val="18"/>
              </w:rPr>
              <w:t>4.80%</w:t>
            </w:r>
          </w:p>
        </w:tc>
        <w:tc>
          <w:tcPr>
            <w:tcW w:w="946" w:type="dxa"/>
            <w:hideMark/>
          </w:tcPr>
          <w:p w14:paraId="7F2F3A1F" w14:textId="77777777" w:rsidR="00EB75EE" w:rsidRPr="00340C4F" w:rsidRDefault="00EB75EE" w:rsidP="00774D07">
            <w:pPr>
              <w:pStyle w:val="NormalWeb"/>
              <w:jc w:val="center"/>
              <w:rPr>
                <w:sz w:val="18"/>
                <w:szCs w:val="18"/>
              </w:rPr>
            </w:pPr>
            <w:r w:rsidRPr="00340C4F">
              <w:rPr>
                <w:sz w:val="18"/>
                <w:szCs w:val="18"/>
              </w:rPr>
              <w:t>1.70%</w:t>
            </w:r>
          </w:p>
        </w:tc>
        <w:tc>
          <w:tcPr>
            <w:tcW w:w="945" w:type="dxa"/>
            <w:hideMark/>
          </w:tcPr>
          <w:p w14:paraId="51D5ACE6" w14:textId="77777777" w:rsidR="00EB75EE" w:rsidRPr="00340C4F" w:rsidRDefault="00EB75EE" w:rsidP="00774D07">
            <w:pPr>
              <w:pStyle w:val="NormalWeb"/>
              <w:jc w:val="center"/>
              <w:rPr>
                <w:sz w:val="18"/>
                <w:szCs w:val="18"/>
              </w:rPr>
            </w:pPr>
            <w:r w:rsidRPr="00340C4F">
              <w:rPr>
                <w:sz w:val="18"/>
                <w:szCs w:val="18"/>
              </w:rPr>
              <w:t>1.65%</w:t>
            </w:r>
          </w:p>
        </w:tc>
        <w:tc>
          <w:tcPr>
            <w:tcW w:w="946" w:type="dxa"/>
            <w:hideMark/>
          </w:tcPr>
          <w:p w14:paraId="0D56D44A" w14:textId="77777777" w:rsidR="00EB75EE" w:rsidRPr="00340C4F" w:rsidRDefault="00EB75EE" w:rsidP="00774D07">
            <w:pPr>
              <w:pStyle w:val="NormalWeb"/>
              <w:jc w:val="center"/>
              <w:rPr>
                <w:sz w:val="18"/>
                <w:szCs w:val="18"/>
              </w:rPr>
            </w:pPr>
            <w:r w:rsidRPr="00340C4F">
              <w:rPr>
                <w:sz w:val="18"/>
                <w:szCs w:val="18"/>
              </w:rPr>
              <w:t>1.02%</w:t>
            </w:r>
          </w:p>
        </w:tc>
        <w:tc>
          <w:tcPr>
            <w:tcW w:w="946" w:type="dxa"/>
            <w:hideMark/>
          </w:tcPr>
          <w:p w14:paraId="571AE177" w14:textId="77777777" w:rsidR="00EB75EE" w:rsidRPr="00340C4F" w:rsidRDefault="00EB75EE" w:rsidP="00774D07">
            <w:pPr>
              <w:pStyle w:val="NormalWeb"/>
              <w:jc w:val="center"/>
              <w:rPr>
                <w:sz w:val="18"/>
                <w:szCs w:val="18"/>
              </w:rPr>
            </w:pPr>
            <w:r w:rsidRPr="00340C4F">
              <w:rPr>
                <w:sz w:val="18"/>
                <w:szCs w:val="18"/>
              </w:rPr>
              <w:t>1.67%</w:t>
            </w:r>
          </w:p>
        </w:tc>
        <w:tc>
          <w:tcPr>
            <w:tcW w:w="946" w:type="dxa"/>
            <w:hideMark/>
          </w:tcPr>
          <w:p w14:paraId="3D48701E" w14:textId="77777777" w:rsidR="00EB75EE" w:rsidRPr="00340C4F" w:rsidRDefault="00EB75EE" w:rsidP="00774D07">
            <w:pPr>
              <w:pStyle w:val="NormalWeb"/>
              <w:jc w:val="center"/>
              <w:rPr>
                <w:sz w:val="18"/>
                <w:szCs w:val="18"/>
              </w:rPr>
            </w:pPr>
            <w:r w:rsidRPr="00340C4F">
              <w:rPr>
                <w:sz w:val="18"/>
                <w:szCs w:val="18"/>
              </w:rPr>
              <w:t>1.19%</w:t>
            </w:r>
          </w:p>
        </w:tc>
      </w:tr>
      <w:tr w:rsidR="00774D07" w:rsidRPr="00340C4F" w14:paraId="057BB6DF" w14:textId="77777777" w:rsidTr="00774D07">
        <w:trPr>
          <w:cnfStyle w:val="000000010000" w:firstRow="0" w:lastRow="0" w:firstColumn="0" w:lastColumn="0" w:oddVBand="0" w:evenVBand="0" w:oddHBand="0" w:evenHBand="1" w:firstRowFirstColumn="0" w:firstRowLastColumn="0" w:lastRowFirstColumn="0" w:lastRowLastColumn="0"/>
        </w:trPr>
        <w:tc>
          <w:tcPr>
            <w:tcW w:w="0" w:type="auto"/>
            <w:hideMark/>
          </w:tcPr>
          <w:p w14:paraId="29C3071B" w14:textId="77777777" w:rsidR="00EB75EE" w:rsidRPr="00340C4F" w:rsidRDefault="00EB75EE">
            <w:pPr>
              <w:pStyle w:val="NormalWeb"/>
              <w:rPr>
                <w:sz w:val="18"/>
                <w:szCs w:val="18"/>
              </w:rPr>
            </w:pPr>
            <w:r w:rsidRPr="00340C4F">
              <w:rPr>
                <w:sz w:val="18"/>
                <w:szCs w:val="18"/>
              </w:rPr>
              <w:t>≥ 0.125</w:t>
            </w:r>
          </w:p>
        </w:tc>
        <w:tc>
          <w:tcPr>
            <w:tcW w:w="945" w:type="dxa"/>
            <w:hideMark/>
          </w:tcPr>
          <w:p w14:paraId="39F452E7" w14:textId="77777777" w:rsidR="00EB75EE" w:rsidRPr="00340C4F" w:rsidRDefault="00EB75EE" w:rsidP="00774D07">
            <w:pPr>
              <w:pStyle w:val="NormalWeb"/>
              <w:jc w:val="center"/>
              <w:rPr>
                <w:sz w:val="18"/>
                <w:szCs w:val="18"/>
              </w:rPr>
            </w:pPr>
            <w:r w:rsidRPr="00340C4F">
              <w:rPr>
                <w:sz w:val="18"/>
                <w:szCs w:val="18"/>
              </w:rPr>
              <w:t>0.10%</w:t>
            </w:r>
          </w:p>
        </w:tc>
        <w:tc>
          <w:tcPr>
            <w:tcW w:w="946" w:type="dxa"/>
            <w:hideMark/>
          </w:tcPr>
          <w:p w14:paraId="6D1D3551" w14:textId="77777777" w:rsidR="00EB75EE" w:rsidRPr="00340C4F" w:rsidRDefault="00EB75EE" w:rsidP="00774D07">
            <w:pPr>
              <w:pStyle w:val="NormalWeb"/>
              <w:jc w:val="center"/>
              <w:rPr>
                <w:sz w:val="18"/>
                <w:szCs w:val="18"/>
              </w:rPr>
            </w:pPr>
            <w:r w:rsidRPr="00340C4F">
              <w:rPr>
                <w:sz w:val="18"/>
                <w:szCs w:val="18"/>
              </w:rPr>
              <w:t>0.10%</w:t>
            </w:r>
          </w:p>
        </w:tc>
        <w:tc>
          <w:tcPr>
            <w:tcW w:w="946" w:type="dxa"/>
            <w:hideMark/>
          </w:tcPr>
          <w:p w14:paraId="1493569F" w14:textId="77777777" w:rsidR="00EB75EE" w:rsidRPr="00340C4F" w:rsidRDefault="00EB75EE" w:rsidP="00774D07">
            <w:pPr>
              <w:pStyle w:val="NormalWeb"/>
              <w:jc w:val="center"/>
              <w:rPr>
                <w:sz w:val="18"/>
                <w:szCs w:val="18"/>
              </w:rPr>
            </w:pPr>
            <w:r w:rsidRPr="00340C4F">
              <w:rPr>
                <w:sz w:val="18"/>
                <w:szCs w:val="18"/>
              </w:rPr>
              <w:t>0.30%</w:t>
            </w:r>
          </w:p>
        </w:tc>
        <w:tc>
          <w:tcPr>
            <w:tcW w:w="945" w:type="dxa"/>
            <w:hideMark/>
          </w:tcPr>
          <w:p w14:paraId="736EBE57" w14:textId="77777777" w:rsidR="00EB75EE" w:rsidRPr="00340C4F" w:rsidRDefault="00EB75EE" w:rsidP="00774D07">
            <w:pPr>
              <w:pStyle w:val="NormalWeb"/>
              <w:jc w:val="center"/>
              <w:rPr>
                <w:sz w:val="18"/>
                <w:szCs w:val="18"/>
              </w:rPr>
            </w:pPr>
            <w:r w:rsidRPr="00340C4F">
              <w:rPr>
                <w:sz w:val="18"/>
                <w:szCs w:val="18"/>
              </w:rPr>
              <w:t>0.60%</w:t>
            </w:r>
          </w:p>
        </w:tc>
        <w:tc>
          <w:tcPr>
            <w:tcW w:w="946" w:type="dxa"/>
            <w:hideMark/>
          </w:tcPr>
          <w:p w14:paraId="7A8912BA" w14:textId="77777777" w:rsidR="00EB75EE" w:rsidRPr="00340C4F" w:rsidRDefault="00EB75EE" w:rsidP="00774D07">
            <w:pPr>
              <w:pStyle w:val="NormalWeb"/>
              <w:jc w:val="center"/>
              <w:rPr>
                <w:sz w:val="18"/>
                <w:szCs w:val="18"/>
              </w:rPr>
            </w:pPr>
            <w:r w:rsidRPr="00340C4F">
              <w:rPr>
                <w:sz w:val="18"/>
                <w:szCs w:val="18"/>
              </w:rPr>
              <w:t>0.60%</w:t>
            </w:r>
          </w:p>
        </w:tc>
        <w:tc>
          <w:tcPr>
            <w:tcW w:w="946" w:type="dxa"/>
            <w:hideMark/>
          </w:tcPr>
          <w:p w14:paraId="77A064F9" w14:textId="77777777" w:rsidR="00EB75EE" w:rsidRPr="00340C4F" w:rsidRDefault="00EB75EE" w:rsidP="00774D07">
            <w:pPr>
              <w:pStyle w:val="NormalWeb"/>
              <w:jc w:val="center"/>
              <w:rPr>
                <w:sz w:val="18"/>
                <w:szCs w:val="18"/>
              </w:rPr>
            </w:pPr>
            <w:r w:rsidRPr="00340C4F">
              <w:rPr>
                <w:sz w:val="18"/>
                <w:szCs w:val="18"/>
              </w:rPr>
              <w:t>0.10%</w:t>
            </w:r>
          </w:p>
        </w:tc>
        <w:tc>
          <w:tcPr>
            <w:tcW w:w="945" w:type="dxa"/>
            <w:hideMark/>
          </w:tcPr>
          <w:p w14:paraId="5F4EAAF4" w14:textId="77777777" w:rsidR="00EB75EE" w:rsidRPr="00340C4F" w:rsidRDefault="00EB75EE" w:rsidP="00774D07">
            <w:pPr>
              <w:pStyle w:val="NormalWeb"/>
              <w:jc w:val="center"/>
              <w:rPr>
                <w:sz w:val="18"/>
                <w:szCs w:val="18"/>
              </w:rPr>
            </w:pPr>
            <w:r w:rsidRPr="00340C4F">
              <w:rPr>
                <w:sz w:val="18"/>
                <w:szCs w:val="18"/>
              </w:rPr>
              <w:t>0.05%</w:t>
            </w:r>
          </w:p>
        </w:tc>
        <w:tc>
          <w:tcPr>
            <w:tcW w:w="946" w:type="dxa"/>
            <w:hideMark/>
          </w:tcPr>
          <w:p w14:paraId="68012E47" w14:textId="77777777" w:rsidR="00EB75EE" w:rsidRPr="00340C4F" w:rsidRDefault="00EB75EE" w:rsidP="00774D07">
            <w:pPr>
              <w:pStyle w:val="NormalWeb"/>
              <w:jc w:val="center"/>
              <w:rPr>
                <w:sz w:val="18"/>
                <w:szCs w:val="18"/>
              </w:rPr>
            </w:pPr>
            <w:r w:rsidRPr="00340C4F">
              <w:rPr>
                <w:sz w:val="18"/>
                <w:szCs w:val="18"/>
              </w:rPr>
              <w:t>0.04%</w:t>
            </w:r>
          </w:p>
        </w:tc>
        <w:tc>
          <w:tcPr>
            <w:tcW w:w="946" w:type="dxa"/>
            <w:hideMark/>
          </w:tcPr>
          <w:p w14:paraId="10593941" w14:textId="77777777" w:rsidR="00EB75EE" w:rsidRPr="00340C4F" w:rsidRDefault="00EB75EE" w:rsidP="00774D07">
            <w:pPr>
              <w:pStyle w:val="NormalWeb"/>
              <w:jc w:val="center"/>
              <w:rPr>
                <w:sz w:val="18"/>
                <w:szCs w:val="18"/>
              </w:rPr>
            </w:pPr>
            <w:r w:rsidRPr="00340C4F">
              <w:rPr>
                <w:sz w:val="18"/>
                <w:szCs w:val="18"/>
              </w:rPr>
              <w:t>0.06%</w:t>
            </w:r>
          </w:p>
        </w:tc>
        <w:tc>
          <w:tcPr>
            <w:tcW w:w="946" w:type="dxa"/>
            <w:hideMark/>
          </w:tcPr>
          <w:p w14:paraId="49F635D3" w14:textId="77777777" w:rsidR="00EB75EE" w:rsidRPr="00340C4F" w:rsidRDefault="00EB75EE" w:rsidP="00774D07">
            <w:pPr>
              <w:pStyle w:val="NormalWeb"/>
              <w:jc w:val="center"/>
              <w:rPr>
                <w:sz w:val="18"/>
                <w:szCs w:val="18"/>
              </w:rPr>
            </w:pPr>
            <w:r w:rsidRPr="00340C4F">
              <w:rPr>
                <w:sz w:val="18"/>
                <w:szCs w:val="18"/>
              </w:rPr>
              <w:t>0.11%</w:t>
            </w:r>
          </w:p>
        </w:tc>
      </w:tr>
    </w:tbl>
    <w:p w14:paraId="76234CF8" w14:textId="77777777" w:rsidR="00EB75EE" w:rsidRPr="00224B6C" w:rsidRDefault="00EB75EE" w:rsidP="00224B6C">
      <w:pPr>
        <w:pStyle w:val="Heading2"/>
      </w:pPr>
      <w:r w:rsidRPr="00224B6C">
        <w:t xml:space="preserve">Azithromycin </w:t>
      </w:r>
    </w:p>
    <w:p w14:paraId="434CBCA1" w14:textId="77777777" w:rsidR="00EB75EE" w:rsidRDefault="00EB75EE" w:rsidP="00DB0C58">
      <w:r>
        <w:t>Nationally, in 2019, 4.6% of isolates exhibited azithromycin resistance (MIC value ≥ 1.0 mg/L) (Table 3), decreasing from 6.2% reported in 2018. Since 2012, rates of azithromycin resistance have increased in Australia. Compared with 2012, azithromycin resistance peaked in 2017 (an approximately sevenfold increase) with 2019 rates representing a ~3.5-fold increase, as shown in Table 6. Rates of azithromycin-resistant NG were highest in the Australian Capital Territory (7.1%), Victoria (6.2%) and New South Wales (6.0%) as shown in Tables 3 and 6. In 2019, 8 isolates exhibited high-level resistance to azithromycin (MIC value ≥ 256 mg/L), two from New South Wales, two from Queensland, two from Victoria, one from Tasmania and one from a metropolitan area of Western Australia.</w:t>
      </w:r>
    </w:p>
    <w:p w14:paraId="71ED541D" w14:textId="77777777" w:rsidR="00D97599" w:rsidRDefault="00D97599">
      <w:pPr>
        <w:rPr>
          <w:b/>
        </w:rPr>
      </w:pPr>
      <w:r>
        <w:br w:type="page"/>
      </w:r>
    </w:p>
    <w:p w14:paraId="38C0BE64" w14:textId="77777777" w:rsidR="00EB75EE" w:rsidRDefault="00EB75EE" w:rsidP="00224B6C">
      <w:pPr>
        <w:pStyle w:val="CDIFigures"/>
      </w:pPr>
      <w:r>
        <w:lastRenderedPageBreak/>
        <w:t xml:space="preserve">Table 6: Number and proportion (%) of gonococcal isolates with resistance to azithromycin (MIC ≥ 1.0 mg/L), Australia, 2012–2019, by state or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shows the number and proportion as a percentage of gonococcal isolates with resistance to azithromycin (MIC ≥1.0mg/L) over the years 2012 to 2019, in Australia, by state or territory. Nationally the proportion of isolates with resistance to azithromycin has increased from 1.3% in 2012 to 9.3% in 2017, but then has continuously decreased to 4.6% in 2019. Azithromycin resistance remains uncommon in remote Western Australia and Northern Territory."/>
      </w:tblPr>
      <w:tblGrid>
        <w:gridCol w:w="1406"/>
        <w:gridCol w:w="564"/>
        <w:gridCol w:w="565"/>
        <w:gridCol w:w="564"/>
        <w:gridCol w:w="565"/>
        <w:gridCol w:w="565"/>
        <w:gridCol w:w="564"/>
        <w:gridCol w:w="565"/>
        <w:gridCol w:w="565"/>
        <w:gridCol w:w="564"/>
        <w:gridCol w:w="565"/>
        <w:gridCol w:w="564"/>
        <w:gridCol w:w="565"/>
        <w:gridCol w:w="565"/>
        <w:gridCol w:w="564"/>
        <w:gridCol w:w="565"/>
        <w:gridCol w:w="565"/>
      </w:tblGrid>
      <w:tr w:rsidR="00DB4F3B" w:rsidRPr="00D07A2F" w14:paraId="0EFE24F5" w14:textId="77777777" w:rsidTr="00DE457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5554E4DC" w14:textId="77777777" w:rsidR="00EB75EE" w:rsidRPr="00D07A2F" w:rsidRDefault="00EB75EE">
            <w:pPr>
              <w:pStyle w:val="NormalWeb"/>
              <w:rPr>
                <w:color w:val="FFFFFF" w:themeColor="background1"/>
                <w:sz w:val="18"/>
                <w:szCs w:val="18"/>
              </w:rPr>
            </w:pPr>
            <w:r w:rsidRPr="00D07A2F">
              <w:rPr>
                <w:color w:val="FFFFFF" w:themeColor="background1"/>
                <w:sz w:val="18"/>
                <w:szCs w:val="18"/>
              </w:rPr>
              <w:t>State or Territory</w:t>
            </w:r>
          </w:p>
        </w:tc>
        <w:tc>
          <w:tcPr>
            <w:tcW w:w="9034" w:type="dxa"/>
            <w:gridSpan w:val="16"/>
            <w:tcBorders>
              <w:left w:val="single" w:sz="2" w:space="0" w:color="FFFFFF" w:themeColor="background1"/>
              <w:bottom w:val="single" w:sz="2" w:space="0" w:color="FFFFFF" w:themeColor="background1"/>
            </w:tcBorders>
            <w:hideMark/>
          </w:tcPr>
          <w:p w14:paraId="34DCA04B"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Azithromycin resistance</w:t>
            </w:r>
          </w:p>
        </w:tc>
      </w:tr>
      <w:tr w:rsidR="00DB4F3B" w:rsidRPr="00D07A2F" w14:paraId="0E447529" w14:textId="77777777" w:rsidTr="00DE457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46DC77F6" w14:textId="77777777" w:rsidR="00EB75EE" w:rsidRPr="00D07A2F" w:rsidRDefault="00EB75EE">
            <w:pPr>
              <w:rPr>
                <w:color w:val="FFFFFF" w:themeColor="background1"/>
                <w:sz w:val="18"/>
                <w:szCs w:val="18"/>
              </w:rPr>
            </w:pP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2F2F19C"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2012</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D2BADF7"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2013</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FBD8A5C"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2014</w:t>
            </w:r>
          </w:p>
        </w:tc>
        <w:tc>
          <w:tcPr>
            <w:tcW w:w="1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571DD04"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2015</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C38A403"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2016</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3F904D2"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2017</w:t>
            </w:r>
          </w:p>
        </w:tc>
        <w:tc>
          <w:tcPr>
            <w:tcW w:w="112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33ABE56"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2018</w:t>
            </w:r>
          </w:p>
        </w:tc>
        <w:tc>
          <w:tcPr>
            <w:tcW w:w="1130" w:type="dxa"/>
            <w:gridSpan w:val="2"/>
            <w:tcBorders>
              <w:top w:val="single" w:sz="2" w:space="0" w:color="FFFFFF" w:themeColor="background1"/>
              <w:left w:val="single" w:sz="2" w:space="0" w:color="FFFFFF" w:themeColor="background1"/>
              <w:bottom w:val="single" w:sz="2" w:space="0" w:color="FFFFFF" w:themeColor="background1"/>
            </w:tcBorders>
            <w:hideMark/>
          </w:tcPr>
          <w:p w14:paraId="1FA4BF1D"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2019</w:t>
            </w:r>
          </w:p>
        </w:tc>
      </w:tr>
      <w:tr w:rsidR="00DE457A" w:rsidRPr="00D07A2F" w14:paraId="719ED7E7" w14:textId="77777777" w:rsidTr="00DE457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34F4D27" w14:textId="77777777" w:rsidR="00EB75EE" w:rsidRPr="00D07A2F" w:rsidRDefault="00EB75EE">
            <w:pPr>
              <w:rPr>
                <w:color w:val="FFFFFF" w:themeColor="background1"/>
                <w:sz w:val="18"/>
                <w:szCs w:val="18"/>
              </w:rPr>
            </w:pPr>
          </w:p>
        </w:tc>
        <w:tc>
          <w:tcPr>
            <w:tcW w:w="564" w:type="dxa"/>
            <w:tcBorders>
              <w:top w:val="single" w:sz="2" w:space="0" w:color="FFFFFF" w:themeColor="background1"/>
              <w:left w:val="single" w:sz="2" w:space="0" w:color="FFFFFF" w:themeColor="background1"/>
              <w:right w:val="single" w:sz="2" w:space="0" w:color="FFFFFF" w:themeColor="background1"/>
            </w:tcBorders>
            <w:hideMark/>
          </w:tcPr>
          <w:p w14:paraId="444FD844"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46286F5C"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14:paraId="18450147"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2A4EC701"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2B352C69"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14:paraId="31F570B7"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2FF1FBA4"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714F9047"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14:paraId="145EDB7F"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1617599A"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14:paraId="18D520D8"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4359C547"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65F20138"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14:paraId="1025A5AD"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0F5199A5"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n</w:t>
            </w:r>
          </w:p>
        </w:tc>
        <w:tc>
          <w:tcPr>
            <w:tcW w:w="565" w:type="dxa"/>
            <w:tcBorders>
              <w:top w:val="single" w:sz="2" w:space="0" w:color="FFFFFF" w:themeColor="background1"/>
              <w:left w:val="single" w:sz="2" w:space="0" w:color="FFFFFF" w:themeColor="background1"/>
            </w:tcBorders>
            <w:hideMark/>
          </w:tcPr>
          <w:p w14:paraId="48800078" w14:textId="77777777" w:rsidR="00EB75EE" w:rsidRPr="00D07A2F" w:rsidRDefault="00EB75EE" w:rsidP="009E1584">
            <w:pPr>
              <w:pStyle w:val="NormalWeb"/>
              <w:jc w:val="center"/>
              <w:rPr>
                <w:color w:val="FFFFFF" w:themeColor="background1"/>
                <w:sz w:val="18"/>
                <w:szCs w:val="18"/>
              </w:rPr>
            </w:pPr>
            <w:r w:rsidRPr="00D07A2F">
              <w:rPr>
                <w:color w:val="FFFFFF" w:themeColor="background1"/>
                <w:sz w:val="18"/>
                <w:szCs w:val="18"/>
              </w:rPr>
              <w:t>%</w:t>
            </w:r>
          </w:p>
        </w:tc>
      </w:tr>
      <w:tr w:rsidR="00D07A2F" w:rsidRPr="00D07A2F" w14:paraId="46AB2966" w14:textId="77777777" w:rsidTr="009E1584">
        <w:tc>
          <w:tcPr>
            <w:tcW w:w="0" w:type="auto"/>
            <w:hideMark/>
          </w:tcPr>
          <w:p w14:paraId="75CDB0BA" w14:textId="77777777" w:rsidR="00EB75EE" w:rsidRPr="00D07A2F" w:rsidRDefault="00EB75EE">
            <w:pPr>
              <w:pStyle w:val="NormalWeb"/>
              <w:rPr>
                <w:sz w:val="18"/>
                <w:szCs w:val="18"/>
              </w:rPr>
            </w:pPr>
            <w:r w:rsidRPr="00D07A2F">
              <w:rPr>
                <w:sz w:val="18"/>
                <w:szCs w:val="18"/>
              </w:rPr>
              <w:t>ACT</w:t>
            </w:r>
          </w:p>
        </w:tc>
        <w:tc>
          <w:tcPr>
            <w:tcW w:w="564" w:type="dxa"/>
            <w:hideMark/>
          </w:tcPr>
          <w:p w14:paraId="6F01BA7E"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305C5568"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61454455"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395B4AA5" w14:textId="77777777" w:rsidR="00EB75EE" w:rsidRPr="00D07A2F" w:rsidRDefault="00EB75EE" w:rsidP="009E1584">
            <w:pPr>
              <w:pStyle w:val="NormalWeb"/>
              <w:jc w:val="center"/>
              <w:rPr>
                <w:sz w:val="18"/>
                <w:szCs w:val="18"/>
              </w:rPr>
            </w:pPr>
            <w:r w:rsidRPr="00D07A2F">
              <w:rPr>
                <w:sz w:val="18"/>
                <w:szCs w:val="18"/>
              </w:rPr>
              <w:t>2.2</w:t>
            </w:r>
          </w:p>
        </w:tc>
        <w:tc>
          <w:tcPr>
            <w:tcW w:w="565" w:type="dxa"/>
            <w:hideMark/>
          </w:tcPr>
          <w:p w14:paraId="7E4B66A4" w14:textId="77777777" w:rsidR="00EB75EE" w:rsidRPr="00D07A2F" w:rsidRDefault="00EB75EE" w:rsidP="009E1584">
            <w:pPr>
              <w:pStyle w:val="NormalWeb"/>
              <w:jc w:val="center"/>
              <w:rPr>
                <w:sz w:val="18"/>
                <w:szCs w:val="18"/>
              </w:rPr>
            </w:pPr>
            <w:r w:rsidRPr="00D07A2F">
              <w:rPr>
                <w:sz w:val="18"/>
                <w:szCs w:val="18"/>
              </w:rPr>
              <w:t>7</w:t>
            </w:r>
          </w:p>
        </w:tc>
        <w:tc>
          <w:tcPr>
            <w:tcW w:w="564" w:type="dxa"/>
            <w:hideMark/>
          </w:tcPr>
          <w:p w14:paraId="2DADA574" w14:textId="77777777" w:rsidR="00EB75EE" w:rsidRPr="00D07A2F" w:rsidRDefault="00EB75EE" w:rsidP="009E1584">
            <w:pPr>
              <w:pStyle w:val="NormalWeb"/>
              <w:jc w:val="center"/>
              <w:rPr>
                <w:sz w:val="18"/>
                <w:szCs w:val="18"/>
              </w:rPr>
            </w:pPr>
            <w:r w:rsidRPr="00D07A2F">
              <w:rPr>
                <w:sz w:val="18"/>
                <w:szCs w:val="18"/>
              </w:rPr>
              <w:t>9.3</w:t>
            </w:r>
          </w:p>
        </w:tc>
        <w:tc>
          <w:tcPr>
            <w:tcW w:w="565" w:type="dxa"/>
            <w:hideMark/>
          </w:tcPr>
          <w:p w14:paraId="79B120FD"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1B4B7F8D"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3A68FE98" w14:textId="77777777" w:rsidR="00EB75EE" w:rsidRPr="00D07A2F" w:rsidRDefault="00EB75EE" w:rsidP="009E1584">
            <w:pPr>
              <w:pStyle w:val="NormalWeb"/>
              <w:jc w:val="center"/>
              <w:rPr>
                <w:sz w:val="18"/>
                <w:szCs w:val="18"/>
              </w:rPr>
            </w:pPr>
            <w:r w:rsidRPr="00D07A2F">
              <w:rPr>
                <w:sz w:val="18"/>
                <w:szCs w:val="18"/>
              </w:rPr>
              <w:t>8</w:t>
            </w:r>
          </w:p>
        </w:tc>
        <w:tc>
          <w:tcPr>
            <w:tcW w:w="565" w:type="dxa"/>
            <w:hideMark/>
          </w:tcPr>
          <w:p w14:paraId="68FBD3CD" w14:textId="77777777" w:rsidR="00EB75EE" w:rsidRPr="00D07A2F" w:rsidRDefault="00EB75EE" w:rsidP="009E1584">
            <w:pPr>
              <w:pStyle w:val="NormalWeb"/>
              <w:jc w:val="center"/>
              <w:rPr>
                <w:sz w:val="18"/>
                <w:szCs w:val="18"/>
              </w:rPr>
            </w:pPr>
            <w:r w:rsidRPr="00D07A2F">
              <w:rPr>
                <w:sz w:val="18"/>
                <w:szCs w:val="18"/>
              </w:rPr>
              <w:t>7.1</w:t>
            </w:r>
          </w:p>
        </w:tc>
        <w:tc>
          <w:tcPr>
            <w:tcW w:w="564" w:type="dxa"/>
            <w:hideMark/>
          </w:tcPr>
          <w:p w14:paraId="1FF93D5C" w14:textId="77777777" w:rsidR="00EB75EE" w:rsidRPr="00D07A2F" w:rsidRDefault="00EB75EE" w:rsidP="009E1584">
            <w:pPr>
              <w:pStyle w:val="NormalWeb"/>
              <w:jc w:val="center"/>
              <w:rPr>
                <w:sz w:val="18"/>
                <w:szCs w:val="18"/>
              </w:rPr>
            </w:pPr>
            <w:r w:rsidRPr="00D07A2F">
              <w:rPr>
                <w:sz w:val="18"/>
                <w:szCs w:val="18"/>
              </w:rPr>
              <w:t>3</w:t>
            </w:r>
          </w:p>
        </w:tc>
        <w:tc>
          <w:tcPr>
            <w:tcW w:w="565" w:type="dxa"/>
            <w:hideMark/>
          </w:tcPr>
          <w:p w14:paraId="37B3BCC0" w14:textId="77777777" w:rsidR="00EB75EE" w:rsidRPr="00D07A2F" w:rsidRDefault="00EB75EE" w:rsidP="009E1584">
            <w:pPr>
              <w:pStyle w:val="NormalWeb"/>
              <w:jc w:val="center"/>
              <w:rPr>
                <w:sz w:val="18"/>
                <w:szCs w:val="18"/>
              </w:rPr>
            </w:pPr>
            <w:r w:rsidRPr="00D07A2F">
              <w:rPr>
                <w:sz w:val="18"/>
                <w:szCs w:val="18"/>
              </w:rPr>
              <w:t>2.1</w:t>
            </w:r>
          </w:p>
        </w:tc>
        <w:tc>
          <w:tcPr>
            <w:tcW w:w="565" w:type="dxa"/>
            <w:hideMark/>
          </w:tcPr>
          <w:p w14:paraId="055CF2C9" w14:textId="77777777" w:rsidR="00EB75EE" w:rsidRPr="00D07A2F" w:rsidRDefault="00EB75EE" w:rsidP="009E1584">
            <w:pPr>
              <w:pStyle w:val="NormalWeb"/>
              <w:jc w:val="center"/>
              <w:rPr>
                <w:sz w:val="18"/>
                <w:szCs w:val="18"/>
              </w:rPr>
            </w:pPr>
            <w:r w:rsidRPr="00D07A2F">
              <w:rPr>
                <w:sz w:val="18"/>
                <w:szCs w:val="18"/>
              </w:rPr>
              <w:t>18</w:t>
            </w:r>
          </w:p>
        </w:tc>
        <w:tc>
          <w:tcPr>
            <w:tcW w:w="564" w:type="dxa"/>
            <w:hideMark/>
          </w:tcPr>
          <w:p w14:paraId="59DAC51C" w14:textId="77777777" w:rsidR="00EB75EE" w:rsidRPr="00D07A2F" w:rsidRDefault="00EB75EE" w:rsidP="009E1584">
            <w:pPr>
              <w:pStyle w:val="NormalWeb"/>
              <w:jc w:val="center"/>
              <w:rPr>
                <w:sz w:val="18"/>
                <w:szCs w:val="18"/>
              </w:rPr>
            </w:pPr>
            <w:r w:rsidRPr="00D07A2F">
              <w:rPr>
                <w:sz w:val="18"/>
                <w:szCs w:val="18"/>
              </w:rPr>
              <w:t>8.7</w:t>
            </w:r>
          </w:p>
        </w:tc>
        <w:tc>
          <w:tcPr>
            <w:tcW w:w="565" w:type="dxa"/>
            <w:hideMark/>
          </w:tcPr>
          <w:p w14:paraId="38C8B6F0" w14:textId="77777777" w:rsidR="00EB75EE" w:rsidRPr="00D07A2F" w:rsidRDefault="00EB75EE" w:rsidP="009E1584">
            <w:pPr>
              <w:pStyle w:val="NormalWeb"/>
              <w:jc w:val="center"/>
              <w:rPr>
                <w:sz w:val="18"/>
                <w:szCs w:val="18"/>
              </w:rPr>
            </w:pPr>
            <w:r w:rsidRPr="00D07A2F">
              <w:rPr>
                <w:sz w:val="18"/>
                <w:szCs w:val="18"/>
              </w:rPr>
              <w:t>14</w:t>
            </w:r>
          </w:p>
        </w:tc>
        <w:tc>
          <w:tcPr>
            <w:tcW w:w="565" w:type="dxa"/>
            <w:hideMark/>
          </w:tcPr>
          <w:p w14:paraId="071EE105" w14:textId="77777777" w:rsidR="00EB75EE" w:rsidRPr="00D07A2F" w:rsidRDefault="00EB75EE" w:rsidP="009E1584">
            <w:pPr>
              <w:pStyle w:val="NormalWeb"/>
              <w:jc w:val="center"/>
              <w:rPr>
                <w:sz w:val="18"/>
                <w:szCs w:val="18"/>
              </w:rPr>
            </w:pPr>
            <w:r w:rsidRPr="00D07A2F">
              <w:rPr>
                <w:sz w:val="18"/>
                <w:szCs w:val="18"/>
              </w:rPr>
              <w:t>7.1</w:t>
            </w:r>
          </w:p>
        </w:tc>
      </w:tr>
      <w:tr w:rsidR="00224B6C" w:rsidRPr="00D07A2F" w14:paraId="12F249D5" w14:textId="77777777"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14:paraId="2F600AD1" w14:textId="77777777" w:rsidR="00EB75EE" w:rsidRPr="00D07A2F" w:rsidRDefault="00EB75EE">
            <w:pPr>
              <w:pStyle w:val="NormalWeb"/>
              <w:rPr>
                <w:sz w:val="18"/>
                <w:szCs w:val="18"/>
              </w:rPr>
            </w:pPr>
            <w:r w:rsidRPr="00D07A2F">
              <w:rPr>
                <w:sz w:val="18"/>
                <w:szCs w:val="18"/>
              </w:rPr>
              <w:t>NSW</w:t>
            </w:r>
          </w:p>
        </w:tc>
        <w:tc>
          <w:tcPr>
            <w:tcW w:w="564" w:type="dxa"/>
            <w:hideMark/>
          </w:tcPr>
          <w:p w14:paraId="128BC8D3" w14:textId="77777777" w:rsidR="00EB75EE" w:rsidRPr="00D07A2F" w:rsidRDefault="00EB75EE" w:rsidP="009E1584">
            <w:pPr>
              <w:pStyle w:val="NormalWeb"/>
              <w:jc w:val="center"/>
              <w:rPr>
                <w:sz w:val="18"/>
                <w:szCs w:val="18"/>
              </w:rPr>
            </w:pPr>
            <w:r w:rsidRPr="00D07A2F">
              <w:rPr>
                <w:sz w:val="18"/>
                <w:szCs w:val="18"/>
              </w:rPr>
              <w:t>9</w:t>
            </w:r>
          </w:p>
        </w:tc>
        <w:tc>
          <w:tcPr>
            <w:tcW w:w="565" w:type="dxa"/>
            <w:hideMark/>
          </w:tcPr>
          <w:p w14:paraId="17A3F26A" w14:textId="77777777" w:rsidR="00EB75EE" w:rsidRPr="00D07A2F" w:rsidRDefault="00EB75EE" w:rsidP="009E1584">
            <w:pPr>
              <w:pStyle w:val="NormalWeb"/>
              <w:jc w:val="center"/>
              <w:rPr>
                <w:sz w:val="18"/>
                <w:szCs w:val="18"/>
              </w:rPr>
            </w:pPr>
            <w:r w:rsidRPr="00D07A2F">
              <w:rPr>
                <w:sz w:val="18"/>
                <w:szCs w:val="18"/>
              </w:rPr>
              <w:t>0.5</w:t>
            </w:r>
          </w:p>
        </w:tc>
        <w:tc>
          <w:tcPr>
            <w:tcW w:w="564" w:type="dxa"/>
            <w:hideMark/>
          </w:tcPr>
          <w:p w14:paraId="079782FC" w14:textId="77777777" w:rsidR="00EB75EE" w:rsidRPr="00D07A2F" w:rsidRDefault="00EB75EE" w:rsidP="009E1584">
            <w:pPr>
              <w:pStyle w:val="NormalWeb"/>
              <w:jc w:val="center"/>
              <w:rPr>
                <w:sz w:val="18"/>
                <w:szCs w:val="18"/>
              </w:rPr>
            </w:pPr>
            <w:r w:rsidRPr="00D07A2F">
              <w:rPr>
                <w:sz w:val="18"/>
                <w:szCs w:val="18"/>
              </w:rPr>
              <w:t>14</w:t>
            </w:r>
          </w:p>
        </w:tc>
        <w:tc>
          <w:tcPr>
            <w:tcW w:w="565" w:type="dxa"/>
            <w:hideMark/>
          </w:tcPr>
          <w:p w14:paraId="5A88B30B" w14:textId="77777777" w:rsidR="00EB75EE" w:rsidRPr="00D07A2F" w:rsidRDefault="00EB75EE" w:rsidP="009E1584">
            <w:pPr>
              <w:pStyle w:val="NormalWeb"/>
              <w:jc w:val="center"/>
              <w:rPr>
                <w:sz w:val="18"/>
                <w:szCs w:val="18"/>
              </w:rPr>
            </w:pPr>
            <w:r w:rsidRPr="00D07A2F">
              <w:rPr>
                <w:sz w:val="18"/>
                <w:szCs w:val="18"/>
              </w:rPr>
              <w:t>0.9</w:t>
            </w:r>
          </w:p>
        </w:tc>
        <w:tc>
          <w:tcPr>
            <w:tcW w:w="565" w:type="dxa"/>
            <w:hideMark/>
          </w:tcPr>
          <w:p w14:paraId="4949A15C" w14:textId="77777777" w:rsidR="00EB75EE" w:rsidRPr="00D07A2F" w:rsidRDefault="00EB75EE" w:rsidP="009E1584">
            <w:pPr>
              <w:pStyle w:val="NormalWeb"/>
              <w:jc w:val="center"/>
              <w:rPr>
                <w:sz w:val="18"/>
                <w:szCs w:val="18"/>
              </w:rPr>
            </w:pPr>
            <w:r w:rsidRPr="00D07A2F">
              <w:rPr>
                <w:sz w:val="18"/>
                <w:szCs w:val="18"/>
              </w:rPr>
              <w:t>33</w:t>
            </w:r>
          </w:p>
        </w:tc>
        <w:tc>
          <w:tcPr>
            <w:tcW w:w="564" w:type="dxa"/>
            <w:hideMark/>
          </w:tcPr>
          <w:p w14:paraId="28C023A2" w14:textId="77777777" w:rsidR="00EB75EE" w:rsidRPr="00D07A2F" w:rsidRDefault="00EB75EE" w:rsidP="009E1584">
            <w:pPr>
              <w:pStyle w:val="NormalWeb"/>
              <w:jc w:val="center"/>
              <w:rPr>
                <w:sz w:val="18"/>
                <w:szCs w:val="18"/>
              </w:rPr>
            </w:pPr>
            <w:r w:rsidRPr="00D07A2F">
              <w:rPr>
                <w:sz w:val="18"/>
                <w:szCs w:val="18"/>
              </w:rPr>
              <w:t>2.0</w:t>
            </w:r>
          </w:p>
        </w:tc>
        <w:tc>
          <w:tcPr>
            <w:tcW w:w="565" w:type="dxa"/>
            <w:hideMark/>
          </w:tcPr>
          <w:p w14:paraId="6E23D631" w14:textId="77777777" w:rsidR="00EB75EE" w:rsidRPr="00D07A2F" w:rsidRDefault="00EB75EE" w:rsidP="009E1584">
            <w:pPr>
              <w:pStyle w:val="NormalWeb"/>
              <w:jc w:val="center"/>
              <w:rPr>
                <w:sz w:val="18"/>
                <w:szCs w:val="18"/>
              </w:rPr>
            </w:pPr>
            <w:r w:rsidRPr="00D07A2F">
              <w:rPr>
                <w:sz w:val="18"/>
                <w:szCs w:val="18"/>
              </w:rPr>
              <w:t>43</w:t>
            </w:r>
          </w:p>
        </w:tc>
        <w:tc>
          <w:tcPr>
            <w:tcW w:w="565" w:type="dxa"/>
            <w:hideMark/>
          </w:tcPr>
          <w:p w14:paraId="6FDCF58E" w14:textId="77777777" w:rsidR="00EB75EE" w:rsidRPr="00D07A2F" w:rsidRDefault="00EB75EE" w:rsidP="009E1584">
            <w:pPr>
              <w:pStyle w:val="NormalWeb"/>
              <w:jc w:val="center"/>
              <w:rPr>
                <w:sz w:val="18"/>
                <w:szCs w:val="18"/>
              </w:rPr>
            </w:pPr>
            <w:r w:rsidRPr="00D07A2F">
              <w:rPr>
                <w:sz w:val="18"/>
                <w:szCs w:val="18"/>
              </w:rPr>
              <w:t>2.3</w:t>
            </w:r>
          </w:p>
        </w:tc>
        <w:tc>
          <w:tcPr>
            <w:tcW w:w="564" w:type="dxa"/>
            <w:hideMark/>
          </w:tcPr>
          <w:p w14:paraId="0AC54E30" w14:textId="77777777" w:rsidR="00EB75EE" w:rsidRPr="00D07A2F" w:rsidRDefault="00EB75EE" w:rsidP="009E1584">
            <w:pPr>
              <w:pStyle w:val="NormalWeb"/>
              <w:jc w:val="center"/>
              <w:rPr>
                <w:sz w:val="18"/>
                <w:szCs w:val="18"/>
              </w:rPr>
            </w:pPr>
            <w:r w:rsidRPr="00D07A2F">
              <w:rPr>
                <w:sz w:val="18"/>
                <w:szCs w:val="18"/>
              </w:rPr>
              <w:t>82</w:t>
            </w:r>
          </w:p>
        </w:tc>
        <w:tc>
          <w:tcPr>
            <w:tcW w:w="565" w:type="dxa"/>
            <w:hideMark/>
          </w:tcPr>
          <w:p w14:paraId="4E5535D1" w14:textId="77777777" w:rsidR="00EB75EE" w:rsidRPr="00D07A2F" w:rsidRDefault="00EB75EE" w:rsidP="009E1584">
            <w:pPr>
              <w:pStyle w:val="NormalWeb"/>
              <w:jc w:val="center"/>
              <w:rPr>
                <w:sz w:val="18"/>
                <w:szCs w:val="18"/>
              </w:rPr>
            </w:pPr>
            <w:r w:rsidRPr="00D07A2F">
              <w:rPr>
                <w:sz w:val="18"/>
                <w:szCs w:val="18"/>
              </w:rPr>
              <w:t>3.6</w:t>
            </w:r>
          </w:p>
        </w:tc>
        <w:tc>
          <w:tcPr>
            <w:tcW w:w="564" w:type="dxa"/>
            <w:hideMark/>
          </w:tcPr>
          <w:p w14:paraId="35FE7D7A" w14:textId="77777777" w:rsidR="00EB75EE" w:rsidRPr="00D07A2F" w:rsidRDefault="00EB75EE" w:rsidP="009E1584">
            <w:pPr>
              <w:pStyle w:val="NormalWeb"/>
              <w:jc w:val="center"/>
              <w:rPr>
                <w:sz w:val="18"/>
                <w:szCs w:val="18"/>
              </w:rPr>
            </w:pPr>
            <w:r w:rsidRPr="00D07A2F">
              <w:rPr>
                <w:sz w:val="18"/>
                <w:szCs w:val="18"/>
              </w:rPr>
              <w:t>261</w:t>
            </w:r>
          </w:p>
        </w:tc>
        <w:tc>
          <w:tcPr>
            <w:tcW w:w="565" w:type="dxa"/>
            <w:hideMark/>
          </w:tcPr>
          <w:p w14:paraId="7F207008" w14:textId="77777777" w:rsidR="00EB75EE" w:rsidRPr="00D07A2F" w:rsidRDefault="00EB75EE" w:rsidP="009E1584">
            <w:pPr>
              <w:pStyle w:val="NormalWeb"/>
              <w:jc w:val="center"/>
              <w:rPr>
                <w:sz w:val="18"/>
                <w:szCs w:val="18"/>
              </w:rPr>
            </w:pPr>
            <w:r w:rsidRPr="00D07A2F">
              <w:rPr>
                <w:sz w:val="18"/>
                <w:szCs w:val="18"/>
              </w:rPr>
              <w:t>9.3</w:t>
            </w:r>
          </w:p>
        </w:tc>
        <w:tc>
          <w:tcPr>
            <w:tcW w:w="565" w:type="dxa"/>
            <w:hideMark/>
          </w:tcPr>
          <w:p w14:paraId="1A76E463" w14:textId="77777777" w:rsidR="00EB75EE" w:rsidRPr="00D07A2F" w:rsidRDefault="00EB75EE" w:rsidP="009E1584">
            <w:pPr>
              <w:pStyle w:val="NormalWeb"/>
              <w:jc w:val="center"/>
              <w:rPr>
                <w:sz w:val="18"/>
                <w:szCs w:val="18"/>
              </w:rPr>
            </w:pPr>
            <w:r w:rsidRPr="00D07A2F">
              <w:rPr>
                <w:sz w:val="18"/>
                <w:szCs w:val="18"/>
              </w:rPr>
              <w:t>230</w:t>
            </w:r>
          </w:p>
        </w:tc>
        <w:tc>
          <w:tcPr>
            <w:tcW w:w="564" w:type="dxa"/>
            <w:hideMark/>
          </w:tcPr>
          <w:p w14:paraId="5E2458A5" w14:textId="77777777" w:rsidR="00EB75EE" w:rsidRPr="00D07A2F" w:rsidRDefault="00EB75EE" w:rsidP="009E1584">
            <w:pPr>
              <w:pStyle w:val="NormalWeb"/>
              <w:jc w:val="center"/>
              <w:rPr>
                <w:sz w:val="18"/>
                <w:szCs w:val="18"/>
              </w:rPr>
            </w:pPr>
            <w:r w:rsidRPr="00D07A2F">
              <w:rPr>
                <w:sz w:val="18"/>
                <w:szCs w:val="18"/>
              </w:rPr>
              <w:t>6.5</w:t>
            </w:r>
          </w:p>
        </w:tc>
        <w:tc>
          <w:tcPr>
            <w:tcW w:w="565" w:type="dxa"/>
            <w:hideMark/>
          </w:tcPr>
          <w:p w14:paraId="33699200" w14:textId="77777777" w:rsidR="00EB75EE" w:rsidRPr="00D07A2F" w:rsidRDefault="00EB75EE" w:rsidP="009E1584">
            <w:pPr>
              <w:pStyle w:val="NormalWeb"/>
              <w:jc w:val="center"/>
              <w:rPr>
                <w:sz w:val="18"/>
                <w:szCs w:val="18"/>
              </w:rPr>
            </w:pPr>
            <w:r w:rsidRPr="00D07A2F">
              <w:rPr>
                <w:sz w:val="18"/>
                <w:szCs w:val="18"/>
              </w:rPr>
              <w:t>215</w:t>
            </w:r>
          </w:p>
        </w:tc>
        <w:tc>
          <w:tcPr>
            <w:tcW w:w="565" w:type="dxa"/>
            <w:hideMark/>
          </w:tcPr>
          <w:p w14:paraId="7412DE97" w14:textId="77777777" w:rsidR="00EB75EE" w:rsidRPr="00D07A2F" w:rsidRDefault="00EB75EE" w:rsidP="009E1584">
            <w:pPr>
              <w:pStyle w:val="NormalWeb"/>
              <w:jc w:val="center"/>
              <w:rPr>
                <w:sz w:val="18"/>
                <w:szCs w:val="18"/>
              </w:rPr>
            </w:pPr>
            <w:r w:rsidRPr="00D07A2F">
              <w:rPr>
                <w:sz w:val="18"/>
                <w:szCs w:val="18"/>
              </w:rPr>
              <w:t>6.0</w:t>
            </w:r>
          </w:p>
        </w:tc>
      </w:tr>
      <w:tr w:rsidR="00D07A2F" w:rsidRPr="00D07A2F" w14:paraId="0CCC2E1E" w14:textId="77777777" w:rsidTr="009E1584">
        <w:tc>
          <w:tcPr>
            <w:tcW w:w="0" w:type="auto"/>
            <w:hideMark/>
          </w:tcPr>
          <w:p w14:paraId="74073755" w14:textId="77777777" w:rsidR="00EB75EE" w:rsidRPr="00D07A2F" w:rsidRDefault="00EB75EE">
            <w:pPr>
              <w:pStyle w:val="NormalWeb"/>
              <w:rPr>
                <w:sz w:val="18"/>
                <w:szCs w:val="18"/>
              </w:rPr>
            </w:pPr>
            <w:r w:rsidRPr="00D07A2F">
              <w:rPr>
                <w:sz w:val="18"/>
                <w:szCs w:val="18"/>
              </w:rPr>
              <w:t>Qld</w:t>
            </w:r>
          </w:p>
        </w:tc>
        <w:tc>
          <w:tcPr>
            <w:tcW w:w="564" w:type="dxa"/>
            <w:hideMark/>
          </w:tcPr>
          <w:p w14:paraId="53E2B89B" w14:textId="77777777" w:rsidR="00EB75EE" w:rsidRPr="00D07A2F" w:rsidRDefault="00EB75EE" w:rsidP="009E1584">
            <w:pPr>
              <w:pStyle w:val="NormalWeb"/>
              <w:jc w:val="center"/>
              <w:rPr>
                <w:sz w:val="18"/>
                <w:szCs w:val="18"/>
              </w:rPr>
            </w:pPr>
            <w:r w:rsidRPr="00D07A2F">
              <w:rPr>
                <w:sz w:val="18"/>
                <w:szCs w:val="18"/>
              </w:rPr>
              <w:t>15</w:t>
            </w:r>
          </w:p>
        </w:tc>
        <w:tc>
          <w:tcPr>
            <w:tcW w:w="565" w:type="dxa"/>
            <w:hideMark/>
          </w:tcPr>
          <w:p w14:paraId="3BD0EE8C" w14:textId="77777777" w:rsidR="00EB75EE" w:rsidRPr="00D07A2F" w:rsidRDefault="00EB75EE" w:rsidP="009E1584">
            <w:pPr>
              <w:pStyle w:val="NormalWeb"/>
              <w:jc w:val="center"/>
              <w:rPr>
                <w:sz w:val="18"/>
                <w:szCs w:val="18"/>
              </w:rPr>
            </w:pPr>
            <w:r w:rsidRPr="00D07A2F">
              <w:rPr>
                <w:sz w:val="18"/>
                <w:szCs w:val="18"/>
              </w:rPr>
              <w:t>2.1</w:t>
            </w:r>
          </w:p>
        </w:tc>
        <w:tc>
          <w:tcPr>
            <w:tcW w:w="564" w:type="dxa"/>
            <w:hideMark/>
          </w:tcPr>
          <w:p w14:paraId="595C3B56" w14:textId="77777777" w:rsidR="00EB75EE" w:rsidRPr="00D07A2F" w:rsidRDefault="00EB75EE" w:rsidP="009E1584">
            <w:pPr>
              <w:pStyle w:val="NormalWeb"/>
              <w:jc w:val="center"/>
              <w:rPr>
                <w:sz w:val="18"/>
                <w:szCs w:val="18"/>
              </w:rPr>
            </w:pPr>
            <w:r w:rsidRPr="00D07A2F">
              <w:rPr>
                <w:sz w:val="18"/>
                <w:szCs w:val="18"/>
              </w:rPr>
              <w:t>38</w:t>
            </w:r>
          </w:p>
        </w:tc>
        <w:tc>
          <w:tcPr>
            <w:tcW w:w="565" w:type="dxa"/>
            <w:hideMark/>
          </w:tcPr>
          <w:p w14:paraId="425D4136" w14:textId="77777777" w:rsidR="00EB75EE" w:rsidRPr="00D07A2F" w:rsidRDefault="00EB75EE" w:rsidP="009E1584">
            <w:pPr>
              <w:pStyle w:val="NormalWeb"/>
              <w:jc w:val="center"/>
              <w:rPr>
                <w:sz w:val="18"/>
                <w:szCs w:val="18"/>
              </w:rPr>
            </w:pPr>
            <w:r w:rsidRPr="00D07A2F">
              <w:rPr>
                <w:sz w:val="18"/>
                <w:szCs w:val="18"/>
              </w:rPr>
              <w:t>5.7</w:t>
            </w:r>
          </w:p>
        </w:tc>
        <w:tc>
          <w:tcPr>
            <w:tcW w:w="565" w:type="dxa"/>
            <w:hideMark/>
          </w:tcPr>
          <w:p w14:paraId="0E9B8ED6" w14:textId="77777777" w:rsidR="00EB75EE" w:rsidRPr="00D07A2F" w:rsidRDefault="00EB75EE" w:rsidP="009E1584">
            <w:pPr>
              <w:pStyle w:val="NormalWeb"/>
              <w:jc w:val="center"/>
              <w:rPr>
                <w:sz w:val="18"/>
                <w:szCs w:val="18"/>
              </w:rPr>
            </w:pPr>
            <w:r w:rsidRPr="00D07A2F">
              <w:rPr>
                <w:sz w:val="18"/>
                <w:szCs w:val="18"/>
              </w:rPr>
              <w:t>23</w:t>
            </w:r>
          </w:p>
        </w:tc>
        <w:tc>
          <w:tcPr>
            <w:tcW w:w="564" w:type="dxa"/>
            <w:hideMark/>
          </w:tcPr>
          <w:p w14:paraId="00C34F89" w14:textId="77777777" w:rsidR="00EB75EE" w:rsidRPr="00D07A2F" w:rsidRDefault="00EB75EE" w:rsidP="009E1584">
            <w:pPr>
              <w:pStyle w:val="NormalWeb"/>
              <w:jc w:val="center"/>
              <w:rPr>
                <w:sz w:val="18"/>
                <w:szCs w:val="18"/>
              </w:rPr>
            </w:pPr>
            <w:r w:rsidRPr="00D07A2F">
              <w:rPr>
                <w:sz w:val="18"/>
                <w:szCs w:val="18"/>
              </w:rPr>
              <w:t>3.5</w:t>
            </w:r>
          </w:p>
        </w:tc>
        <w:tc>
          <w:tcPr>
            <w:tcW w:w="565" w:type="dxa"/>
            <w:hideMark/>
          </w:tcPr>
          <w:p w14:paraId="5FCED930" w14:textId="77777777" w:rsidR="00EB75EE" w:rsidRPr="00D07A2F" w:rsidRDefault="00EB75EE" w:rsidP="009E1584">
            <w:pPr>
              <w:pStyle w:val="NormalWeb"/>
              <w:jc w:val="center"/>
              <w:rPr>
                <w:sz w:val="18"/>
                <w:szCs w:val="18"/>
              </w:rPr>
            </w:pPr>
            <w:r w:rsidRPr="00D07A2F">
              <w:rPr>
                <w:sz w:val="18"/>
                <w:szCs w:val="18"/>
              </w:rPr>
              <w:t>42</w:t>
            </w:r>
          </w:p>
        </w:tc>
        <w:tc>
          <w:tcPr>
            <w:tcW w:w="565" w:type="dxa"/>
            <w:hideMark/>
          </w:tcPr>
          <w:p w14:paraId="1D6EFCE7" w14:textId="77777777" w:rsidR="00EB75EE" w:rsidRPr="00D07A2F" w:rsidRDefault="00EB75EE" w:rsidP="009E1584">
            <w:pPr>
              <w:pStyle w:val="NormalWeb"/>
              <w:jc w:val="center"/>
              <w:rPr>
                <w:sz w:val="18"/>
                <w:szCs w:val="18"/>
              </w:rPr>
            </w:pPr>
            <w:r w:rsidRPr="00D07A2F">
              <w:rPr>
                <w:sz w:val="18"/>
                <w:szCs w:val="18"/>
              </w:rPr>
              <w:t>5.8</w:t>
            </w:r>
          </w:p>
        </w:tc>
        <w:tc>
          <w:tcPr>
            <w:tcW w:w="564" w:type="dxa"/>
            <w:hideMark/>
          </w:tcPr>
          <w:p w14:paraId="45E8EF87" w14:textId="77777777" w:rsidR="00EB75EE" w:rsidRPr="00D07A2F" w:rsidRDefault="00EB75EE" w:rsidP="009E1584">
            <w:pPr>
              <w:pStyle w:val="NormalWeb"/>
              <w:jc w:val="center"/>
              <w:rPr>
                <w:sz w:val="18"/>
                <w:szCs w:val="18"/>
              </w:rPr>
            </w:pPr>
            <w:r w:rsidRPr="00D07A2F">
              <w:rPr>
                <w:sz w:val="18"/>
                <w:szCs w:val="18"/>
              </w:rPr>
              <w:t>10</w:t>
            </w:r>
          </w:p>
        </w:tc>
        <w:tc>
          <w:tcPr>
            <w:tcW w:w="565" w:type="dxa"/>
            <w:hideMark/>
          </w:tcPr>
          <w:p w14:paraId="1439DE12" w14:textId="77777777" w:rsidR="00EB75EE" w:rsidRPr="00D07A2F" w:rsidRDefault="00EB75EE" w:rsidP="009E1584">
            <w:pPr>
              <w:pStyle w:val="NormalWeb"/>
              <w:jc w:val="center"/>
              <w:rPr>
                <w:sz w:val="18"/>
                <w:szCs w:val="18"/>
              </w:rPr>
            </w:pPr>
            <w:r w:rsidRPr="00D07A2F">
              <w:rPr>
                <w:sz w:val="18"/>
                <w:szCs w:val="18"/>
              </w:rPr>
              <w:t>1.2</w:t>
            </w:r>
          </w:p>
        </w:tc>
        <w:tc>
          <w:tcPr>
            <w:tcW w:w="564" w:type="dxa"/>
            <w:hideMark/>
          </w:tcPr>
          <w:p w14:paraId="0B090BB8" w14:textId="77777777" w:rsidR="00EB75EE" w:rsidRPr="00D07A2F" w:rsidRDefault="00EB75EE" w:rsidP="009E1584">
            <w:pPr>
              <w:pStyle w:val="NormalWeb"/>
              <w:jc w:val="center"/>
              <w:rPr>
                <w:sz w:val="18"/>
                <w:szCs w:val="18"/>
              </w:rPr>
            </w:pPr>
            <w:r w:rsidRPr="00D07A2F">
              <w:rPr>
                <w:sz w:val="18"/>
                <w:szCs w:val="18"/>
              </w:rPr>
              <w:t>61</w:t>
            </w:r>
          </w:p>
        </w:tc>
        <w:tc>
          <w:tcPr>
            <w:tcW w:w="565" w:type="dxa"/>
            <w:hideMark/>
          </w:tcPr>
          <w:p w14:paraId="751347A4" w14:textId="77777777" w:rsidR="00EB75EE" w:rsidRPr="00D07A2F" w:rsidRDefault="00EB75EE" w:rsidP="009E1584">
            <w:pPr>
              <w:pStyle w:val="NormalWeb"/>
              <w:jc w:val="center"/>
              <w:rPr>
                <w:sz w:val="18"/>
                <w:szCs w:val="18"/>
              </w:rPr>
            </w:pPr>
            <w:r w:rsidRPr="00D07A2F">
              <w:rPr>
                <w:sz w:val="18"/>
                <w:szCs w:val="18"/>
              </w:rPr>
              <w:t>4.9</w:t>
            </w:r>
          </w:p>
        </w:tc>
        <w:tc>
          <w:tcPr>
            <w:tcW w:w="565" w:type="dxa"/>
            <w:hideMark/>
          </w:tcPr>
          <w:p w14:paraId="7FB04873" w14:textId="77777777" w:rsidR="00EB75EE" w:rsidRPr="00D07A2F" w:rsidRDefault="00EB75EE" w:rsidP="009E1584">
            <w:pPr>
              <w:pStyle w:val="NormalWeb"/>
              <w:jc w:val="center"/>
              <w:rPr>
                <w:sz w:val="18"/>
                <w:szCs w:val="18"/>
              </w:rPr>
            </w:pPr>
            <w:r w:rsidRPr="00D07A2F">
              <w:rPr>
                <w:sz w:val="18"/>
                <w:szCs w:val="18"/>
              </w:rPr>
              <w:t>68</w:t>
            </w:r>
          </w:p>
        </w:tc>
        <w:tc>
          <w:tcPr>
            <w:tcW w:w="564" w:type="dxa"/>
            <w:hideMark/>
          </w:tcPr>
          <w:p w14:paraId="28D856F2" w14:textId="77777777" w:rsidR="00EB75EE" w:rsidRPr="00D07A2F" w:rsidRDefault="00EB75EE" w:rsidP="009E1584">
            <w:pPr>
              <w:pStyle w:val="NormalWeb"/>
              <w:jc w:val="center"/>
              <w:rPr>
                <w:sz w:val="18"/>
                <w:szCs w:val="18"/>
              </w:rPr>
            </w:pPr>
            <w:r w:rsidRPr="00D07A2F">
              <w:rPr>
                <w:sz w:val="18"/>
                <w:szCs w:val="18"/>
              </w:rPr>
              <w:t>4.9</w:t>
            </w:r>
          </w:p>
        </w:tc>
        <w:tc>
          <w:tcPr>
            <w:tcW w:w="565" w:type="dxa"/>
            <w:hideMark/>
          </w:tcPr>
          <w:p w14:paraId="0E8C3C70" w14:textId="77777777" w:rsidR="00EB75EE" w:rsidRPr="00D07A2F" w:rsidRDefault="00EB75EE" w:rsidP="009E1584">
            <w:pPr>
              <w:pStyle w:val="NormalWeb"/>
              <w:jc w:val="center"/>
              <w:rPr>
                <w:sz w:val="18"/>
                <w:szCs w:val="18"/>
              </w:rPr>
            </w:pPr>
            <w:r w:rsidRPr="00D07A2F">
              <w:rPr>
                <w:sz w:val="18"/>
                <w:szCs w:val="18"/>
              </w:rPr>
              <w:t>32</w:t>
            </w:r>
          </w:p>
        </w:tc>
        <w:tc>
          <w:tcPr>
            <w:tcW w:w="565" w:type="dxa"/>
            <w:hideMark/>
          </w:tcPr>
          <w:p w14:paraId="34F742D8" w14:textId="77777777" w:rsidR="00EB75EE" w:rsidRPr="00D07A2F" w:rsidRDefault="00EB75EE" w:rsidP="009E1584">
            <w:pPr>
              <w:pStyle w:val="NormalWeb"/>
              <w:jc w:val="center"/>
              <w:rPr>
                <w:sz w:val="18"/>
                <w:szCs w:val="18"/>
              </w:rPr>
            </w:pPr>
            <w:r w:rsidRPr="00D07A2F">
              <w:rPr>
                <w:sz w:val="18"/>
                <w:szCs w:val="18"/>
              </w:rPr>
              <w:t>1.9</w:t>
            </w:r>
          </w:p>
        </w:tc>
      </w:tr>
      <w:tr w:rsidR="00224B6C" w:rsidRPr="00D07A2F" w14:paraId="621ED695" w14:textId="77777777"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14:paraId="1011D99E" w14:textId="77777777" w:rsidR="00EB75EE" w:rsidRPr="00D07A2F" w:rsidRDefault="00EB75EE">
            <w:pPr>
              <w:pStyle w:val="NormalWeb"/>
              <w:rPr>
                <w:sz w:val="18"/>
                <w:szCs w:val="18"/>
              </w:rPr>
            </w:pPr>
            <w:r w:rsidRPr="00D07A2F">
              <w:rPr>
                <w:sz w:val="18"/>
                <w:szCs w:val="18"/>
              </w:rPr>
              <w:t>SA</w:t>
            </w:r>
          </w:p>
        </w:tc>
        <w:tc>
          <w:tcPr>
            <w:tcW w:w="564" w:type="dxa"/>
            <w:hideMark/>
          </w:tcPr>
          <w:p w14:paraId="17D63607"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0FE363CB" w14:textId="77777777" w:rsidR="00EB75EE" w:rsidRPr="00D07A2F" w:rsidRDefault="00EB75EE" w:rsidP="009E1584">
            <w:pPr>
              <w:pStyle w:val="NormalWeb"/>
              <w:jc w:val="center"/>
              <w:rPr>
                <w:sz w:val="18"/>
                <w:szCs w:val="18"/>
              </w:rPr>
            </w:pPr>
            <w:r w:rsidRPr="00D07A2F">
              <w:rPr>
                <w:sz w:val="18"/>
                <w:szCs w:val="18"/>
              </w:rPr>
              <w:t>0.7</w:t>
            </w:r>
          </w:p>
        </w:tc>
        <w:tc>
          <w:tcPr>
            <w:tcW w:w="564" w:type="dxa"/>
            <w:hideMark/>
          </w:tcPr>
          <w:p w14:paraId="21780D88" w14:textId="77777777" w:rsidR="00EB75EE" w:rsidRPr="00D07A2F" w:rsidRDefault="00EB75EE" w:rsidP="009E1584">
            <w:pPr>
              <w:pStyle w:val="NormalWeb"/>
              <w:jc w:val="center"/>
              <w:rPr>
                <w:sz w:val="18"/>
                <w:szCs w:val="18"/>
              </w:rPr>
            </w:pPr>
            <w:r w:rsidRPr="00D07A2F">
              <w:rPr>
                <w:sz w:val="18"/>
                <w:szCs w:val="18"/>
              </w:rPr>
              <w:t>6</w:t>
            </w:r>
          </w:p>
        </w:tc>
        <w:tc>
          <w:tcPr>
            <w:tcW w:w="565" w:type="dxa"/>
            <w:hideMark/>
          </w:tcPr>
          <w:p w14:paraId="15ABE962" w14:textId="77777777" w:rsidR="00EB75EE" w:rsidRPr="00D07A2F" w:rsidRDefault="00EB75EE" w:rsidP="009E1584">
            <w:pPr>
              <w:pStyle w:val="NormalWeb"/>
              <w:jc w:val="center"/>
              <w:rPr>
                <w:sz w:val="18"/>
                <w:szCs w:val="18"/>
              </w:rPr>
            </w:pPr>
            <w:r w:rsidRPr="00D07A2F">
              <w:rPr>
                <w:sz w:val="18"/>
                <w:szCs w:val="18"/>
              </w:rPr>
              <w:t>2.8</w:t>
            </w:r>
          </w:p>
        </w:tc>
        <w:tc>
          <w:tcPr>
            <w:tcW w:w="565" w:type="dxa"/>
            <w:hideMark/>
          </w:tcPr>
          <w:p w14:paraId="7F25194F" w14:textId="77777777" w:rsidR="00EB75EE" w:rsidRPr="00D07A2F" w:rsidRDefault="00EB75EE" w:rsidP="009E1584">
            <w:pPr>
              <w:pStyle w:val="NormalWeb"/>
              <w:jc w:val="center"/>
              <w:rPr>
                <w:sz w:val="18"/>
                <w:szCs w:val="18"/>
              </w:rPr>
            </w:pPr>
            <w:r w:rsidRPr="00D07A2F">
              <w:rPr>
                <w:sz w:val="18"/>
                <w:szCs w:val="18"/>
              </w:rPr>
              <w:t>1</w:t>
            </w:r>
          </w:p>
        </w:tc>
        <w:tc>
          <w:tcPr>
            <w:tcW w:w="564" w:type="dxa"/>
            <w:hideMark/>
          </w:tcPr>
          <w:p w14:paraId="4D48DB31" w14:textId="77777777" w:rsidR="00EB75EE" w:rsidRPr="00D07A2F" w:rsidRDefault="00EB75EE" w:rsidP="009E1584">
            <w:pPr>
              <w:pStyle w:val="NormalWeb"/>
              <w:jc w:val="center"/>
              <w:rPr>
                <w:sz w:val="18"/>
                <w:szCs w:val="18"/>
              </w:rPr>
            </w:pPr>
            <w:r w:rsidRPr="00D07A2F">
              <w:rPr>
                <w:sz w:val="18"/>
                <w:szCs w:val="18"/>
              </w:rPr>
              <w:t>0.5</w:t>
            </w:r>
          </w:p>
        </w:tc>
        <w:tc>
          <w:tcPr>
            <w:tcW w:w="565" w:type="dxa"/>
            <w:hideMark/>
          </w:tcPr>
          <w:p w14:paraId="7F0DCB6D" w14:textId="77777777" w:rsidR="00EB75EE" w:rsidRPr="00D07A2F" w:rsidRDefault="00EB75EE" w:rsidP="009E1584">
            <w:pPr>
              <w:pStyle w:val="NormalWeb"/>
              <w:jc w:val="center"/>
              <w:rPr>
                <w:sz w:val="18"/>
                <w:szCs w:val="18"/>
              </w:rPr>
            </w:pPr>
            <w:r w:rsidRPr="00D07A2F">
              <w:rPr>
                <w:sz w:val="18"/>
                <w:szCs w:val="18"/>
              </w:rPr>
              <w:t>7</w:t>
            </w:r>
          </w:p>
        </w:tc>
        <w:tc>
          <w:tcPr>
            <w:tcW w:w="565" w:type="dxa"/>
            <w:hideMark/>
          </w:tcPr>
          <w:p w14:paraId="4F4212A0" w14:textId="77777777" w:rsidR="00EB75EE" w:rsidRPr="00D07A2F" w:rsidRDefault="00EB75EE" w:rsidP="009E1584">
            <w:pPr>
              <w:pStyle w:val="NormalWeb"/>
              <w:jc w:val="center"/>
              <w:rPr>
                <w:sz w:val="18"/>
                <w:szCs w:val="18"/>
              </w:rPr>
            </w:pPr>
            <w:r w:rsidRPr="00D07A2F">
              <w:rPr>
                <w:sz w:val="18"/>
                <w:szCs w:val="18"/>
              </w:rPr>
              <w:t>2.8</w:t>
            </w:r>
          </w:p>
        </w:tc>
        <w:tc>
          <w:tcPr>
            <w:tcW w:w="564" w:type="dxa"/>
            <w:hideMark/>
          </w:tcPr>
          <w:p w14:paraId="34D1720C" w14:textId="77777777" w:rsidR="00EB75EE" w:rsidRPr="00D07A2F" w:rsidRDefault="00EB75EE" w:rsidP="009E1584">
            <w:pPr>
              <w:pStyle w:val="NormalWeb"/>
              <w:jc w:val="center"/>
              <w:rPr>
                <w:sz w:val="18"/>
                <w:szCs w:val="18"/>
              </w:rPr>
            </w:pPr>
            <w:r w:rsidRPr="00D07A2F">
              <w:rPr>
                <w:sz w:val="18"/>
                <w:szCs w:val="18"/>
              </w:rPr>
              <w:t>68</w:t>
            </w:r>
          </w:p>
        </w:tc>
        <w:tc>
          <w:tcPr>
            <w:tcW w:w="565" w:type="dxa"/>
            <w:hideMark/>
          </w:tcPr>
          <w:p w14:paraId="6210FBBE" w14:textId="77777777" w:rsidR="00EB75EE" w:rsidRPr="00D07A2F" w:rsidRDefault="00EB75EE" w:rsidP="009E1584">
            <w:pPr>
              <w:pStyle w:val="NormalWeb"/>
              <w:jc w:val="center"/>
              <w:rPr>
                <w:sz w:val="18"/>
                <w:szCs w:val="18"/>
              </w:rPr>
            </w:pPr>
            <w:r w:rsidRPr="00D07A2F">
              <w:rPr>
                <w:sz w:val="18"/>
                <w:szCs w:val="18"/>
              </w:rPr>
              <w:t>19.5</w:t>
            </w:r>
          </w:p>
        </w:tc>
        <w:tc>
          <w:tcPr>
            <w:tcW w:w="564" w:type="dxa"/>
            <w:hideMark/>
          </w:tcPr>
          <w:p w14:paraId="40968981" w14:textId="77777777" w:rsidR="00EB75EE" w:rsidRPr="00D07A2F" w:rsidRDefault="00EB75EE" w:rsidP="009E1584">
            <w:pPr>
              <w:pStyle w:val="NormalWeb"/>
              <w:jc w:val="center"/>
              <w:rPr>
                <w:sz w:val="18"/>
                <w:szCs w:val="18"/>
              </w:rPr>
            </w:pPr>
            <w:r w:rsidRPr="00D07A2F">
              <w:rPr>
                <w:sz w:val="18"/>
                <w:szCs w:val="18"/>
              </w:rPr>
              <w:t>46</w:t>
            </w:r>
          </w:p>
        </w:tc>
        <w:tc>
          <w:tcPr>
            <w:tcW w:w="565" w:type="dxa"/>
            <w:hideMark/>
          </w:tcPr>
          <w:p w14:paraId="6A25FFC3" w14:textId="77777777" w:rsidR="00EB75EE" w:rsidRPr="00D07A2F" w:rsidRDefault="00EB75EE" w:rsidP="009E1584">
            <w:pPr>
              <w:pStyle w:val="NormalWeb"/>
              <w:jc w:val="center"/>
              <w:rPr>
                <w:sz w:val="18"/>
                <w:szCs w:val="18"/>
              </w:rPr>
            </w:pPr>
            <w:r w:rsidRPr="00D07A2F">
              <w:rPr>
                <w:sz w:val="18"/>
                <w:szCs w:val="18"/>
              </w:rPr>
              <w:t>12.8</w:t>
            </w:r>
          </w:p>
        </w:tc>
        <w:tc>
          <w:tcPr>
            <w:tcW w:w="565" w:type="dxa"/>
            <w:hideMark/>
          </w:tcPr>
          <w:p w14:paraId="4ED1DD3E" w14:textId="77777777" w:rsidR="00EB75EE" w:rsidRPr="00D07A2F" w:rsidRDefault="00EB75EE" w:rsidP="009E1584">
            <w:pPr>
              <w:pStyle w:val="NormalWeb"/>
              <w:jc w:val="center"/>
              <w:rPr>
                <w:sz w:val="18"/>
                <w:szCs w:val="18"/>
              </w:rPr>
            </w:pPr>
            <w:r w:rsidRPr="00D07A2F">
              <w:rPr>
                <w:sz w:val="18"/>
                <w:szCs w:val="18"/>
              </w:rPr>
              <w:t>7</w:t>
            </w:r>
          </w:p>
        </w:tc>
        <w:tc>
          <w:tcPr>
            <w:tcW w:w="564" w:type="dxa"/>
            <w:hideMark/>
          </w:tcPr>
          <w:p w14:paraId="64216199" w14:textId="77777777" w:rsidR="00EB75EE" w:rsidRPr="00D07A2F" w:rsidRDefault="00EB75EE" w:rsidP="009E1584">
            <w:pPr>
              <w:pStyle w:val="NormalWeb"/>
              <w:jc w:val="center"/>
              <w:rPr>
                <w:sz w:val="18"/>
                <w:szCs w:val="18"/>
              </w:rPr>
            </w:pPr>
            <w:r w:rsidRPr="00D07A2F">
              <w:rPr>
                <w:sz w:val="18"/>
                <w:szCs w:val="18"/>
              </w:rPr>
              <w:t>3.0</w:t>
            </w:r>
          </w:p>
        </w:tc>
        <w:tc>
          <w:tcPr>
            <w:tcW w:w="565" w:type="dxa"/>
            <w:hideMark/>
          </w:tcPr>
          <w:p w14:paraId="6FAA0EC2" w14:textId="77777777" w:rsidR="00EB75EE" w:rsidRPr="00D07A2F" w:rsidRDefault="00EB75EE" w:rsidP="009E1584">
            <w:pPr>
              <w:pStyle w:val="NormalWeb"/>
              <w:jc w:val="center"/>
              <w:rPr>
                <w:sz w:val="18"/>
                <w:szCs w:val="18"/>
              </w:rPr>
            </w:pPr>
            <w:r w:rsidRPr="00D07A2F">
              <w:rPr>
                <w:sz w:val="18"/>
                <w:szCs w:val="18"/>
              </w:rPr>
              <w:t>11</w:t>
            </w:r>
          </w:p>
        </w:tc>
        <w:tc>
          <w:tcPr>
            <w:tcW w:w="565" w:type="dxa"/>
            <w:hideMark/>
          </w:tcPr>
          <w:p w14:paraId="6A05230F" w14:textId="77777777" w:rsidR="00EB75EE" w:rsidRPr="00D07A2F" w:rsidRDefault="00EB75EE" w:rsidP="009E1584">
            <w:pPr>
              <w:pStyle w:val="NormalWeb"/>
              <w:jc w:val="center"/>
              <w:rPr>
                <w:sz w:val="18"/>
                <w:szCs w:val="18"/>
              </w:rPr>
            </w:pPr>
            <w:r w:rsidRPr="00D07A2F">
              <w:rPr>
                <w:sz w:val="18"/>
                <w:szCs w:val="18"/>
              </w:rPr>
              <w:t>2.0</w:t>
            </w:r>
          </w:p>
        </w:tc>
      </w:tr>
      <w:tr w:rsidR="00D07A2F" w:rsidRPr="00D07A2F" w14:paraId="41563007" w14:textId="77777777" w:rsidTr="009E1584">
        <w:tc>
          <w:tcPr>
            <w:tcW w:w="0" w:type="auto"/>
            <w:hideMark/>
          </w:tcPr>
          <w:p w14:paraId="541AEDB1" w14:textId="77777777" w:rsidR="00EB75EE" w:rsidRPr="00D07A2F" w:rsidRDefault="00EB75EE">
            <w:pPr>
              <w:pStyle w:val="NormalWeb"/>
              <w:rPr>
                <w:sz w:val="18"/>
                <w:szCs w:val="18"/>
              </w:rPr>
            </w:pPr>
            <w:r w:rsidRPr="00D07A2F">
              <w:rPr>
                <w:sz w:val="18"/>
                <w:szCs w:val="18"/>
              </w:rPr>
              <w:t>Tas</w:t>
            </w:r>
          </w:p>
        </w:tc>
        <w:tc>
          <w:tcPr>
            <w:tcW w:w="564" w:type="dxa"/>
            <w:hideMark/>
          </w:tcPr>
          <w:p w14:paraId="281D77CB"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0D896E15"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6C50CC1B"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72B315A7"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5B528C98" w14:textId="77777777" w:rsidR="00EB75EE" w:rsidRPr="00D07A2F" w:rsidRDefault="00EB75EE" w:rsidP="009E1584">
            <w:pPr>
              <w:pStyle w:val="NormalWeb"/>
              <w:jc w:val="center"/>
              <w:rPr>
                <w:sz w:val="18"/>
                <w:szCs w:val="18"/>
              </w:rPr>
            </w:pPr>
            <w:r w:rsidRPr="00D07A2F">
              <w:rPr>
                <w:sz w:val="18"/>
                <w:szCs w:val="18"/>
              </w:rPr>
              <w:t>1</w:t>
            </w:r>
          </w:p>
        </w:tc>
        <w:tc>
          <w:tcPr>
            <w:tcW w:w="564" w:type="dxa"/>
            <w:hideMark/>
          </w:tcPr>
          <w:p w14:paraId="08E896D6" w14:textId="77777777" w:rsidR="00EB75EE" w:rsidRPr="00D07A2F" w:rsidRDefault="00EB75EE" w:rsidP="009E1584">
            <w:pPr>
              <w:pStyle w:val="NormalWeb"/>
              <w:jc w:val="center"/>
              <w:rPr>
                <w:sz w:val="18"/>
                <w:szCs w:val="18"/>
              </w:rPr>
            </w:pPr>
            <w:r w:rsidRPr="00D07A2F">
              <w:rPr>
                <w:sz w:val="18"/>
                <w:szCs w:val="18"/>
              </w:rPr>
              <w:t>3.3</w:t>
            </w:r>
          </w:p>
        </w:tc>
        <w:tc>
          <w:tcPr>
            <w:tcW w:w="565" w:type="dxa"/>
            <w:hideMark/>
          </w:tcPr>
          <w:p w14:paraId="5DEF4DA2"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40821B0A" w14:textId="77777777" w:rsidR="00EB75EE" w:rsidRPr="00D07A2F" w:rsidRDefault="00EB75EE" w:rsidP="009E1584">
            <w:pPr>
              <w:pStyle w:val="NormalWeb"/>
              <w:jc w:val="center"/>
              <w:rPr>
                <w:sz w:val="18"/>
                <w:szCs w:val="18"/>
              </w:rPr>
            </w:pPr>
            <w:r w:rsidRPr="00D07A2F">
              <w:rPr>
                <w:sz w:val="18"/>
                <w:szCs w:val="18"/>
              </w:rPr>
              <w:t>4.3</w:t>
            </w:r>
          </w:p>
        </w:tc>
        <w:tc>
          <w:tcPr>
            <w:tcW w:w="564" w:type="dxa"/>
            <w:hideMark/>
          </w:tcPr>
          <w:p w14:paraId="5A542AA5" w14:textId="77777777" w:rsidR="00EB75EE" w:rsidRPr="00D07A2F" w:rsidRDefault="00EB75EE" w:rsidP="009E1584">
            <w:pPr>
              <w:pStyle w:val="NormalWeb"/>
              <w:jc w:val="center"/>
              <w:rPr>
                <w:sz w:val="18"/>
                <w:szCs w:val="18"/>
              </w:rPr>
            </w:pPr>
            <w:r w:rsidRPr="00D07A2F">
              <w:rPr>
                <w:sz w:val="18"/>
                <w:szCs w:val="18"/>
              </w:rPr>
              <w:t>4</w:t>
            </w:r>
          </w:p>
        </w:tc>
        <w:tc>
          <w:tcPr>
            <w:tcW w:w="565" w:type="dxa"/>
            <w:hideMark/>
          </w:tcPr>
          <w:p w14:paraId="69F4D7E0" w14:textId="77777777" w:rsidR="00EB75EE" w:rsidRPr="00D07A2F" w:rsidRDefault="00EB75EE" w:rsidP="009E1584">
            <w:pPr>
              <w:pStyle w:val="NormalWeb"/>
              <w:jc w:val="center"/>
              <w:rPr>
                <w:sz w:val="18"/>
                <w:szCs w:val="18"/>
              </w:rPr>
            </w:pPr>
            <w:r w:rsidRPr="00D07A2F">
              <w:rPr>
                <w:sz w:val="18"/>
                <w:szCs w:val="18"/>
              </w:rPr>
              <w:t>14.3</w:t>
            </w:r>
          </w:p>
        </w:tc>
        <w:tc>
          <w:tcPr>
            <w:tcW w:w="564" w:type="dxa"/>
            <w:hideMark/>
          </w:tcPr>
          <w:p w14:paraId="710AA7B4" w14:textId="77777777" w:rsidR="00EB75EE" w:rsidRPr="00D07A2F" w:rsidRDefault="00EB75EE" w:rsidP="009E1584">
            <w:pPr>
              <w:pStyle w:val="NormalWeb"/>
              <w:jc w:val="center"/>
              <w:rPr>
                <w:sz w:val="18"/>
                <w:szCs w:val="18"/>
              </w:rPr>
            </w:pPr>
            <w:r w:rsidRPr="00D07A2F">
              <w:rPr>
                <w:sz w:val="18"/>
                <w:szCs w:val="18"/>
              </w:rPr>
              <w:t>5</w:t>
            </w:r>
          </w:p>
        </w:tc>
        <w:tc>
          <w:tcPr>
            <w:tcW w:w="565" w:type="dxa"/>
            <w:hideMark/>
          </w:tcPr>
          <w:p w14:paraId="40D0A3D8" w14:textId="77777777" w:rsidR="00EB75EE" w:rsidRPr="00D07A2F" w:rsidRDefault="00EB75EE" w:rsidP="009E1584">
            <w:pPr>
              <w:pStyle w:val="NormalWeb"/>
              <w:jc w:val="center"/>
              <w:rPr>
                <w:sz w:val="18"/>
                <w:szCs w:val="18"/>
              </w:rPr>
            </w:pPr>
            <w:r w:rsidRPr="00D07A2F">
              <w:rPr>
                <w:sz w:val="18"/>
                <w:szCs w:val="18"/>
              </w:rPr>
              <w:t>9</w:t>
            </w:r>
          </w:p>
        </w:tc>
        <w:tc>
          <w:tcPr>
            <w:tcW w:w="565" w:type="dxa"/>
            <w:hideMark/>
          </w:tcPr>
          <w:p w14:paraId="1F2A6E43" w14:textId="77777777" w:rsidR="00EB75EE" w:rsidRPr="00D07A2F" w:rsidRDefault="00EB75EE" w:rsidP="009E1584">
            <w:pPr>
              <w:pStyle w:val="NormalWeb"/>
              <w:jc w:val="center"/>
              <w:rPr>
                <w:sz w:val="18"/>
                <w:szCs w:val="18"/>
              </w:rPr>
            </w:pPr>
            <w:r w:rsidRPr="00D07A2F">
              <w:rPr>
                <w:sz w:val="18"/>
                <w:szCs w:val="18"/>
              </w:rPr>
              <w:t>3</w:t>
            </w:r>
          </w:p>
        </w:tc>
        <w:tc>
          <w:tcPr>
            <w:tcW w:w="564" w:type="dxa"/>
            <w:hideMark/>
          </w:tcPr>
          <w:p w14:paraId="39D4BD2F" w14:textId="77777777" w:rsidR="00EB75EE" w:rsidRPr="00D07A2F" w:rsidRDefault="00EB75EE" w:rsidP="009E1584">
            <w:pPr>
              <w:pStyle w:val="NormalWeb"/>
              <w:jc w:val="center"/>
              <w:rPr>
                <w:sz w:val="18"/>
                <w:szCs w:val="18"/>
              </w:rPr>
            </w:pPr>
            <w:r w:rsidRPr="00D07A2F">
              <w:rPr>
                <w:sz w:val="18"/>
                <w:szCs w:val="18"/>
              </w:rPr>
              <w:t>6</w:t>
            </w:r>
          </w:p>
        </w:tc>
        <w:tc>
          <w:tcPr>
            <w:tcW w:w="565" w:type="dxa"/>
            <w:hideMark/>
          </w:tcPr>
          <w:p w14:paraId="316A7A6F"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5CE7BD4E" w14:textId="77777777" w:rsidR="00EB75EE" w:rsidRPr="00D07A2F" w:rsidRDefault="00EB75EE" w:rsidP="009E1584">
            <w:pPr>
              <w:pStyle w:val="NormalWeb"/>
              <w:jc w:val="center"/>
              <w:rPr>
                <w:sz w:val="18"/>
                <w:szCs w:val="18"/>
              </w:rPr>
            </w:pPr>
            <w:r w:rsidRPr="00D07A2F">
              <w:rPr>
                <w:sz w:val="18"/>
                <w:szCs w:val="18"/>
              </w:rPr>
              <w:t>2.0</w:t>
            </w:r>
          </w:p>
        </w:tc>
      </w:tr>
      <w:tr w:rsidR="00224B6C" w:rsidRPr="00D07A2F" w14:paraId="0F2BF05D" w14:textId="77777777"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14:paraId="227D5C74" w14:textId="77777777" w:rsidR="00EB75EE" w:rsidRPr="00D07A2F" w:rsidRDefault="00EB75EE">
            <w:pPr>
              <w:pStyle w:val="NormalWeb"/>
              <w:rPr>
                <w:sz w:val="18"/>
                <w:szCs w:val="18"/>
              </w:rPr>
            </w:pPr>
            <w:r w:rsidRPr="00D07A2F">
              <w:rPr>
                <w:sz w:val="18"/>
                <w:szCs w:val="18"/>
              </w:rPr>
              <w:t>Vic</w:t>
            </w:r>
          </w:p>
        </w:tc>
        <w:tc>
          <w:tcPr>
            <w:tcW w:w="564" w:type="dxa"/>
            <w:hideMark/>
          </w:tcPr>
          <w:p w14:paraId="3E5094CC" w14:textId="77777777" w:rsidR="00EB75EE" w:rsidRPr="00D07A2F" w:rsidRDefault="00EB75EE" w:rsidP="009E1584">
            <w:pPr>
              <w:pStyle w:val="NormalWeb"/>
              <w:jc w:val="center"/>
              <w:rPr>
                <w:sz w:val="18"/>
                <w:szCs w:val="18"/>
              </w:rPr>
            </w:pPr>
            <w:r w:rsidRPr="00D07A2F">
              <w:rPr>
                <w:sz w:val="18"/>
                <w:szCs w:val="18"/>
              </w:rPr>
              <w:t>34</w:t>
            </w:r>
          </w:p>
        </w:tc>
        <w:tc>
          <w:tcPr>
            <w:tcW w:w="565" w:type="dxa"/>
            <w:hideMark/>
          </w:tcPr>
          <w:p w14:paraId="34693AF7" w14:textId="77777777" w:rsidR="00EB75EE" w:rsidRPr="00D07A2F" w:rsidRDefault="00EB75EE" w:rsidP="009E1584">
            <w:pPr>
              <w:pStyle w:val="NormalWeb"/>
              <w:jc w:val="center"/>
              <w:rPr>
                <w:sz w:val="18"/>
                <w:szCs w:val="18"/>
              </w:rPr>
            </w:pPr>
            <w:r w:rsidRPr="00D07A2F">
              <w:rPr>
                <w:sz w:val="18"/>
                <w:szCs w:val="18"/>
              </w:rPr>
              <w:t>2.7</w:t>
            </w:r>
          </w:p>
        </w:tc>
        <w:tc>
          <w:tcPr>
            <w:tcW w:w="564" w:type="dxa"/>
            <w:hideMark/>
          </w:tcPr>
          <w:p w14:paraId="4407DBF0" w14:textId="77777777" w:rsidR="00EB75EE" w:rsidRPr="00D07A2F" w:rsidRDefault="00EB75EE" w:rsidP="009E1584">
            <w:pPr>
              <w:pStyle w:val="NormalWeb"/>
              <w:jc w:val="center"/>
              <w:rPr>
                <w:sz w:val="18"/>
                <w:szCs w:val="18"/>
              </w:rPr>
            </w:pPr>
            <w:r w:rsidRPr="00D07A2F">
              <w:rPr>
                <w:sz w:val="18"/>
                <w:szCs w:val="18"/>
              </w:rPr>
              <w:t>35</w:t>
            </w:r>
          </w:p>
        </w:tc>
        <w:tc>
          <w:tcPr>
            <w:tcW w:w="565" w:type="dxa"/>
            <w:hideMark/>
          </w:tcPr>
          <w:p w14:paraId="7C8D6797" w14:textId="77777777" w:rsidR="00EB75EE" w:rsidRPr="00D07A2F" w:rsidRDefault="00EB75EE" w:rsidP="009E1584">
            <w:pPr>
              <w:pStyle w:val="NormalWeb"/>
              <w:jc w:val="center"/>
              <w:rPr>
                <w:sz w:val="18"/>
                <w:szCs w:val="18"/>
              </w:rPr>
            </w:pPr>
            <w:r w:rsidRPr="00D07A2F">
              <w:rPr>
                <w:sz w:val="18"/>
                <w:szCs w:val="18"/>
              </w:rPr>
              <w:t>2.3</w:t>
            </w:r>
          </w:p>
        </w:tc>
        <w:tc>
          <w:tcPr>
            <w:tcW w:w="565" w:type="dxa"/>
            <w:hideMark/>
          </w:tcPr>
          <w:p w14:paraId="57CC1127" w14:textId="77777777" w:rsidR="00EB75EE" w:rsidRPr="00D07A2F" w:rsidRDefault="00EB75EE" w:rsidP="009E1584">
            <w:pPr>
              <w:pStyle w:val="NormalWeb"/>
              <w:jc w:val="center"/>
              <w:rPr>
                <w:sz w:val="18"/>
                <w:szCs w:val="18"/>
              </w:rPr>
            </w:pPr>
            <w:r w:rsidRPr="00D07A2F">
              <w:rPr>
                <w:sz w:val="18"/>
                <w:szCs w:val="18"/>
              </w:rPr>
              <w:t>33</w:t>
            </w:r>
          </w:p>
        </w:tc>
        <w:tc>
          <w:tcPr>
            <w:tcW w:w="564" w:type="dxa"/>
            <w:hideMark/>
          </w:tcPr>
          <w:p w14:paraId="4ABAE467" w14:textId="77777777" w:rsidR="00EB75EE" w:rsidRPr="00D07A2F" w:rsidRDefault="00EB75EE" w:rsidP="009E1584">
            <w:pPr>
              <w:pStyle w:val="NormalWeb"/>
              <w:jc w:val="center"/>
              <w:rPr>
                <w:sz w:val="18"/>
                <w:szCs w:val="18"/>
              </w:rPr>
            </w:pPr>
            <w:r w:rsidRPr="00D07A2F">
              <w:rPr>
                <w:sz w:val="18"/>
                <w:szCs w:val="18"/>
              </w:rPr>
              <w:t>2.3</w:t>
            </w:r>
          </w:p>
        </w:tc>
        <w:tc>
          <w:tcPr>
            <w:tcW w:w="565" w:type="dxa"/>
            <w:hideMark/>
          </w:tcPr>
          <w:p w14:paraId="7ED91815" w14:textId="77777777" w:rsidR="00EB75EE" w:rsidRPr="00D07A2F" w:rsidRDefault="00EB75EE" w:rsidP="009E1584">
            <w:pPr>
              <w:pStyle w:val="NormalWeb"/>
              <w:jc w:val="center"/>
              <w:rPr>
                <w:sz w:val="18"/>
                <w:szCs w:val="18"/>
              </w:rPr>
            </w:pPr>
            <w:r w:rsidRPr="00D07A2F">
              <w:rPr>
                <w:sz w:val="18"/>
                <w:szCs w:val="18"/>
              </w:rPr>
              <w:t>30</w:t>
            </w:r>
          </w:p>
        </w:tc>
        <w:tc>
          <w:tcPr>
            <w:tcW w:w="565" w:type="dxa"/>
            <w:hideMark/>
          </w:tcPr>
          <w:p w14:paraId="697DE792" w14:textId="77777777" w:rsidR="00EB75EE" w:rsidRPr="00D07A2F" w:rsidRDefault="00EB75EE" w:rsidP="009E1584">
            <w:pPr>
              <w:pStyle w:val="NormalWeb"/>
              <w:jc w:val="center"/>
              <w:rPr>
                <w:sz w:val="18"/>
                <w:szCs w:val="18"/>
              </w:rPr>
            </w:pPr>
            <w:r w:rsidRPr="00D07A2F">
              <w:rPr>
                <w:sz w:val="18"/>
                <w:szCs w:val="18"/>
              </w:rPr>
              <w:t>1.8</w:t>
            </w:r>
          </w:p>
        </w:tc>
        <w:tc>
          <w:tcPr>
            <w:tcW w:w="564" w:type="dxa"/>
            <w:hideMark/>
          </w:tcPr>
          <w:p w14:paraId="1E29B551" w14:textId="77777777" w:rsidR="00EB75EE" w:rsidRPr="00D07A2F" w:rsidRDefault="00EB75EE" w:rsidP="009E1584">
            <w:pPr>
              <w:pStyle w:val="NormalWeb"/>
              <w:jc w:val="center"/>
              <w:rPr>
                <w:sz w:val="18"/>
                <w:szCs w:val="18"/>
              </w:rPr>
            </w:pPr>
            <w:r w:rsidRPr="00D07A2F">
              <w:rPr>
                <w:sz w:val="18"/>
                <w:szCs w:val="18"/>
              </w:rPr>
              <w:t>93</w:t>
            </w:r>
          </w:p>
        </w:tc>
        <w:tc>
          <w:tcPr>
            <w:tcW w:w="565" w:type="dxa"/>
            <w:hideMark/>
          </w:tcPr>
          <w:p w14:paraId="411D9FC5" w14:textId="77777777" w:rsidR="00EB75EE" w:rsidRPr="00D07A2F" w:rsidRDefault="00EB75EE" w:rsidP="009E1584">
            <w:pPr>
              <w:pStyle w:val="NormalWeb"/>
              <w:jc w:val="center"/>
              <w:rPr>
                <w:sz w:val="18"/>
                <w:szCs w:val="18"/>
              </w:rPr>
            </w:pPr>
            <w:r w:rsidRPr="00D07A2F">
              <w:rPr>
                <w:sz w:val="18"/>
                <w:szCs w:val="18"/>
              </w:rPr>
              <w:t>5.4</w:t>
            </w:r>
          </w:p>
        </w:tc>
        <w:tc>
          <w:tcPr>
            <w:tcW w:w="564" w:type="dxa"/>
            <w:hideMark/>
          </w:tcPr>
          <w:p w14:paraId="28871D03" w14:textId="77777777" w:rsidR="00EB75EE" w:rsidRPr="00D07A2F" w:rsidRDefault="00EB75EE" w:rsidP="009E1584">
            <w:pPr>
              <w:pStyle w:val="NormalWeb"/>
              <w:jc w:val="center"/>
              <w:rPr>
                <w:sz w:val="18"/>
                <w:szCs w:val="18"/>
              </w:rPr>
            </w:pPr>
            <w:r w:rsidRPr="00D07A2F">
              <w:rPr>
                <w:sz w:val="18"/>
                <w:szCs w:val="18"/>
              </w:rPr>
              <w:t>304</w:t>
            </w:r>
          </w:p>
        </w:tc>
        <w:tc>
          <w:tcPr>
            <w:tcW w:w="565" w:type="dxa"/>
            <w:hideMark/>
          </w:tcPr>
          <w:p w14:paraId="6270CAC3" w14:textId="77777777" w:rsidR="00EB75EE" w:rsidRPr="00D07A2F" w:rsidRDefault="00EB75EE" w:rsidP="009E1584">
            <w:pPr>
              <w:pStyle w:val="NormalWeb"/>
              <w:jc w:val="center"/>
              <w:rPr>
                <w:sz w:val="18"/>
                <w:szCs w:val="18"/>
              </w:rPr>
            </w:pPr>
            <w:r w:rsidRPr="00D07A2F">
              <w:rPr>
                <w:sz w:val="18"/>
                <w:szCs w:val="18"/>
              </w:rPr>
              <w:t>13.5</w:t>
            </w:r>
          </w:p>
        </w:tc>
        <w:tc>
          <w:tcPr>
            <w:tcW w:w="565" w:type="dxa"/>
            <w:hideMark/>
          </w:tcPr>
          <w:p w14:paraId="1C1F9068" w14:textId="77777777" w:rsidR="00EB75EE" w:rsidRPr="00D07A2F" w:rsidRDefault="00EB75EE" w:rsidP="009E1584">
            <w:pPr>
              <w:pStyle w:val="NormalWeb"/>
              <w:jc w:val="center"/>
              <w:rPr>
                <w:sz w:val="18"/>
                <w:szCs w:val="18"/>
              </w:rPr>
            </w:pPr>
            <w:r w:rsidRPr="00D07A2F">
              <w:rPr>
                <w:sz w:val="18"/>
                <w:szCs w:val="18"/>
              </w:rPr>
              <w:t>217</w:t>
            </w:r>
          </w:p>
        </w:tc>
        <w:tc>
          <w:tcPr>
            <w:tcW w:w="564" w:type="dxa"/>
            <w:hideMark/>
          </w:tcPr>
          <w:p w14:paraId="01F39909" w14:textId="77777777" w:rsidR="00EB75EE" w:rsidRPr="00D07A2F" w:rsidRDefault="00EB75EE" w:rsidP="009E1584">
            <w:pPr>
              <w:pStyle w:val="NormalWeb"/>
              <w:jc w:val="center"/>
              <w:rPr>
                <w:sz w:val="18"/>
                <w:szCs w:val="18"/>
              </w:rPr>
            </w:pPr>
            <w:r w:rsidRPr="00D07A2F">
              <w:rPr>
                <w:sz w:val="18"/>
                <w:szCs w:val="18"/>
              </w:rPr>
              <w:t>8.3</w:t>
            </w:r>
          </w:p>
        </w:tc>
        <w:tc>
          <w:tcPr>
            <w:tcW w:w="565" w:type="dxa"/>
            <w:hideMark/>
          </w:tcPr>
          <w:p w14:paraId="7942AB09" w14:textId="77777777" w:rsidR="00EB75EE" w:rsidRPr="00D07A2F" w:rsidRDefault="00EB75EE" w:rsidP="009E1584">
            <w:pPr>
              <w:pStyle w:val="NormalWeb"/>
              <w:jc w:val="center"/>
              <w:rPr>
                <w:sz w:val="18"/>
                <w:szCs w:val="18"/>
              </w:rPr>
            </w:pPr>
            <w:r w:rsidRPr="00D07A2F">
              <w:rPr>
                <w:sz w:val="18"/>
                <w:szCs w:val="18"/>
              </w:rPr>
              <w:t>161</w:t>
            </w:r>
          </w:p>
        </w:tc>
        <w:tc>
          <w:tcPr>
            <w:tcW w:w="565" w:type="dxa"/>
            <w:hideMark/>
          </w:tcPr>
          <w:p w14:paraId="0DA85E07" w14:textId="77777777" w:rsidR="00EB75EE" w:rsidRPr="00D07A2F" w:rsidRDefault="00EB75EE" w:rsidP="009E1584">
            <w:pPr>
              <w:pStyle w:val="NormalWeb"/>
              <w:jc w:val="center"/>
              <w:rPr>
                <w:sz w:val="18"/>
                <w:szCs w:val="18"/>
              </w:rPr>
            </w:pPr>
            <w:r w:rsidRPr="00D07A2F">
              <w:rPr>
                <w:sz w:val="18"/>
                <w:szCs w:val="18"/>
              </w:rPr>
              <w:t>6.2</w:t>
            </w:r>
          </w:p>
        </w:tc>
      </w:tr>
      <w:tr w:rsidR="00D07A2F" w:rsidRPr="00D07A2F" w14:paraId="3CB8925B" w14:textId="77777777" w:rsidTr="009E1584">
        <w:tc>
          <w:tcPr>
            <w:tcW w:w="0" w:type="auto"/>
            <w:hideMark/>
          </w:tcPr>
          <w:p w14:paraId="23B0CDA5" w14:textId="77777777" w:rsidR="00EB75EE" w:rsidRPr="00D07A2F" w:rsidRDefault="00EB75EE">
            <w:pPr>
              <w:pStyle w:val="NormalWeb"/>
              <w:rPr>
                <w:sz w:val="18"/>
                <w:szCs w:val="18"/>
              </w:rPr>
            </w:pPr>
            <w:r w:rsidRPr="00D07A2F">
              <w:rPr>
                <w:sz w:val="18"/>
                <w:szCs w:val="18"/>
              </w:rPr>
              <w:t>NT non-remote</w:t>
            </w:r>
          </w:p>
        </w:tc>
        <w:tc>
          <w:tcPr>
            <w:tcW w:w="564" w:type="dxa"/>
            <w:hideMark/>
          </w:tcPr>
          <w:p w14:paraId="50CDECB6"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06FEDDAF"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7A8B34B3"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4971A4B9" w14:textId="77777777" w:rsidR="00EB75EE" w:rsidRPr="00D07A2F" w:rsidRDefault="00EB75EE" w:rsidP="009E1584">
            <w:pPr>
              <w:pStyle w:val="NormalWeb"/>
              <w:jc w:val="center"/>
              <w:rPr>
                <w:sz w:val="18"/>
                <w:szCs w:val="18"/>
              </w:rPr>
            </w:pPr>
            <w:r w:rsidRPr="00D07A2F">
              <w:rPr>
                <w:sz w:val="18"/>
                <w:szCs w:val="18"/>
              </w:rPr>
              <w:t>1.0</w:t>
            </w:r>
          </w:p>
        </w:tc>
        <w:tc>
          <w:tcPr>
            <w:tcW w:w="565" w:type="dxa"/>
            <w:hideMark/>
          </w:tcPr>
          <w:p w14:paraId="27C9240D"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6A78CE34"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378B85AC"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7E93D6B8"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08A15CBD"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316F76EF" w14:textId="77777777" w:rsidR="00EB75EE" w:rsidRPr="00D07A2F" w:rsidRDefault="00EB75EE" w:rsidP="009E1584">
            <w:pPr>
              <w:pStyle w:val="NormalWeb"/>
              <w:jc w:val="center"/>
              <w:rPr>
                <w:sz w:val="18"/>
                <w:szCs w:val="18"/>
              </w:rPr>
            </w:pPr>
            <w:r w:rsidRPr="00D07A2F">
              <w:rPr>
                <w:sz w:val="18"/>
                <w:szCs w:val="18"/>
              </w:rPr>
              <w:t>1.9</w:t>
            </w:r>
          </w:p>
        </w:tc>
        <w:tc>
          <w:tcPr>
            <w:tcW w:w="564" w:type="dxa"/>
            <w:hideMark/>
          </w:tcPr>
          <w:p w14:paraId="1C32721D"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56507A5B" w14:textId="77777777" w:rsidR="00EB75EE" w:rsidRPr="00D07A2F" w:rsidRDefault="00EB75EE" w:rsidP="009E1584">
            <w:pPr>
              <w:pStyle w:val="NormalWeb"/>
              <w:jc w:val="center"/>
              <w:rPr>
                <w:sz w:val="18"/>
                <w:szCs w:val="18"/>
              </w:rPr>
            </w:pPr>
            <w:r w:rsidRPr="00D07A2F">
              <w:rPr>
                <w:sz w:val="18"/>
                <w:szCs w:val="18"/>
              </w:rPr>
              <w:t>1.7</w:t>
            </w:r>
          </w:p>
        </w:tc>
        <w:tc>
          <w:tcPr>
            <w:tcW w:w="565" w:type="dxa"/>
            <w:hideMark/>
          </w:tcPr>
          <w:p w14:paraId="6872DB42" w14:textId="77777777" w:rsidR="00EB75EE" w:rsidRPr="00D07A2F" w:rsidRDefault="00EB75EE" w:rsidP="009E1584">
            <w:pPr>
              <w:pStyle w:val="NormalWeb"/>
              <w:jc w:val="center"/>
              <w:rPr>
                <w:sz w:val="18"/>
                <w:szCs w:val="18"/>
              </w:rPr>
            </w:pPr>
            <w:r w:rsidRPr="00D07A2F">
              <w:rPr>
                <w:sz w:val="18"/>
                <w:szCs w:val="18"/>
              </w:rPr>
              <w:t>1</w:t>
            </w:r>
          </w:p>
        </w:tc>
        <w:tc>
          <w:tcPr>
            <w:tcW w:w="564" w:type="dxa"/>
            <w:hideMark/>
          </w:tcPr>
          <w:p w14:paraId="195269E4" w14:textId="77777777" w:rsidR="00EB75EE" w:rsidRPr="00D07A2F" w:rsidRDefault="00EB75EE" w:rsidP="009E1584">
            <w:pPr>
              <w:pStyle w:val="NormalWeb"/>
              <w:jc w:val="center"/>
              <w:rPr>
                <w:sz w:val="18"/>
                <w:szCs w:val="18"/>
              </w:rPr>
            </w:pPr>
            <w:r w:rsidRPr="00D07A2F">
              <w:rPr>
                <w:sz w:val="18"/>
                <w:szCs w:val="18"/>
              </w:rPr>
              <w:t>1.5</w:t>
            </w:r>
          </w:p>
        </w:tc>
        <w:tc>
          <w:tcPr>
            <w:tcW w:w="565" w:type="dxa"/>
            <w:hideMark/>
          </w:tcPr>
          <w:p w14:paraId="09B50D6C"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01D0A78E" w14:textId="77777777" w:rsidR="00EB75EE" w:rsidRPr="00D07A2F" w:rsidRDefault="00EB75EE" w:rsidP="009E1584">
            <w:pPr>
              <w:pStyle w:val="NormalWeb"/>
              <w:jc w:val="center"/>
              <w:rPr>
                <w:sz w:val="18"/>
                <w:szCs w:val="18"/>
              </w:rPr>
            </w:pPr>
            <w:r w:rsidRPr="00D07A2F">
              <w:rPr>
                <w:sz w:val="18"/>
                <w:szCs w:val="18"/>
              </w:rPr>
              <w:t>1.8</w:t>
            </w:r>
          </w:p>
        </w:tc>
      </w:tr>
      <w:tr w:rsidR="00224B6C" w:rsidRPr="00D07A2F" w14:paraId="2AFCB7FA" w14:textId="77777777"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14:paraId="0FD38781" w14:textId="77777777" w:rsidR="00EB75EE" w:rsidRPr="00D07A2F" w:rsidRDefault="00EB75EE">
            <w:pPr>
              <w:pStyle w:val="NormalWeb"/>
              <w:rPr>
                <w:sz w:val="18"/>
                <w:szCs w:val="18"/>
              </w:rPr>
            </w:pPr>
            <w:r w:rsidRPr="00D07A2F">
              <w:rPr>
                <w:sz w:val="18"/>
                <w:szCs w:val="18"/>
              </w:rPr>
              <w:t>NT remote</w:t>
            </w:r>
          </w:p>
        </w:tc>
        <w:tc>
          <w:tcPr>
            <w:tcW w:w="564" w:type="dxa"/>
            <w:hideMark/>
          </w:tcPr>
          <w:p w14:paraId="41020D32"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06C10CE3"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37180C26"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3096E3AC"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27A91D78"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1DDC5239"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284B0F14"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628E38D9"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0527BAB9"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6032EF2C"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1D0E4C05"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488717E9" w14:textId="77777777" w:rsidR="00EB75EE" w:rsidRPr="00D07A2F" w:rsidRDefault="00EB75EE" w:rsidP="009E1584">
            <w:pPr>
              <w:pStyle w:val="NormalWeb"/>
              <w:jc w:val="center"/>
              <w:rPr>
                <w:sz w:val="18"/>
                <w:szCs w:val="18"/>
              </w:rPr>
            </w:pPr>
            <w:r w:rsidRPr="00D07A2F">
              <w:rPr>
                <w:sz w:val="18"/>
                <w:szCs w:val="18"/>
              </w:rPr>
              <w:t>0.6</w:t>
            </w:r>
          </w:p>
        </w:tc>
        <w:tc>
          <w:tcPr>
            <w:tcW w:w="565" w:type="dxa"/>
            <w:hideMark/>
          </w:tcPr>
          <w:p w14:paraId="01AD130D"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67C07F2F" w14:textId="77777777" w:rsidR="00EB75EE" w:rsidRPr="00D07A2F" w:rsidRDefault="00EB75EE" w:rsidP="009E1584">
            <w:pPr>
              <w:pStyle w:val="NormalWeb"/>
              <w:jc w:val="center"/>
              <w:rPr>
                <w:sz w:val="18"/>
                <w:szCs w:val="18"/>
              </w:rPr>
            </w:pPr>
            <w:r w:rsidRPr="00D07A2F">
              <w:rPr>
                <w:sz w:val="18"/>
                <w:szCs w:val="18"/>
              </w:rPr>
              <w:t>0.0</w:t>
            </w:r>
          </w:p>
        </w:tc>
        <w:tc>
          <w:tcPr>
            <w:tcW w:w="565" w:type="dxa"/>
            <w:hideMark/>
          </w:tcPr>
          <w:p w14:paraId="5EDC2762"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3EDFCE5E" w14:textId="77777777" w:rsidR="00EB75EE" w:rsidRPr="00D07A2F" w:rsidRDefault="00EB75EE" w:rsidP="009E1584">
            <w:pPr>
              <w:pStyle w:val="NormalWeb"/>
              <w:jc w:val="center"/>
              <w:rPr>
                <w:sz w:val="18"/>
                <w:szCs w:val="18"/>
              </w:rPr>
            </w:pPr>
            <w:r w:rsidRPr="00D07A2F">
              <w:rPr>
                <w:sz w:val="18"/>
                <w:szCs w:val="18"/>
              </w:rPr>
              <w:t>0.0</w:t>
            </w:r>
          </w:p>
        </w:tc>
      </w:tr>
      <w:tr w:rsidR="00D07A2F" w:rsidRPr="00D07A2F" w14:paraId="20F4CD64" w14:textId="77777777" w:rsidTr="009E1584">
        <w:tc>
          <w:tcPr>
            <w:tcW w:w="0" w:type="auto"/>
            <w:hideMark/>
          </w:tcPr>
          <w:p w14:paraId="3C2AC4C4" w14:textId="77777777" w:rsidR="00EB75EE" w:rsidRPr="00D07A2F" w:rsidRDefault="00EB75EE">
            <w:pPr>
              <w:pStyle w:val="NormalWeb"/>
              <w:rPr>
                <w:sz w:val="18"/>
                <w:szCs w:val="18"/>
              </w:rPr>
            </w:pPr>
            <w:r w:rsidRPr="00D07A2F">
              <w:rPr>
                <w:sz w:val="18"/>
                <w:szCs w:val="18"/>
              </w:rPr>
              <w:t>WA non-remote</w:t>
            </w:r>
          </w:p>
        </w:tc>
        <w:tc>
          <w:tcPr>
            <w:tcW w:w="564" w:type="dxa"/>
            <w:hideMark/>
          </w:tcPr>
          <w:p w14:paraId="4FCB6FF7" w14:textId="77777777" w:rsidR="00EB75EE" w:rsidRPr="00D07A2F" w:rsidRDefault="00EB75EE" w:rsidP="009E1584">
            <w:pPr>
              <w:pStyle w:val="NormalWeb"/>
              <w:jc w:val="center"/>
              <w:rPr>
                <w:sz w:val="18"/>
                <w:szCs w:val="18"/>
              </w:rPr>
            </w:pPr>
            <w:r w:rsidRPr="00D07A2F">
              <w:rPr>
                <w:sz w:val="18"/>
                <w:szCs w:val="18"/>
              </w:rPr>
              <w:t>3</w:t>
            </w:r>
          </w:p>
        </w:tc>
        <w:tc>
          <w:tcPr>
            <w:tcW w:w="565" w:type="dxa"/>
            <w:hideMark/>
          </w:tcPr>
          <w:p w14:paraId="4A932BA0" w14:textId="77777777" w:rsidR="00EB75EE" w:rsidRPr="00D07A2F" w:rsidRDefault="00EB75EE" w:rsidP="009E1584">
            <w:pPr>
              <w:pStyle w:val="NormalWeb"/>
              <w:jc w:val="center"/>
              <w:rPr>
                <w:sz w:val="18"/>
                <w:szCs w:val="18"/>
              </w:rPr>
            </w:pPr>
            <w:r w:rsidRPr="00D07A2F">
              <w:rPr>
                <w:sz w:val="18"/>
                <w:szCs w:val="18"/>
              </w:rPr>
              <w:t>0.6</w:t>
            </w:r>
          </w:p>
        </w:tc>
        <w:tc>
          <w:tcPr>
            <w:tcW w:w="564" w:type="dxa"/>
            <w:hideMark/>
          </w:tcPr>
          <w:p w14:paraId="0AFD6B40" w14:textId="77777777" w:rsidR="00EB75EE" w:rsidRPr="00D07A2F" w:rsidRDefault="00EB75EE" w:rsidP="009E1584">
            <w:pPr>
              <w:pStyle w:val="NormalWeb"/>
              <w:jc w:val="center"/>
              <w:rPr>
                <w:sz w:val="18"/>
                <w:szCs w:val="18"/>
              </w:rPr>
            </w:pPr>
            <w:r w:rsidRPr="00D07A2F">
              <w:rPr>
                <w:sz w:val="18"/>
                <w:szCs w:val="18"/>
              </w:rPr>
              <w:t>9</w:t>
            </w:r>
          </w:p>
        </w:tc>
        <w:tc>
          <w:tcPr>
            <w:tcW w:w="565" w:type="dxa"/>
            <w:hideMark/>
          </w:tcPr>
          <w:p w14:paraId="37082CB9" w14:textId="77777777" w:rsidR="00EB75EE" w:rsidRPr="00D07A2F" w:rsidRDefault="00EB75EE" w:rsidP="009E1584">
            <w:pPr>
              <w:pStyle w:val="NormalWeb"/>
              <w:jc w:val="center"/>
              <w:rPr>
                <w:sz w:val="18"/>
                <w:szCs w:val="18"/>
              </w:rPr>
            </w:pPr>
            <w:r w:rsidRPr="00D07A2F">
              <w:rPr>
                <w:sz w:val="18"/>
                <w:szCs w:val="18"/>
              </w:rPr>
              <w:t>1.9</w:t>
            </w:r>
          </w:p>
        </w:tc>
        <w:tc>
          <w:tcPr>
            <w:tcW w:w="565" w:type="dxa"/>
            <w:hideMark/>
          </w:tcPr>
          <w:p w14:paraId="4FA89112" w14:textId="77777777" w:rsidR="00EB75EE" w:rsidRPr="00D07A2F" w:rsidRDefault="00EB75EE" w:rsidP="009E1584">
            <w:pPr>
              <w:pStyle w:val="NormalWeb"/>
              <w:jc w:val="center"/>
              <w:rPr>
                <w:sz w:val="18"/>
                <w:szCs w:val="18"/>
              </w:rPr>
            </w:pPr>
            <w:r w:rsidRPr="00D07A2F">
              <w:rPr>
                <w:sz w:val="18"/>
                <w:szCs w:val="18"/>
              </w:rPr>
              <w:t>21</w:t>
            </w:r>
          </w:p>
        </w:tc>
        <w:tc>
          <w:tcPr>
            <w:tcW w:w="564" w:type="dxa"/>
            <w:hideMark/>
          </w:tcPr>
          <w:p w14:paraId="10D22D8B" w14:textId="77777777" w:rsidR="00EB75EE" w:rsidRPr="00D07A2F" w:rsidRDefault="00EB75EE" w:rsidP="009E1584">
            <w:pPr>
              <w:pStyle w:val="NormalWeb"/>
              <w:jc w:val="center"/>
              <w:rPr>
                <w:sz w:val="18"/>
                <w:szCs w:val="18"/>
              </w:rPr>
            </w:pPr>
            <w:r w:rsidRPr="00D07A2F">
              <w:rPr>
                <w:sz w:val="18"/>
                <w:szCs w:val="18"/>
              </w:rPr>
              <w:t>5.3</w:t>
            </w:r>
          </w:p>
        </w:tc>
        <w:tc>
          <w:tcPr>
            <w:tcW w:w="565" w:type="dxa"/>
            <w:hideMark/>
          </w:tcPr>
          <w:p w14:paraId="6A29E457" w14:textId="77777777" w:rsidR="00EB75EE" w:rsidRPr="00D07A2F" w:rsidRDefault="00EB75EE" w:rsidP="009E1584">
            <w:pPr>
              <w:pStyle w:val="NormalWeb"/>
              <w:jc w:val="center"/>
              <w:rPr>
                <w:sz w:val="18"/>
                <w:szCs w:val="18"/>
              </w:rPr>
            </w:pPr>
            <w:r w:rsidRPr="00D07A2F">
              <w:rPr>
                <w:sz w:val="18"/>
                <w:szCs w:val="18"/>
              </w:rPr>
              <w:t>15</w:t>
            </w:r>
          </w:p>
        </w:tc>
        <w:tc>
          <w:tcPr>
            <w:tcW w:w="565" w:type="dxa"/>
            <w:hideMark/>
          </w:tcPr>
          <w:p w14:paraId="6429DC4F" w14:textId="77777777" w:rsidR="00EB75EE" w:rsidRPr="00D07A2F" w:rsidRDefault="00EB75EE" w:rsidP="009E1584">
            <w:pPr>
              <w:pStyle w:val="NormalWeb"/>
              <w:jc w:val="center"/>
              <w:rPr>
                <w:sz w:val="18"/>
                <w:szCs w:val="18"/>
              </w:rPr>
            </w:pPr>
            <w:r w:rsidRPr="00D07A2F">
              <w:rPr>
                <w:sz w:val="18"/>
                <w:szCs w:val="18"/>
              </w:rPr>
              <w:t>3.8</w:t>
            </w:r>
          </w:p>
        </w:tc>
        <w:tc>
          <w:tcPr>
            <w:tcW w:w="564" w:type="dxa"/>
            <w:hideMark/>
          </w:tcPr>
          <w:p w14:paraId="34F5A275" w14:textId="77777777" w:rsidR="00EB75EE" w:rsidRPr="00D07A2F" w:rsidRDefault="00EB75EE" w:rsidP="009E1584">
            <w:pPr>
              <w:pStyle w:val="NormalWeb"/>
              <w:jc w:val="center"/>
              <w:rPr>
                <w:sz w:val="18"/>
                <w:szCs w:val="18"/>
              </w:rPr>
            </w:pPr>
            <w:r w:rsidRPr="00D07A2F">
              <w:rPr>
                <w:sz w:val="18"/>
                <w:szCs w:val="18"/>
              </w:rPr>
              <w:t>51</w:t>
            </w:r>
          </w:p>
        </w:tc>
        <w:tc>
          <w:tcPr>
            <w:tcW w:w="565" w:type="dxa"/>
            <w:hideMark/>
          </w:tcPr>
          <w:p w14:paraId="4E664196" w14:textId="77777777" w:rsidR="00EB75EE" w:rsidRPr="00D07A2F" w:rsidRDefault="00EB75EE" w:rsidP="009E1584">
            <w:pPr>
              <w:pStyle w:val="NormalWeb"/>
              <w:jc w:val="center"/>
              <w:rPr>
                <w:sz w:val="18"/>
                <w:szCs w:val="18"/>
              </w:rPr>
            </w:pPr>
            <w:r w:rsidRPr="00D07A2F">
              <w:rPr>
                <w:sz w:val="18"/>
                <w:szCs w:val="18"/>
              </w:rPr>
              <w:t>7.6</w:t>
            </w:r>
          </w:p>
        </w:tc>
        <w:tc>
          <w:tcPr>
            <w:tcW w:w="564" w:type="dxa"/>
            <w:hideMark/>
          </w:tcPr>
          <w:p w14:paraId="43EF0496" w14:textId="77777777" w:rsidR="00EB75EE" w:rsidRPr="00D07A2F" w:rsidRDefault="00EB75EE" w:rsidP="009E1584">
            <w:pPr>
              <w:pStyle w:val="NormalWeb"/>
              <w:jc w:val="center"/>
              <w:rPr>
                <w:sz w:val="18"/>
                <w:szCs w:val="18"/>
              </w:rPr>
            </w:pPr>
            <w:r w:rsidRPr="00D07A2F">
              <w:rPr>
                <w:sz w:val="18"/>
                <w:szCs w:val="18"/>
              </w:rPr>
              <w:t>40</w:t>
            </w:r>
          </w:p>
        </w:tc>
        <w:tc>
          <w:tcPr>
            <w:tcW w:w="565" w:type="dxa"/>
            <w:hideMark/>
          </w:tcPr>
          <w:p w14:paraId="438FDA50" w14:textId="77777777" w:rsidR="00EB75EE" w:rsidRPr="00D07A2F" w:rsidRDefault="00EB75EE" w:rsidP="009E1584">
            <w:pPr>
              <w:pStyle w:val="NormalWeb"/>
              <w:jc w:val="center"/>
              <w:rPr>
                <w:sz w:val="18"/>
                <w:szCs w:val="18"/>
              </w:rPr>
            </w:pPr>
            <w:r w:rsidRPr="00D07A2F">
              <w:rPr>
                <w:sz w:val="18"/>
                <w:szCs w:val="18"/>
              </w:rPr>
              <w:t>6.4</w:t>
            </w:r>
          </w:p>
        </w:tc>
        <w:tc>
          <w:tcPr>
            <w:tcW w:w="565" w:type="dxa"/>
            <w:hideMark/>
          </w:tcPr>
          <w:p w14:paraId="00B71784" w14:textId="77777777" w:rsidR="00EB75EE" w:rsidRPr="00D07A2F" w:rsidRDefault="00EB75EE" w:rsidP="009E1584">
            <w:pPr>
              <w:pStyle w:val="NormalWeb"/>
              <w:jc w:val="center"/>
              <w:rPr>
                <w:sz w:val="18"/>
                <w:szCs w:val="18"/>
              </w:rPr>
            </w:pPr>
            <w:r w:rsidRPr="00D07A2F">
              <w:rPr>
                <w:sz w:val="18"/>
                <w:szCs w:val="18"/>
              </w:rPr>
              <w:t>16</w:t>
            </w:r>
          </w:p>
        </w:tc>
        <w:tc>
          <w:tcPr>
            <w:tcW w:w="564" w:type="dxa"/>
            <w:hideMark/>
          </w:tcPr>
          <w:p w14:paraId="0B0DDE60" w14:textId="77777777" w:rsidR="00EB75EE" w:rsidRPr="00D07A2F" w:rsidRDefault="00EB75EE" w:rsidP="009E1584">
            <w:pPr>
              <w:pStyle w:val="NormalWeb"/>
              <w:jc w:val="center"/>
              <w:rPr>
                <w:sz w:val="18"/>
                <w:szCs w:val="18"/>
              </w:rPr>
            </w:pPr>
            <w:r w:rsidRPr="00D07A2F">
              <w:rPr>
                <w:sz w:val="18"/>
                <w:szCs w:val="18"/>
              </w:rPr>
              <w:t>2.5</w:t>
            </w:r>
          </w:p>
        </w:tc>
        <w:tc>
          <w:tcPr>
            <w:tcW w:w="565" w:type="dxa"/>
            <w:hideMark/>
          </w:tcPr>
          <w:p w14:paraId="2E18BDED" w14:textId="77777777" w:rsidR="00EB75EE" w:rsidRPr="00D07A2F" w:rsidRDefault="00EB75EE" w:rsidP="009E1584">
            <w:pPr>
              <w:pStyle w:val="NormalWeb"/>
              <w:jc w:val="center"/>
              <w:rPr>
                <w:sz w:val="18"/>
                <w:szCs w:val="18"/>
              </w:rPr>
            </w:pPr>
            <w:r w:rsidRPr="00D07A2F">
              <w:rPr>
                <w:sz w:val="18"/>
                <w:szCs w:val="18"/>
              </w:rPr>
              <w:t>12</w:t>
            </w:r>
          </w:p>
        </w:tc>
        <w:tc>
          <w:tcPr>
            <w:tcW w:w="565" w:type="dxa"/>
            <w:hideMark/>
          </w:tcPr>
          <w:p w14:paraId="063B0328" w14:textId="77777777" w:rsidR="00EB75EE" w:rsidRPr="00D07A2F" w:rsidRDefault="00EB75EE" w:rsidP="009E1584">
            <w:pPr>
              <w:pStyle w:val="NormalWeb"/>
              <w:jc w:val="center"/>
              <w:rPr>
                <w:sz w:val="18"/>
                <w:szCs w:val="18"/>
              </w:rPr>
            </w:pPr>
            <w:r w:rsidRPr="00D07A2F">
              <w:rPr>
                <w:sz w:val="18"/>
                <w:szCs w:val="18"/>
              </w:rPr>
              <w:t>1.6</w:t>
            </w:r>
          </w:p>
        </w:tc>
      </w:tr>
      <w:tr w:rsidR="00224B6C" w:rsidRPr="00D07A2F" w14:paraId="20925610" w14:textId="77777777" w:rsidTr="009E1584">
        <w:trPr>
          <w:cnfStyle w:val="000000010000" w:firstRow="0" w:lastRow="0" w:firstColumn="0" w:lastColumn="0" w:oddVBand="0" w:evenVBand="0" w:oddHBand="0" w:evenHBand="1" w:firstRowFirstColumn="0" w:firstRowLastColumn="0" w:lastRowFirstColumn="0" w:lastRowLastColumn="0"/>
        </w:trPr>
        <w:tc>
          <w:tcPr>
            <w:tcW w:w="0" w:type="auto"/>
            <w:hideMark/>
          </w:tcPr>
          <w:p w14:paraId="6A784BD5" w14:textId="77777777" w:rsidR="00EB75EE" w:rsidRPr="00D07A2F" w:rsidRDefault="00EB75EE">
            <w:pPr>
              <w:pStyle w:val="NormalWeb"/>
              <w:rPr>
                <w:sz w:val="18"/>
                <w:szCs w:val="18"/>
              </w:rPr>
            </w:pPr>
            <w:r w:rsidRPr="00D07A2F">
              <w:rPr>
                <w:sz w:val="18"/>
                <w:szCs w:val="18"/>
              </w:rPr>
              <w:t>WA remote</w:t>
            </w:r>
          </w:p>
        </w:tc>
        <w:tc>
          <w:tcPr>
            <w:tcW w:w="564" w:type="dxa"/>
            <w:hideMark/>
          </w:tcPr>
          <w:p w14:paraId="24020C0D"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7D950C76"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5A0BFE7B"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192E9904"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2BB0EA3F"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3D174AC7"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419C909B" w14:textId="77777777" w:rsidR="00EB75EE" w:rsidRPr="00D07A2F" w:rsidRDefault="00EB75EE" w:rsidP="009E1584">
            <w:pPr>
              <w:pStyle w:val="NormalWeb"/>
              <w:jc w:val="center"/>
              <w:rPr>
                <w:sz w:val="18"/>
                <w:szCs w:val="18"/>
              </w:rPr>
            </w:pPr>
            <w:r w:rsidRPr="00D07A2F">
              <w:rPr>
                <w:sz w:val="18"/>
                <w:szCs w:val="18"/>
              </w:rPr>
              <w:t>0</w:t>
            </w:r>
          </w:p>
        </w:tc>
        <w:tc>
          <w:tcPr>
            <w:tcW w:w="565" w:type="dxa"/>
            <w:hideMark/>
          </w:tcPr>
          <w:p w14:paraId="2E645BC2" w14:textId="77777777" w:rsidR="00EB75EE" w:rsidRPr="00D07A2F" w:rsidRDefault="00EB75EE" w:rsidP="009E1584">
            <w:pPr>
              <w:pStyle w:val="NormalWeb"/>
              <w:jc w:val="center"/>
              <w:rPr>
                <w:sz w:val="18"/>
                <w:szCs w:val="18"/>
              </w:rPr>
            </w:pPr>
            <w:r w:rsidRPr="00D07A2F">
              <w:rPr>
                <w:sz w:val="18"/>
                <w:szCs w:val="18"/>
              </w:rPr>
              <w:t>0</w:t>
            </w:r>
          </w:p>
        </w:tc>
        <w:tc>
          <w:tcPr>
            <w:tcW w:w="564" w:type="dxa"/>
            <w:hideMark/>
          </w:tcPr>
          <w:p w14:paraId="5B20E5F6"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1822E8F5" w14:textId="77777777" w:rsidR="00EB75EE" w:rsidRPr="00D07A2F" w:rsidRDefault="00EB75EE" w:rsidP="009E1584">
            <w:pPr>
              <w:pStyle w:val="NormalWeb"/>
              <w:jc w:val="center"/>
              <w:rPr>
                <w:sz w:val="18"/>
                <w:szCs w:val="18"/>
              </w:rPr>
            </w:pPr>
            <w:r w:rsidRPr="00D07A2F">
              <w:rPr>
                <w:sz w:val="18"/>
                <w:szCs w:val="18"/>
              </w:rPr>
              <w:t>0.8</w:t>
            </w:r>
          </w:p>
        </w:tc>
        <w:tc>
          <w:tcPr>
            <w:tcW w:w="564" w:type="dxa"/>
            <w:hideMark/>
          </w:tcPr>
          <w:p w14:paraId="0E4FC9A3" w14:textId="77777777" w:rsidR="00EB75EE" w:rsidRPr="00D07A2F" w:rsidRDefault="00EB75EE" w:rsidP="009E1584">
            <w:pPr>
              <w:pStyle w:val="NormalWeb"/>
              <w:jc w:val="center"/>
              <w:rPr>
                <w:sz w:val="18"/>
                <w:szCs w:val="18"/>
              </w:rPr>
            </w:pPr>
            <w:r w:rsidRPr="00D07A2F">
              <w:rPr>
                <w:sz w:val="18"/>
                <w:szCs w:val="18"/>
              </w:rPr>
              <w:t>4</w:t>
            </w:r>
          </w:p>
        </w:tc>
        <w:tc>
          <w:tcPr>
            <w:tcW w:w="565" w:type="dxa"/>
            <w:hideMark/>
          </w:tcPr>
          <w:p w14:paraId="25F72265" w14:textId="77777777" w:rsidR="00EB75EE" w:rsidRPr="00D07A2F" w:rsidRDefault="00EB75EE" w:rsidP="009E1584">
            <w:pPr>
              <w:pStyle w:val="NormalWeb"/>
              <w:jc w:val="center"/>
              <w:rPr>
                <w:sz w:val="18"/>
                <w:szCs w:val="18"/>
              </w:rPr>
            </w:pPr>
            <w:r w:rsidRPr="00D07A2F">
              <w:rPr>
                <w:sz w:val="18"/>
                <w:szCs w:val="18"/>
              </w:rPr>
              <w:t>3.4</w:t>
            </w:r>
          </w:p>
        </w:tc>
        <w:tc>
          <w:tcPr>
            <w:tcW w:w="565" w:type="dxa"/>
            <w:hideMark/>
          </w:tcPr>
          <w:p w14:paraId="14EF4EAA" w14:textId="77777777" w:rsidR="00EB75EE" w:rsidRPr="00D07A2F" w:rsidRDefault="00EB75EE" w:rsidP="009E1584">
            <w:pPr>
              <w:pStyle w:val="NormalWeb"/>
              <w:jc w:val="center"/>
              <w:rPr>
                <w:sz w:val="18"/>
                <w:szCs w:val="18"/>
              </w:rPr>
            </w:pPr>
            <w:r w:rsidRPr="00D07A2F">
              <w:rPr>
                <w:sz w:val="18"/>
                <w:szCs w:val="18"/>
              </w:rPr>
              <w:t>1</w:t>
            </w:r>
          </w:p>
        </w:tc>
        <w:tc>
          <w:tcPr>
            <w:tcW w:w="564" w:type="dxa"/>
            <w:hideMark/>
          </w:tcPr>
          <w:p w14:paraId="3BA99EA8" w14:textId="77777777" w:rsidR="00EB75EE" w:rsidRPr="00D07A2F" w:rsidRDefault="00EB75EE" w:rsidP="009E1584">
            <w:pPr>
              <w:pStyle w:val="NormalWeb"/>
              <w:jc w:val="center"/>
              <w:rPr>
                <w:sz w:val="18"/>
                <w:szCs w:val="18"/>
              </w:rPr>
            </w:pPr>
            <w:r w:rsidRPr="00D07A2F">
              <w:rPr>
                <w:sz w:val="18"/>
                <w:szCs w:val="18"/>
              </w:rPr>
              <w:t>0.9</w:t>
            </w:r>
          </w:p>
        </w:tc>
        <w:tc>
          <w:tcPr>
            <w:tcW w:w="565" w:type="dxa"/>
            <w:hideMark/>
          </w:tcPr>
          <w:p w14:paraId="75387722" w14:textId="77777777" w:rsidR="00EB75EE" w:rsidRPr="00D07A2F" w:rsidRDefault="00EB75EE" w:rsidP="009E1584">
            <w:pPr>
              <w:pStyle w:val="NormalWeb"/>
              <w:jc w:val="center"/>
              <w:rPr>
                <w:sz w:val="18"/>
                <w:szCs w:val="18"/>
              </w:rPr>
            </w:pPr>
            <w:r w:rsidRPr="00D07A2F">
              <w:rPr>
                <w:sz w:val="18"/>
                <w:szCs w:val="18"/>
              </w:rPr>
              <w:t>1</w:t>
            </w:r>
          </w:p>
        </w:tc>
        <w:tc>
          <w:tcPr>
            <w:tcW w:w="565" w:type="dxa"/>
            <w:hideMark/>
          </w:tcPr>
          <w:p w14:paraId="123F46F8" w14:textId="77777777" w:rsidR="00EB75EE" w:rsidRPr="00D07A2F" w:rsidRDefault="00EB75EE" w:rsidP="009E1584">
            <w:pPr>
              <w:pStyle w:val="NormalWeb"/>
              <w:jc w:val="center"/>
              <w:rPr>
                <w:sz w:val="18"/>
                <w:szCs w:val="18"/>
              </w:rPr>
            </w:pPr>
            <w:r w:rsidRPr="00D07A2F">
              <w:rPr>
                <w:sz w:val="18"/>
                <w:szCs w:val="18"/>
              </w:rPr>
              <w:t>1.2</w:t>
            </w:r>
          </w:p>
        </w:tc>
      </w:tr>
      <w:tr w:rsidR="00D07A2F" w:rsidRPr="00AE3AD0" w14:paraId="6EF1A98F" w14:textId="77777777" w:rsidTr="00AE3AD0">
        <w:tc>
          <w:tcPr>
            <w:tcW w:w="0" w:type="auto"/>
            <w:shd w:val="clear" w:color="auto" w:fill="FDE9D9" w:themeFill="accent6" w:themeFillTint="33"/>
            <w:hideMark/>
          </w:tcPr>
          <w:p w14:paraId="28FC5F9B" w14:textId="77777777" w:rsidR="00EB75EE" w:rsidRPr="00AE3AD0" w:rsidRDefault="00EB75EE">
            <w:pPr>
              <w:pStyle w:val="NormalWeb"/>
              <w:rPr>
                <w:b/>
                <w:sz w:val="18"/>
                <w:szCs w:val="18"/>
              </w:rPr>
            </w:pPr>
            <w:r w:rsidRPr="00AE3AD0">
              <w:rPr>
                <w:b/>
                <w:sz w:val="18"/>
                <w:szCs w:val="18"/>
              </w:rPr>
              <w:t>Australia</w:t>
            </w:r>
          </w:p>
        </w:tc>
        <w:tc>
          <w:tcPr>
            <w:tcW w:w="564" w:type="dxa"/>
            <w:shd w:val="clear" w:color="auto" w:fill="FDE9D9" w:themeFill="accent6" w:themeFillTint="33"/>
            <w:hideMark/>
          </w:tcPr>
          <w:p w14:paraId="74EC9532" w14:textId="77777777" w:rsidR="00EB75EE" w:rsidRPr="00AE3AD0" w:rsidRDefault="00EB75EE" w:rsidP="009E1584">
            <w:pPr>
              <w:pStyle w:val="NormalWeb"/>
              <w:jc w:val="center"/>
              <w:rPr>
                <w:b/>
                <w:sz w:val="18"/>
                <w:szCs w:val="18"/>
              </w:rPr>
            </w:pPr>
            <w:r w:rsidRPr="00AE3AD0">
              <w:rPr>
                <w:b/>
                <w:sz w:val="18"/>
                <w:szCs w:val="18"/>
              </w:rPr>
              <w:t>62</w:t>
            </w:r>
          </w:p>
        </w:tc>
        <w:tc>
          <w:tcPr>
            <w:tcW w:w="565" w:type="dxa"/>
            <w:shd w:val="clear" w:color="auto" w:fill="FDE9D9" w:themeFill="accent6" w:themeFillTint="33"/>
            <w:hideMark/>
          </w:tcPr>
          <w:p w14:paraId="3324A1D7" w14:textId="77777777" w:rsidR="00EB75EE" w:rsidRPr="00AE3AD0" w:rsidRDefault="00EB75EE" w:rsidP="009E1584">
            <w:pPr>
              <w:pStyle w:val="NormalWeb"/>
              <w:jc w:val="center"/>
              <w:rPr>
                <w:b/>
                <w:sz w:val="18"/>
                <w:szCs w:val="18"/>
              </w:rPr>
            </w:pPr>
            <w:r w:rsidRPr="00AE3AD0">
              <w:rPr>
                <w:b/>
                <w:sz w:val="18"/>
                <w:szCs w:val="18"/>
              </w:rPr>
              <w:t>1.3</w:t>
            </w:r>
          </w:p>
        </w:tc>
        <w:tc>
          <w:tcPr>
            <w:tcW w:w="564" w:type="dxa"/>
            <w:shd w:val="clear" w:color="auto" w:fill="FDE9D9" w:themeFill="accent6" w:themeFillTint="33"/>
            <w:hideMark/>
          </w:tcPr>
          <w:p w14:paraId="1F61868E" w14:textId="77777777" w:rsidR="00EB75EE" w:rsidRPr="00AE3AD0" w:rsidRDefault="00EB75EE" w:rsidP="009E1584">
            <w:pPr>
              <w:pStyle w:val="NormalWeb"/>
              <w:jc w:val="center"/>
              <w:rPr>
                <w:b/>
                <w:sz w:val="18"/>
                <w:szCs w:val="18"/>
              </w:rPr>
            </w:pPr>
            <w:r w:rsidRPr="00AE3AD0">
              <w:rPr>
                <w:b/>
                <w:sz w:val="18"/>
                <w:szCs w:val="18"/>
              </w:rPr>
              <w:t>104</w:t>
            </w:r>
          </w:p>
        </w:tc>
        <w:tc>
          <w:tcPr>
            <w:tcW w:w="565" w:type="dxa"/>
            <w:shd w:val="clear" w:color="auto" w:fill="FDE9D9" w:themeFill="accent6" w:themeFillTint="33"/>
            <w:hideMark/>
          </w:tcPr>
          <w:p w14:paraId="7B73BA11" w14:textId="77777777" w:rsidR="00EB75EE" w:rsidRPr="00AE3AD0" w:rsidRDefault="00EB75EE" w:rsidP="009E1584">
            <w:pPr>
              <w:pStyle w:val="NormalWeb"/>
              <w:jc w:val="center"/>
              <w:rPr>
                <w:b/>
                <w:sz w:val="18"/>
                <w:szCs w:val="18"/>
              </w:rPr>
            </w:pPr>
            <w:r w:rsidRPr="00AE3AD0">
              <w:rPr>
                <w:b/>
                <w:sz w:val="18"/>
                <w:szCs w:val="18"/>
              </w:rPr>
              <w:t>2.1</w:t>
            </w:r>
          </w:p>
        </w:tc>
        <w:tc>
          <w:tcPr>
            <w:tcW w:w="565" w:type="dxa"/>
            <w:shd w:val="clear" w:color="auto" w:fill="FDE9D9" w:themeFill="accent6" w:themeFillTint="33"/>
            <w:hideMark/>
          </w:tcPr>
          <w:p w14:paraId="21B61F21" w14:textId="77777777" w:rsidR="00EB75EE" w:rsidRPr="00AE3AD0" w:rsidRDefault="00EB75EE" w:rsidP="009E1584">
            <w:pPr>
              <w:pStyle w:val="NormalWeb"/>
              <w:jc w:val="center"/>
              <w:rPr>
                <w:b/>
                <w:sz w:val="18"/>
                <w:szCs w:val="18"/>
              </w:rPr>
            </w:pPr>
            <w:r w:rsidRPr="00AE3AD0">
              <w:rPr>
                <w:b/>
                <w:sz w:val="18"/>
                <w:szCs w:val="18"/>
              </w:rPr>
              <w:t>119</w:t>
            </w:r>
          </w:p>
        </w:tc>
        <w:tc>
          <w:tcPr>
            <w:tcW w:w="564" w:type="dxa"/>
            <w:shd w:val="clear" w:color="auto" w:fill="FDE9D9" w:themeFill="accent6" w:themeFillTint="33"/>
            <w:hideMark/>
          </w:tcPr>
          <w:p w14:paraId="62D4FFB1" w14:textId="77777777" w:rsidR="00EB75EE" w:rsidRPr="00AE3AD0" w:rsidRDefault="00EB75EE" w:rsidP="009E1584">
            <w:pPr>
              <w:pStyle w:val="NormalWeb"/>
              <w:jc w:val="center"/>
              <w:rPr>
                <w:b/>
                <w:sz w:val="18"/>
                <w:szCs w:val="18"/>
              </w:rPr>
            </w:pPr>
            <w:r w:rsidRPr="00AE3AD0">
              <w:rPr>
                <w:b/>
                <w:sz w:val="18"/>
                <w:szCs w:val="18"/>
              </w:rPr>
              <w:t>2.5</w:t>
            </w:r>
          </w:p>
        </w:tc>
        <w:tc>
          <w:tcPr>
            <w:tcW w:w="565" w:type="dxa"/>
            <w:shd w:val="clear" w:color="auto" w:fill="FDE9D9" w:themeFill="accent6" w:themeFillTint="33"/>
            <w:hideMark/>
          </w:tcPr>
          <w:p w14:paraId="206206D0" w14:textId="77777777" w:rsidR="00EB75EE" w:rsidRPr="00AE3AD0" w:rsidRDefault="00EB75EE" w:rsidP="009E1584">
            <w:pPr>
              <w:pStyle w:val="NormalWeb"/>
              <w:jc w:val="center"/>
              <w:rPr>
                <w:b/>
                <w:sz w:val="18"/>
                <w:szCs w:val="18"/>
              </w:rPr>
            </w:pPr>
            <w:r w:rsidRPr="00AE3AD0">
              <w:rPr>
                <w:b/>
                <w:sz w:val="18"/>
                <w:szCs w:val="18"/>
              </w:rPr>
              <w:t>138</w:t>
            </w:r>
          </w:p>
        </w:tc>
        <w:tc>
          <w:tcPr>
            <w:tcW w:w="565" w:type="dxa"/>
            <w:shd w:val="clear" w:color="auto" w:fill="FDE9D9" w:themeFill="accent6" w:themeFillTint="33"/>
            <w:hideMark/>
          </w:tcPr>
          <w:p w14:paraId="6BAC2769" w14:textId="77777777" w:rsidR="00EB75EE" w:rsidRPr="00AE3AD0" w:rsidRDefault="00EB75EE" w:rsidP="009E1584">
            <w:pPr>
              <w:pStyle w:val="NormalWeb"/>
              <w:jc w:val="center"/>
              <w:rPr>
                <w:b/>
                <w:sz w:val="18"/>
                <w:szCs w:val="18"/>
              </w:rPr>
            </w:pPr>
            <w:r w:rsidRPr="00AE3AD0">
              <w:rPr>
                <w:b/>
                <w:sz w:val="18"/>
                <w:szCs w:val="18"/>
              </w:rPr>
              <w:t>2.6</w:t>
            </w:r>
          </w:p>
        </w:tc>
        <w:tc>
          <w:tcPr>
            <w:tcW w:w="564" w:type="dxa"/>
            <w:shd w:val="clear" w:color="auto" w:fill="FDE9D9" w:themeFill="accent6" w:themeFillTint="33"/>
            <w:hideMark/>
          </w:tcPr>
          <w:p w14:paraId="4670DCC8" w14:textId="77777777" w:rsidR="00EB75EE" w:rsidRPr="00AE3AD0" w:rsidRDefault="00EB75EE" w:rsidP="009E1584">
            <w:pPr>
              <w:pStyle w:val="NormalWeb"/>
              <w:jc w:val="center"/>
              <w:rPr>
                <w:b/>
                <w:sz w:val="18"/>
                <w:szCs w:val="18"/>
              </w:rPr>
            </w:pPr>
            <w:r w:rsidRPr="00AE3AD0">
              <w:rPr>
                <w:b/>
                <w:sz w:val="18"/>
                <w:szCs w:val="18"/>
              </w:rPr>
              <w:t>318</w:t>
            </w:r>
          </w:p>
        </w:tc>
        <w:tc>
          <w:tcPr>
            <w:tcW w:w="565" w:type="dxa"/>
            <w:shd w:val="clear" w:color="auto" w:fill="FDE9D9" w:themeFill="accent6" w:themeFillTint="33"/>
            <w:hideMark/>
          </w:tcPr>
          <w:p w14:paraId="72D2C563" w14:textId="77777777" w:rsidR="00EB75EE" w:rsidRPr="00AE3AD0" w:rsidRDefault="00EB75EE" w:rsidP="009E1584">
            <w:pPr>
              <w:pStyle w:val="NormalWeb"/>
              <w:jc w:val="center"/>
              <w:rPr>
                <w:b/>
                <w:sz w:val="18"/>
                <w:szCs w:val="18"/>
              </w:rPr>
            </w:pPr>
            <w:r w:rsidRPr="00AE3AD0">
              <w:rPr>
                <w:b/>
                <w:sz w:val="18"/>
                <w:szCs w:val="18"/>
              </w:rPr>
              <w:t>5.0</w:t>
            </w:r>
          </w:p>
        </w:tc>
        <w:tc>
          <w:tcPr>
            <w:tcW w:w="564" w:type="dxa"/>
            <w:shd w:val="clear" w:color="auto" w:fill="FDE9D9" w:themeFill="accent6" w:themeFillTint="33"/>
            <w:hideMark/>
          </w:tcPr>
          <w:p w14:paraId="1AEB53EA" w14:textId="77777777" w:rsidR="00EB75EE" w:rsidRPr="00AE3AD0" w:rsidRDefault="00EB75EE" w:rsidP="009E1584">
            <w:pPr>
              <w:pStyle w:val="NormalWeb"/>
              <w:jc w:val="center"/>
              <w:rPr>
                <w:b/>
                <w:sz w:val="18"/>
                <w:szCs w:val="18"/>
              </w:rPr>
            </w:pPr>
            <w:r w:rsidRPr="00AE3AD0">
              <w:rPr>
                <w:b/>
                <w:sz w:val="18"/>
                <w:szCs w:val="18"/>
              </w:rPr>
              <w:t>726</w:t>
            </w:r>
          </w:p>
        </w:tc>
        <w:tc>
          <w:tcPr>
            <w:tcW w:w="565" w:type="dxa"/>
            <w:shd w:val="clear" w:color="auto" w:fill="FDE9D9" w:themeFill="accent6" w:themeFillTint="33"/>
            <w:hideMark/>
          </w:tcPr>
          <w:p w14:paraId="50FEEFAE" w14:textId="77777777" w:rsidR="00EB75EE" w:rsidRPr="00AE3AD0" w:rsidRDefault="00EB75EE" w:rsidP="009E1584">
            <w:pPr>
              <w:pStyle w:val="NormalWeb"/>
              <w:jc w:val="center"/>
              <w:rPr>
                <w:b/>
                <w:sz w:val="18"/>
                <w:szCs w:val="18"/>
              </w:rPr>
            </w:pPr>
            <w:r w:rsidRPr="00AE3AD0">
              <w:rPr>
                <w:b/>
                <w:sz w:val="18"/>
                <w:szCs w:val="18"/>
              </w:rPr>
              <w:t>9.3</w:t>
            </w:r>
          </w:p>
        </w:tc>
        <w:tc>
          <w:tcPr>
            <w:tcW w:w="565" w:type="dxa"/>
            <w:shd w:val="clear" w:color="auto" w:fill="FDE9D9" w:themeFill="accent6" w:themeFillTint="33"/>
            <w:hideMark/>
          </w:tcPr>
          <w:p w14:paraId="5F3DBE7A" w14:textId="77777777" w:rsidR="00EB75EE" w:rsidRPr="00AE3AD0" w:rsidRDefault="00EB75EE" w:rsidP="009E1584">
            <w:pPr>
              <w:pStyle w:val="NormalWeb"/>
              <w:jc w:val="center"/>
              <w:rPr>
                <w:b/>
                <w:sz w:val="18"/>
                <w:szCs w:val="18"/>
              </w:rPr>
            </w:pPr>
            <w:r w:rsidRPr="00AE3AD0">
              <w:rPr>
                <w:b/>
                <w:sz w:val="18"/>
                <w:szCs w:val="18"/>
              </w:rPr>
              <w:t>561</w:t>
            </w:r>
          </w:p>
        </w:tc>
        <w:tc>
          <w:tcPr>
            <w:tcW w:w="564" w:type="dxa"/>
            <w:shd w:val="clear" w:color="auto" w:fill="FDE9D9" w:themeFill="accent6" w:themeFillTint="33"/>
            <w:hideMark/>
          </w:tcPr>
          <w:p w14:paraId="5EC1271C" w14:textId="77777777" w:rsidR="00EB75EE" w:rsidRPr="00AE3AD0" w:rsidRDefault="00EB75EE" w:rsidP="009E1584">
            <w:pPr>
              <w:pStyle w:val="NormalWeb"/>
              <w:jc w:val="center"/>
              <w:rPr>
                <w:b/>
                <w:sz w:val="18"/>
                <w:szCs w:val="18"/>
              </w:rPr>
            </w:pPr>
            <w:r w:rsidRPr="00AE3AD0">
              <w:rPr>
                <w:b/>
                <w:sz w:val="18"/>
                <w:szCs w:val="18"/>
              </w:rPr>
              <w:t>6.2</w:t>
            </w:r>
          </w:p>
        </w:tc>
        <w:tc>
          <w:tcPr>
            <w:tcW w:w="565" w:type="dxa"/>
            <w:shd w:val="clear" w:color="auto" w:fill="FDE9D9" w:themeFill="accent6" w:themeFillTint="33"/>
            <w:hideMark/>
          </w:tcPr>
          <w:p w14:paraId="33064061" w14:textId="77777777" w:rsidR="00EB75EE" w:rsidRPr="00AE3AD0" w:rsidRDefault="00EB75EE" w:rsidP="009E1584">
            <w:pPr>
              <w:pStyle w:val="NormalWeb"/>
              <w:jc w:val="center"/>
              <w:rPr>
                <w:b/>
                <w:sz w:val="18"/>
                <w:szCs w:val="18"/>
              </w:rPr>
            </w:pPr>
            <w:r w:rsidRPr="00AE3AD0">
              <w:rPr>
                <w:b/>
                <w:sz w:val="18"/>
                <w:szCs w:val="18"/>
              </w:rPr>
              <w:t>448</w:t>
            </w:r>
          </w:p>
        </w:tc>
        <w:tc>
          <w:tcPr>
            <w:tcW w:w="565" w:type="dxa"/>
            <w:shd w:val="clear" w:color="auto" w:fill="FDE9D9" w:themeFill="accent6" w:themeFillTint="33"/>
            <w:hideMark/>
          </w:tcPr>
          <w:p w14:paraId="11E08F99" w14:textId="77777777" w:rsidR="00EB75EE" w:rsidRPr="00AE3AD0" w:rsidRDefault="00EB75EE" w:rsidP="009E1584">
            <w:pPr>
              <w:pStyle w:val="NormalWeb"/>
              <w:jc w:val="center"/>
              <w:rPr>
                <w:b/>
                <w:sz w:val="18"/>
                <w:szCs w:val="18"/>
              </w:rPr>
            </w:pPr>
            <w:r w:rsidRPr="00AE3AD0">
              <w:rPr>
                <w:b/>
                <w:sz w:val="18"/>
                <w:szCs w:val="18"/>
              </w:rPr>
              <w:t>4.6</w:t>
            </w:r>
          </w:p>
        </w:tc>
      </w:tr>
    </w:tbl>
    <w:p w14:paraId="4802D001" w14:textId="77777777" w:rsidR="00EB75EE" w:rsidRPr="00224B6C" w:rsidRDefault="00EB75EE" w:rsidP="00224B6C">
      <w:pPr>
        <w:pStyle w:val="Heading2"/>
      </w:pPr>
      <w:r w:rsidRPr="00224B6C">
        <w:t xml:space="preserve">Penicillin </w:t>
      </w:r>
    </w:p>
    <w:p w14:paraId="2EF29659" w14:textId="77777777" w:rsidR="00EB75EE" w:rsidRDefault="00EB75EE" w:rsidP="00224B6C">
      <w:r>
        <w:t xml:space="preserve">Resistance to the penicillin group of antibiotics (penicillin, ampicillin, and amoxycillin with or without clavulanic acid) in NG results from ß-lactamase production (i.e., penicillinase) and/or the aggregation of chromosomally-controlled resistance mechanisms. These are denoted, respectively, as penicillinase-producing </w:t>
      </w:r>
      <w:r w:rsidRPr="00D2062F">
        <w:rPr>
          <w:rStyle w:val="Emphasis"/>
          <w:b w:val="0"/>
        </w:rPr>
        <w:t>N. gonorrhoeae</w:t>
      </w:r>
      <w:r>
        <w:t xml:space="preserve"> (PPNG) and chromosomally-mediated resistant to</w:t>
      </w:r>
      <w:r w:rsidRPr="00D2062F">
        <w:rPr>
          <w:rStyle w:val="Emphasis"/>
          <w:b w:val="0"/>
        </w:rPr>
        <w:t xml:space="preserve"> </w:t>
      </w:r>
      <w:r>
        <w:t xml:space="preserve">penicillin (CMRP). Chromosomally-mediated resistance is defined as a penicillin MIC ≥ 1 mg/L. </w:t>
      </w:r>
    </w:p>
    <w:p w14:paraId="2B7EA1F6" w14:textId="77777777" w:rsidR="00EB75EE" w:rsidRDefault="00EB75EE" w:rsidP="00224B6C">
      <w:r>
        <w:t xml:space="preserve">In 2019, in Australia, 2,136 isolates (22.1%) were penicillin resistant, a proportional decrease from 2016 (32.5%), and 2017 (26.1%) but a slight increase compared to 2018 (21.1%). The proportion of penicillin-resistant isolates fluctuated in the range 22.5–44% between 2008 and 2017. In 2019, a total of 686 isolates (7.1%) had CMRP and 1,450 (15.0%) were PPNG; 67.9% of penicillin-resistant isolates were PPNG. </w:t>
      </w:r>
    </w:p>
    <w:p w14:paraId="341814BD" w14:textId="77777777" w:rsidR="00EB75EE" w:rsidRPr="00224B6C" w:rsidRDefault="00EB75EE" w:rsidP="00224B6C">
      <w:pPr>
        <w:pStyle w:val="Heading2"/>
      </w:pPr>
      <w:r w:rsidRPr="00224B6C">
        <w:t xml:space="preserve">Penicillin resistance in remote Australia </w:t>
      </w:r>
    </w:p>
    <w:p w14:paraId="1AE05D3F" w14:textId="77777777" w:rsidR="00EB75EE" w:rsidRDefault="00EB75EE" w:rsidP="00224B6C">
      <w:r>
        <w:t xml:space="preserve">In 2019, there were 126 isolates tested from the Northern Territory, with 71 derived from remote areas (including Alice Springs, Katherine, Tennant Creek, and Arnhem Land region) and 55 from Darwin and surrounding urban areas (non-remote). In 2019, there were 838 isolates tested from Western Australia, with 85 obtained from remote regions and 753 from urban and suburban Perth (non-remote). </w:t>
      </w:r>
    </w:p>
    <w:p w14:paraId="2C65F169" w14:textId="77777777" w:rsidR="00EB75EE" w:rsidRDefault="00EB75EE" w:rsidP="00224B6C">
      <w:r>
        <w:t xml:space="preserve">Of the 71 isolates from the remote Northern Territory, none was penicillin-resistant; 10 isolates (18.2%) from Darwin and surrounding urban areas were penicillin-resistant, all of which were PPNG (Table 3). Of the 85 isolates from remote Western Australia, six (7.1%) were penicillin-resistant with 5 being PPNG. While no isolate from the remote Northern Territory demonstrated decreased susceptibility to ceftriaxone, one isolate from remote Western Australia had a ceftriaxone MIC of 0.125 mg/L and one isolate from non-remote Western Australia had a ceftriaxone MIC of 0.5 mg/L. </w:t>
      </w:r>
    </w:p>
    <w:p w14:paraId="5DEB1379" w14:textId="77777777" w:rsidR="00EB75EE" w:rsidRPr="00224B6C" w:rsidRDefault="00EB75EE" w:rsidP="00224B6C">
      <w:pPr>
        <w:pStyle w:val="Heading2"/>
      </w:pPr>
      <w:r w:rsidRPr="00224B6C">
        <w:t xml:space="preserve">Ciprofloxacin </w:t>
      </w:r>
    </w:p>
    <w:p w14:paraId="1E56E9FE" w14:textId="77777777" w:rsidR="00EB75EE" w:rsidRDefault="00EB75EE" w:rsidP="00224B6C">
      <w:r>
        <w:t xml:space="preserve">Ciprofloxacin resistance is defined as MIC ≥ 1 mg/L. In 2019, there were 2,743 ciprofloxacin-resistant isolates (28.4%) (Table 3). The rate of ciprofloxacin resistance has progressively declined in Australia since 2008, when 54% of isolates tested resistant. </w:t>
      </w:r>
    </w:p>
    <w:p w14:paraId="075B715F" w14:textId="77777777" w:rsidR="00EB75EE" w:rsidRPr="00224B6C" w:rsidRDefault="00EB75EE" w:rsidP="00224B6C">
      <w:pPr>
        <w:pStyle w:val="Heading2"/>
      </w:pPr>
      <w:r w:rsidRPr="00224B6C">
        <w:lastRenderedPageBreak/>
        <w:t xml:space="preserve">Tetracyclines </w:t>
      </w:r>
    </w:p>
    <w:p w14:paraId="5A18F08C" w14:textId="77777777" w:rsidR="00EB75EE" w:rsidRDefault="00EB75EE" w:rsidP="00224B6C">
      <w:r>
        <w:t xml:space="preserve">To facilitate accurate reporting of NG tetracycline resistance in Australia, the NNN reference laboratories have, from 2018, performed tetracycline MIC testing where possible. This replaces historical testing for high-level tetracycline resistance which was reported by the NNN, since inception, as an epidemiological marker for plasmid-mediated resistance. Tetracycline resistance is defined as an MIC ≥ 2 mg/L and utilises various mechanisms including plasmid-mediated resistance. The previously-employed methods only detected high-level plasmid-mediated tetracycline-resistant </w:t>
      </w:r>
      <w:r w:rsidRPr="00D2062F">
        <w:rPr>
          <w:rStyle w:val="Emphasis"/>
          <w:b w:val="0"/>
        </w:rPr>
        <w:t xml:space="preserve">N. gonorrhoeae </w:t>
      </w:r>
      <w:r>
        <w:t>(TRNG) (MIC value ≥ 16mg/L). Whilst tetracyclines are not a recommended treatment for gonorrhoea, and are rarely, if ever, used for treatment of gonorrhoea in Australia, there has been recent interest in the proportion of tetracycline resistance. Nationally, 3,682 isolates were tested (representing 38.1% of isolates received by the NNN) and 27% (994/3,682) were tetracycline-resistant. Tetracycline resistance data are presented by jurisdiction and aggregated for Australia as shown in Table 7.</w:t>
      </w:r>
    </w:p>
    <w:p w14:paraId="09D11D0E" w14:textId="77777777" w:rsidR="00EB75EE" w:rsidRDefault="00EB75EE" w:rsidP="00224B6C">
      <w:pPr>
        <w:pStyle w:val="CDIFigures"/>
      </w:pPr>
      <w:r>
        <w:t>Table 7; Number and proportion (%) of gonococcal isolates with resistance to tetracycline (MIC ≥ 2 mg/L), Australia, 2019,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7: shows the number and proportion as a percentage of gonococcal isolates with resistance to tetracycline (MIC ≥2mg/L) in 2019 in Australia, by state or territory, where testing was available. The data represents tetracycline resistance (TetR), by mechanisms not limited solely to high level plasmid-mediated resistance."/>
      </w:tblPr>
      <w:tblGrid>
        <w:gridCol w:w="4820"/>
        <w:gridCol w:w="2835"/>
        <w:gridCol w:w="1276"/>
        <w:gridCol w:w="1509"/>
      </w:tblGrid>
      <w:tr w:rsidR="00B37D8F" w:rsidRPr="00ED496D" w14:paraId="01CDB351" w14:textId="77777777" w:rsidTr="00B27F9F">
        <w:trPr>
          <w:cnfStyle w:val="100000000000" w:firstRow="1" w:lastRow="0" w:firstColumn="0" w:lastColumn="0" w:oddVBand="0" w:evenVBand="0" w:oddHBand="0" w:evenHBand="0" w:firstRowFirstColumn="0" w:firstRowLastColumn="0" w:lastRowFirstColumn="0" w:lastRowLastColumn="0"/>
          <w:tblHeader/>
        </w:trPr>
        <w:tc>
          <w:tcPr>
            <w:tcW w:w="4820" w:type="dxa"/>
            <w:vMerge w:val="restart"/>
            <w:tcBorders>
              <w:bottom w:val="single" w:sz="2" w:space="0" w:color="FFFFFF" w:themeColor="background1"/>
              <w:right w:val="single" w:sz="2" w:space="0" w:color="FFFFFF" w:themeColor="background1"/>
            </w:tcBorders>
            <w:hideMark/>
          </w:tcPr>
          <w:p w14:paraId="36544EAB" w14:textId="77777777" w:rsidR="00EB75EE" w:rsidRPr="00ED496D" w:rsidRDefault="00EB75EE">
            <w:pPr>
              <w:pStyle w:val="NormalWeb"/>
              <w:rPr>
                <w:color w:val="FFFFFF" w:themeColor="background1"/>
                <w:sz w:val="18"/>
                <w:szCs w:val="18"/>
              </w:rPr>
            </w:pPr>
            <w:r w:rsidRPr="00ED496D">
              <w:rPr>
                <w:color w:val="FFFFFF" w:themeColor="background1"/>
                <w:sz w:val="18"/>
                <w:szCs w:val="18"/>
              </w:rPr>
              <w:t>State or Territory</w:t>
            </w:r>
          </w:p>
        </w:tc>
        <w:tc>
          <w:tcPr>
            <w:tcW w:w="2835" w:type="dxa"/>
            <w:tcBorders>
              <w:left w:val="single" w:sz="2" w:space="0" w:color="FFFFFF" w:themeColor="background1"/>
              <w:bottom w:val="single" w:sz="2" w:space="0" w:color="FFFFFF" w:themeColor="background1"/>
              <w:right w:val="single" w:sz="2" w:space="0" w:color="FFFFFF" w:themeColor="background1"/>
            </w:tcBorders>
            <w:hideMark/>
          </w:tcPr>
          <w:p w14:paraId="5B5AD2E2"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Number of isolates tested</w:t>
            </w:r>
          </w:p>
        </w:tc>
        <w:tc>
          <w:tcPr>
            <w:tcW w:w="2785" w:type="dxa"/>
            <w:gridSpan w:val="2"/>
            <w:tcBorders>
              <w:left w:val="single" w:sz="2" w:space="0" w:color="FFFFFF" w:themeColor="background1"/>
              <w:bottom w:val="single" w:sz="2" w:space="0" w:color="FFFFFF" w:themeColor="background1"/>
            </w:tcBorders>
            <w:hideMark/>
          </w:tcPr>
          <w:p w14:paraId="4658FCFF"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Resistance</w:t>
            </w:r>
          </w:p>
          <w:p w14:paraId="5EEE94C2"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MIC ≥ 2 mg/L</w:t>
            </w:r>
          </w:p>
        </w:tc>
      </w:tr>
      <w:tr w:rsidR="00B37D8F" w:rsidRPr="00ED496D" w14:paraId="3265F6F6" w14:textId="77777777" w:rsidTr="00B27F9F">
        <w:trPr>
          <w:cnfStyle w:val="100000000000" w:firstRow="1" w:lastRow="0" w:firstColumn="0" w:lastColumn="0" w:oddVBand="0" w:evenVBand="0" w:oddHBand="0" w:evenHBand="0" w:firstRowFirstColumn="0" w:firstRowLastColumn="0" w:lastRowFirstColumn="0" w:lastRowLastColumn="0"/>
          <w:tblHeader/>
        </w:trPr>
        <w:tc>
          <w:tcPr>
            <w:tcW w:w="4820" w:type="dxa"/>
            <w:vMerge/>
            <w:tcBorders>
              <w:top w:val="single" w:sz="2" w:space="0" w:color="FFFFFF" w:themeColor="background1"/>
              <w:bottom w:val="single" w:sz="2" w:space="0" w:color="FFFFFF" w:themeColor="background1"/>
              <w:right w:val="single" w:sz="2" w:space="0" w:color="FFFFFF" w:themeColor="background1"/>
            </w:tcBorders>
            <w:hideMark/>
          </w:tcPr>
          <w:p w14:paraId="4B64DFED" w14:textId="77777777" w:rsidR="00EB75EE" w:rsidRPr="00ED496D" w:rsidRDefault="00EB75EE">
            <w:pPr>
              <w:rPr>
                <w:color w:val="FFFFFF" w:themeColor="background1"/>
                <w:sz w:val="18"/>
                <w:szCs w:val="18"/>
              </w:rPr>
            </w:pPr>
          </w:p>
        </w:tc>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7EF5519"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2019</w:t>
            </w:r>
          </w:p>
        </w:tc>
        <w:tc>
          <w:tcPr>
            <w:tcW w:w="2785" w:type="dxa"/>
            <w:gridSpan w:val="2"/>
            <w:tcBorders>
              <w:top w:val="single" w:sz="2" w:space="0" w:color="FFFFFF" w:themeColor="background1"/>
              <w:left w:val="single" w:sz="2" w:space="0" w:color="FFFFFF" w:themeColor="background1"/>
              <w:bottom w:val="single" w:sz="2" w:space="0" w:color="FFFFFF" w:themeColor="background1"/>
            </w:tcBorders>
            <w:hideMark/>
          </w:tcPr>
          <w:p w14:paraId="33A0944C"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Tetracycline</w:t>
            </w:r>
          </w:p>
        </w:tc>
      </w:tr>
      <w:tr w:rsidR="00B37D8F" w:rsidRPr="00ED496D" w14:paraId="06192992" w14:textId="77777777" w:rsidTr="00B27F9F">
        <w:trPr>
          <w:cnfStyle w:val="100000000000" w:firstRow="1" w:lastRow="0" w:firstColumn="0" w:lastColumn="0" w:oddVBand="0" w:evenVBand="0" w:oddHBand="0" w:evenHBand="0" w:firstRowFirstColumn="0" w:firstRowLastColumn="0" w:lastRowFirstColumn="0" w:lastRowLastColumn="0"/>
          <w:tblHeader/>
        </w:trPr>
        <w:tc>
          <w:tcPr>
            <w:tcW w:w="4820" w:type="dxa"/>
            <w:vMerge/>
            <w:tcBorders>
              <w:top w:val="single" w:sz="2" w:space="0" w:color="FFFFFF" w:themeColor="background1"/>
              <w:right w:val="single" w:sz="2" w:space="0" w:color="FFFFFF" w:themeColor="background1"/>
            </w:tcBorders>
            <w:hideMark/>
          </w:tcPr>
          <w:p w14:paraId="0CBFFC8F" w14:textId="77777777" w:rsidR="00EB75EE" w:rsidRPr="00ED496D" w:rsidRDefault="00EB75EE">
            <w:pPr>
              <w:rPr>
                <w:color w:val="FFFFFF" w:themeColor="background1"/>
                <w:sz w:val="18"/>
                <w:szCs w:val="18"/>
              </w:rPr>
            </w:pPr>
          </w:p>
        </w:tc>
        <w:tc>
          <w:tcPr>
            <w:tcW w:w="2835" w:type="dxa"/>
            <w:tcBorders>
              <w:top w:val="single" w:sz="2" w:space="0" w:color="FFFFFF" w:themeColor="background1"/>
              <w:left w:val="single" w:sz="2" w:space="0" w:color="FFFFFF" w:themeColor="background1"/>
              <w:right w:val="single" w:sz="2" w:space="0" w:color="FFFFFF" w:themeColor="background1"/>
            </w:tcBorders>
            <w:hideMark/>
          </w:tcPr>
          <w:p w14:paraId="3C48AE79" w14:textId="77777777" w:rsidR="00EB75EE" w:rsidRPr="00ED496D" w:rsidRDefault="00EB75EE" w:rsidP="00ED496D">
            <w:pPr>
              <w:jc w:val="center"/>
              <w:rPr>
                <w:color w:val="FFFFFF" w:themeColor="background1"/>
                <w:sz w:val="18"/>
                <w:szCs w:val="18"/>
              </w:rPr>
            </w:pP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14:paraId="4B5A3E75"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n</w:t>
            </w:r>
          </w:p>
        </w:tc>
        <w:tc>
          <w:tcPr>
            <w:tcW w:w="1509" w:type="dxa"/>
            <w:tcBorders>
              <w:top w:val="single" w:sz="2" w:space="0" w:color="FFFFFF" w:themeColor="background1"/>
              <w:left w:val="single" w:sz="2" w:space="0" w:color="FFFFFF" w:themeColor="background1"/>
            </w:tcBorders>
            <w:hideMark/>
          </w:tcPr>
          <w:p w14:paraId="601AFAEC" w14:textId="77777777" w:rsidR="00EB75EE" w:rsidRPr="00ED496D" w:rsidRDefault="00EB75EE" w:rsidP="00ED496D">
            <w:pPr>
              <w:pStyle w:val="NormalWeb"/>
              <w:jc w:val="center"/>
              <w:rPr>
                <w:color w:val="FFFFFF" w:themeColor="background1"/>
                <w:sz w:val="18"/>
                <w:szCs w:val="18"/>
              </w:rPr>
            </w:pPr>
            <w:r w:rsidRPr="00ED496D">
              <w:rPr>
                <w:color w:val="FFFFFF" w:themeColor="background1"/>
                <w:sz w:val="18"/>
                <w:szCs w:val="18"/>
              </w:rPr>
              <w:t>%</w:t>
            </w:r>
          </w:p>
        </w:tc>
      </w:tr>
      <w:tr w:rsidR="00EB75EE" w:rsidRPr="00ED496D" w14:paraId="7D0D5F24" w14:textId="77777777" w:rsidTr="00B27F9F">
        <w:tc>
          <w:tcPr>
            <w:tcW w:w="4820" w:type="dxa"/>
            <w:hideMark/>
          </w:tcPr>
          <w:p w14:paraId="0E5C86DB" w14:textId="77777777" w:rsidR="00EB75EE" w:rsidRPr="00ED496D" w:rsidRDefault="00EB75EE">
            <w:pPr>
              <w:pStyle w:val="NormalWeb"/>
              <w:rPr>
                <w:sz w:val="18"/>
                <w:szCs w:val="18"/>
              </w:rPr>
            </w:pPr>
            <w:r w:rsidRPr="00ED496D">
              <w:rPr>
                <w:sz w:val="18"/>
                <w:szCs w:val="18"/>
              </w:rPr>
              <w:t>Australian Capital Territory</w:t>
            </w:r>
          </w:p>
        </w:tc>
        <w:tc>
          <w:tcPr>
            <w:tcW w:w="2835" w:type="dxa"/>
            <w:hideMark/>
          </w:tcPr>
          <w:p w14:paraId="0EAE379C" w14:textId="77777777" w:rsidR="00EB75EE" w:rsidRPr="00ED496D" w:rsidRDefault="00EB75EE" w:rsidP="00ED496D">
            <w:pPr>
              <w:pStyle w:val="NormalWeb"/>
              <w:jc w:val="center"/>
              <w:rPr>
                <w:sz w:val="18"/>
                <w:szCs w:val="18"/>
              </w:rPr>
            </w:pPr>
            <w:r w:rsidRPr="00ED496D">
              <w:rPr>
                <w:sz w:val="18"/>
                <w:szCs w:val="18"/>
              </w:rPr>
              <w:t>175</w:t>
            </w:r>
          </w:p>
        </w:tc>
        <w:tc>
          <w:tcPr>
            <w:tcW w:w="1276" w:type="dxa"/>
            <w:hideMark/>
          </w:tcPr>
          <w:p w14:paraId="4C980A0D" w14:textId="77777777" w:rsidR="00EB75EE" w:rsidRPr="00ED496D" w:rsidRDefault="00EB75EE" w:rsidP="00ED496D">
            <w:pPr>
              <w:pStyle w:val="NormalWeb"/>
              <w:jc w:val="center"/>
              <w:rPr>
                <w:sz w:val="18"/>
                <w:szCs w:val="18"/>
              </w:rPr>
            </w:pPr>
            <w:r w:rsidRPr="00ED496D">
              <w:rPr>
                <w:sz w:val="18"/>
                <w:szCs w:val="18"/>
              </w:rPr>
              <w:t>19</w:t>
            </w:r>
          </w:p>
        </w:tc>
        <w:tc>
          <w:tcPr>
            <w:tcW w:w="1509" w:type="dxa"/>
            <w:hideMark/>
          </w:tcPr>
          <w:p w14:paraId="7FC67F44" w14:textId="77777777" w:rsidR="00EB75EE" w:rsidRPr="00ED496D" w:rsidRDefault="00EB75EE" w:rsidP="00ED496D">
            <w:pPr>
              <w:pStyle w:val="NormalWeb"/>
              <w:jc w:val="center"/>
              <w:rPr>
                <w:sz w:val="18"/>
                <w:szCs w:val="18"/>
              </w:rPr>
            </w:pPr>
            <w:r w:rsidRPr="00ED496D">
              <w:rPr>
                <w:sz w:val="18"/>
                <w:szCs w:val="18"/>
              </w:rPr>
              <w:t>10.9</w:t>
            </w:r>
          </w:p>
        </w:tc>
      </w:tr>
      <w:tr w:rsidR="00B27F9F" w:rsidRPr="00ED496D" w14:paraId="51D95E53" w14:textId="77777777"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14:paraId="0507E9A2" w14:textId="77777777" w:rsidR="00EB75EE" w:rsidRPr="00ED496D" w:rsidRDefault="00EB75EE">
            <w:pPr>
              <w:pStyle w:val="NormalWeb"/>
              <w:rPr>
                <w:sz w:val="18"/>
                <w:szCs w:val="18"/>
              </w:rPr>
            </w:pPr>
            <w:r w:rsidRPr="00ED496D">
              <w:rPr>
                <w:sz w:val="18"/>
                <w:szCs w:val="18"/>
              </w:rPr>
              <w:t>New South Wales</w:t>
            </w:r>
          </w:p>
        </w:tc>
        <w:tc>
          <w:tcPr>
            <w:tcW w:w="2835" w:type="dxa"/>
            <w:hideMark/>
          </w:tcPr>
          <w:p w14:paraId="1B9AA194" w14:textId="77777777" w:rsidR="00EB75EE" w:rsidRPr="00ED496D" w:rsidRDefault="00EB75EE" w:rsidP="00ED496D">
            <w:pPr>
              <w:pStyle w:val="NormalWeb"/>
              <w:jc w:val="center"/>
              <w:rPr>
                <w:sz w:val="18"/>
                <w:szCs w:val="18"/>
              </w:rPr>
            </w:pPr>
            <w:r w:rsidRPr="00ED496D">
              <w:rPr>
                <w:sz w:val="18"/>
                <w:szCs w:val="18"/>
              </w:rPr>
              <w:t>0</w:t>
            </w:r>
          </w:p>
        </w:tc>
        <w:tc>
          <w:tcPr>
            <w:tcW w:w="1276" w:type="dxa"/>
            <w:hideMark/>
          </w:tcPr>
          <w:p w14:paraId="16356750" w14:textId="77777777" w:rsidR="00EB75EE" w:rsidRPr="00ED496D" w:rsidRDefault="00EB75EE" w:rsidP="00ED496D">
            <w:pPr>
              <w:pStyle w:val="NormalWeb"/>
              <w:jc w:val="center"/>
              <w:rPr>
                <w:sz w:val="18"/>
                <w:szCs w:val="18"/>
              </w:rPr>
            </w:pPr>
            <w:r w:rsidRPr="00ED496D">
              <w:rPr>
                <w:sz w:val="18"/>
                <w:szCs w:val="18"/>
              </w:rPr>
              <w:t>0</w:t>
            </w:r>
          </w:p>
        </w:tc>
        <w:tc>
          <w:tcPr>
            <w:tcW w:w="1509" w:type="dxa"/>
            <w:hideMark/>
          </w:tcPr>
          <w:p w14:paraId="19C9128D" w14:textId="77777777" w:rsidR="00EB75EE" w:rsidRPr="00ED496D" w:rsidRDefault="00EB75EE" w:rsidP="00ED496D">
            <w:pPr>
              <w:pStyle w:val="NormalWeb"/>
              <w:jc w:val="center"/>
              <w:rPr>
                <w:sz w:val="18"/>
                <w:szCs w:val="18"/>
              </w:rPr>
            </w:pPr>
            <w:r w:rsidRPr="00ED496D">
              <w:rPr>
                <w:sz w:val="18"/>
                <w:szCs w:val="18"/>
              </w:rPr>
              <w:t>0</w:t>
            </w:r>
          </w:p>
        </w:tc>
      </w:tr>
      <w:tr w:rsidR="00EB75EE" w:rsidRPr="00ED496D" w14:paraId="2BCEC630" w14:textId="77777777" w:rsidTr="00B27F9F">
        <w:tc>
          <w:tcPr>
            <w:tcW w:w="4820" w:type="dxa"/>
            <w:hideMark/>
          </w:tcPr>
          <w:p w14:paraId="1B046B59" w14:textId="77777777" w:rsidR="00EB75EE" w:rsidRPr="00ED496D" w:rsidRDefault="00EB75EE">
            <w:pPr>
              <w:pStyle w:val="NormalWeb"/>
              <w:rPr>
                <w:sz w:val="18"/>
                <w:szCs w:val="18"/>
              </w:rPr>
            </w:pPr>
            <w:r w:rsidRPr="00ED496D">
              <w:rPr>
                <w:sz w:val="18"/>
                <w:szCs w:val="18"/>
              </w:rPr>
              <w:t>Queensland</w:t>
            </w:r>
          </w:p>
        </w:tc>
        <w:tc>
          <w:tcPr>
            <w:tcW w:w="2835" w:type="dxa"/>
            <w:hideMark/>
          </w:tcPr>
          <w:p w14:paraId="1396FCF7" w14:textId="77777777" w:rsidR="00EB75EE" w:rsidRPr="00ED496D" w:rsidRDefault="00EB75EE" w:rsidP="00ED496D">
            <w:pPr>
              <w:pStyle w:val="NormalWeb"/>
              <w:jc w:val="center"/>
              <w:rPr>
                <w:sz w:val="18"/>
                <w:szCs w:val="18"/>
              </w:rPr>
            </w:pPr>
            <w:r w:rsidRPr="00ED496D">
              <w:rPr>
                <w:sz w:val="18"/>
                <w:szCs w:val="18"/>
              </w:rPr>
              <w:t>0</w:t>
            </w:r>
          </w:p>
        </w:tc>
        <w:tc>
          <w:tcPr>
            <w:tcW w:w="1276" w:type="dxa"/>
            <w:hideMark/>
          </w:tcPr>
          <w:p w14:paraId="22735C16" w14:textId="77777777" w:rsidR="00EB75EE" w:rsidRPr="00ED496D" w:rsidRDefault="00EB75EE" w:rsidP="00ED496D">
            <w:pPr>
              <w:pStyle w:val="NormalWeb"/>
              <w:jc w:val="center"/>
              <w:rPr>
                <w:sz w:val="18"/>
                <w:szCs w:val="18"/>
              </w:rPr>
            </w:pPr>
            <w:r w:rsidRPr="00ED496D">
              <w:rPr>
                <w:sz w:val="18"/>
                <w:szCs w:val="18"/>
              </w:rPr>
              <w:t>0</w:t>
            </w:r>
          </w:p>
        </w:tc>
        <w:tc>
          <w:tcPr>
            <w:tcW w:w="1509" w:type="dxa"/>
            <w:hideMark/>
          </w:tcPr>
          <w:p w14:paraId="3EA06EFD" w14:textId="77777777" w:rsidR="00EB75EE" w:rsidRPr="00ED496D" w:rsidRDefault="00EB75EE" w:rsidP="00ED496D">
            <w:pPr>
              <w:pStyle w:val="NormalWeb"/>
              <w:jc w:val="center"/>
              <w:rPr>
                <w:sz w:val="18"/>
                <w:szCs w:val="18"/>
              </w:rPr>
            </w:pPr>
            <w:r w:rsidRPr="00ED496D">
              <w:rPr>
                <w:sz w:val="18"/>
                <w:szCs w:val="18"/>
              </w:rPr>
              <w:t>0</w:t>
            </w:r>
          </w:p>
        </w:tc>
      </w:tr>
      <w:tr w:rsidR="00B27F9F" w:rsidRPr="00ED496D" w14:paraId="2EF64E4D" w14:textId="77777777"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14:paraId="3695F6F4" w14:textId="77777777" w:rsidR="00EB75EE" w:rsidRPr="00ED496D" w:rsidRDefault="00EB75EE">
            <w:pPr>
              <w:pStyle w:val="NormalWeb"/>
              <w:rPr>
                <w:sz w:val="18"/>
                <w:szCs w:val="18"/>
              </w:rPr>
            </w:pPr>
            <w:r w:rsidRPr="00ED496D">
              <w:rPr>
                <w:sz w:val="18"/>
                <w:szCs w:val="18"/>
              </w:rPr>
              <w:t>South Australia</w:t>
            </w:r>
          </w:p>
        </w:tc>
        <w:tc>
          <w:tcPr>
            <w:tcW w:w="2835" w:type="dxa"/>
            <w:hideMark/>
          </w:tcPr>
          <w:p w14:paraId="322FCE7A" w14:textId="77777777" w:rsidR="00EB75EE" w:rsidRPr="00ED496D" w:rsidRDefault="00EB75EE" w:rsidP="00ED496D">
            <w:pPr>
              <w:pStyle w:val="NormalWeb"/>
              <w:jc w:val="center"/>
              <w:rPr>
                <w:sz w:val="18"/>
                <w:szCs w:val="18"/>
              </w:rPr>
            </w:pPr>
            <w:r w:rsidRPr="00ED496D">
              <w:rPr>
                <w:sz w:val="18"/>
                <w:szCs w:val="18"/>
              </w:rPr>
              <w:t>0</w:t>
            </w:r>
          </w:p>
        </w:tc>
        <w:tc>
          <w:tcPr>
            <w:tcW w:w="1276" w:type="dxa"/>
            <w:hideMark/>
          </w:tcPr>
          <w:p w14:paraId="6F10DE02" w14:textId="77777777" w:rsidR="00EB75EE" w:rsidRPr="00ED496D" w:rsidRDefault="00EB75EE" w:rsidP="00ED496D">
            <w:pPr>
              <w:pStyle w:val="NormalWeb"/>
              <w:jc w:val="center"/>
              <w:rPr>
                <w:sz w:val="18"/>
                <w:szCs w:val="18"/>
              </w:rPr>
            </w:pPr>
            <w:r w:rsidRPr="00ED496D">
              <w:rPr>
                <w:sz w:val="18"/>
                <w:szCs w:val="18"/>
              </w:rPr>
              <w:t>0</w:t>
            </w:r>
          </w:p>
        </w:tc>
        <w:tc>
          <w:tcPr>
            <w:tcW w:w="1509" w:type="dxa"/>
            <w:hideMark/>
          </w:tcPr>
          <w:p w14:paraId="7521DBB3" w14:textId="77777777" w:rsidR="00EB75EE" w:rsidRPr="00ED496D" w:rsidRDefault="00EB75EE" w:rsidP="00ED496D">
            <w:pPr>
              <w:pStyle w:val="NormalWeb"/>
              <w:jc w:val="center"/>
              <w:rPr>
                <w:sz w:val="18"/>
                <w:szCs w:val="18"/>
              </w:rPr>
            </w:pPr>
            <w:r w:rsidRPr="00ED496D">
              <w:rPr>
                <w:sz w:val="18"/>
                <w:szCs w:val="18"/>
              </w:rPr>
              <w:t>0</w:t>
            </w:r>
          </w:p>
        </w:tc>
      </w:tr>
      <w:tr w:rsidR="00EB75EE" w:rsidRPr="00ED496D" w14:paraId="53146BD4" w14:textId="77777777" w:rsidTr="00B27F9F">
        <w:tc>
          <w:tcPr>
            <w:tcW w:w="4820" w:type="dxa"/>
            <w:hideMark/>
          </w:tcPr>
          <w:p w14:paraId="3A26A595" w14:textId="77777777" w:rsidR="00EB75EE" w:rsidRPr="00ED496D" w:rsidRDefault="00EB75EE">
            <w:pPr>
              <w:pStyle w:val="NormalWeb"/>
              <w:rPr>
                <w:sz w:val="18"/>
                <w:szCs w:val="18"/>
              </w:rPr>
            </w:pPr>
            <w:r w:rsidRPr="00ED496D">
              <w:rPr>
                <w:sz w:val="18"/>
                <w:szCs w:val="18"/>
              </w:rPr>
              <w:t>Tasmania</w:t>
            </w:r>
          </w:p>
        </w:tc>
        <w:tc>
          <w:tcPr>
            <w:tcW w:w="2835" w:type="dxa"/>
            <w:hideMark/>
          </w:tcPr>
          <w:p w14:paraId="77AB1526" w14:textId="77777777" w:rsidR="00EB75EE" w:rsidRPr="00ED496D" w:rsidRDefault="00EB75EE" w:rsidP="00ED496D">
            <w:pPr>
              <w:pStyle w:val="NormalWeb"/>
              <w:jc w:val="center"/>
              <w:rPr>
                <w:sz w:val="18"/>
                <w:szCs w:val="18"/>
              </w:rPr>
            </w:pPr>
            <w:r w:rsidRPr="00ED496D">
              <w:rPr>
                <w:sz w:val="18"/>
                <w:szCs w:val="18"/>
              </w:rPr>
              <w:t>47</w:t>
            </w:r>
          </w:p>
        </w:tc>
        <w:tc>
          <w:tcPr>
            <w:tcW w:w="1276" w:type="dxa"/>
            <w:hideMark/>
          </w:tcPr>
          <w:p w14:paraId="795752B4" w14:textId="77777777" w:rsidR="00EB75EE" w:rsidRPr="00ED496D" w:rsidRDefault="00EB75EE" w:rsidP="00ED496D">
            <w:pPr>
              <w:pStyle w:val="NormalWeb"/>
              <w:jc w:val="center"/>
              <w:rPr>
                <w:sz w:val="18"/>
                <w:szCs w:val="18"/>
              </w:rPr>
            </w:pPr>
            <w:r w:rsidRPr="00ED496D">
              <w:rPr>
                <w:sz w:val="18"/>
                <w:szCs w:val="18"/>
              </w:rPr>
              <w:t>8</w:t>
            </w:r>
          </w:p>
        </w:tc>
        <w:tc>
          <w:tcPr>
            <w:tcW w:w="1509" w:type="dxa"/>
            <w:hideMark/>
          </w:tcPr>
          <w:p w14:paraId="260CC5FE" w14:textId="77777777" w:rsidR="00EB75EE" w:rsidRPr="00ED496D" w:rsidRDefault="00EB75EE" w:rsidP="00ED496D">
            <w:pPr>
              <w:pStyle w:val="NormalWeb"/>
              <w:jc w:val="center"/>
              <w:rPr>
                <w:sz w:val="18"/>
                <w:szCs w:val="18"/>
              </w:rPr>
            </w:pPr>
            <w:r w:rsidRPr="00ED496D">
              <w:rPr>
                <w:sz w:val="18"/>
                <w:szCs w:val="18"/>
              </w:rPr>
              <w:t>17.0</w:t>
            </w:r>
          </w:p>
        </w:tc>
      </w:tr>
      <w:tr w:rsidR="00B27F9F" w:rsidRPr="00ED496D" w14:paraId="2AF3E9F1" w14:textId="77777777"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14:paraId="51797397" w14:textId="77777777" w:rsidR="00EB75EE" w:rsidRPr="00ED496D" w:rsidRDefault="00EB75EE">
            <w:pPr>
              <w:pStyle w:val="NormalWeb"/>
              <w:rPr>
                <w:sz w:val="18"/>
                <w:szCs w:val="18"/>
              </w:rPr>
            </w:pPr>
            <w:r w:rsidRPr="00ED496D">
              <w:rPr>
                <w:sz w:val="18"/>
                <w:szCs w:val="18"/>
              </w:rPr>
              <w:t>Victoria</w:t>
            </w:r>
          </w:p>
        </w:tc>
        <w:tc>
          <w:tcPr>
            <w:tcW w:w="2835" w:type="dxa"/>
            <w:hideMark/>
          </w:tcPr>
          <w:p w14:paraId="3B543DF3" w14:textId="77777777" w:rsidR="00EB75EE" w:rsidRPr="00ED496D" w:rsidRDefault="00EB75EE" w:rsidP="00ED496D">
            <w:pPr>
              <w:pStyle w:val="NormalWeb"/>
              <w:jc w:val="center"/>
              <w:rPr>
                <w:sz w:val="18"/>
                <w:szCs w:val="18"/>
              </w:rPr>
            </w:pPr>
            <w:r w:rsidRPr="00ED496D">
              <w:rPr>
                <w:sz w:val="18"/>
                <w:szCs w:val="18"/>
              </w:rPr>
              <w:t>2,585</w:t>
            </w:r>
          </w:p>
        </w:tc>
        <w:tc>
          <w:tcPr>
            <w:tcW w:w="1276" w:type="dxa"/>
            <w:hideMark/>
          </w:tcPr>
          <w:p w14:paraId="29D961CE" w14:textId="77777777" w:rsidR="00EB75EE" w:rsidRPr="00ED496D" w:rsidRDefault="00EB75EE" w:rsidP="00ED496D">
            <w:pPr>
              <w:pStyle w:val="NormalWeb"/>
              <w:jc w:val="center"/>
              <w:rPr>
                <w:sz w:val="18"/>
                <w:szCs w:val="18"/>
              </w:rPr>
            </w:pPr>
            <w:r w:rsidRPr="00ED496D">
              <w:rPr>
                <w:sz w:val="18"/>
                <w:szCs w:val="18"/>
              </w:rPr>
              <w:t>743</w:t>
            </w:r>
          </w:p>
        </w:tc>
        <w:tc>
          <w:tcPr>
            <w:tcW w:w="1509" w:type="dxa"/>
            <w:hideMark/>
          </w:tcPr>
          <w:p w14:paraId="1389DD1A" w14:textId="77777777" w:rsidR="00EB75EE" w:rsidRPr="00ED496D" w:rsidRDefault="00EB75EE" w:rsidP="00ED496D">
            <w:pPr>
              <w:pStyle w:val="NormalWeb"/>
              <w:jc w:val="center"/>
              <w:rPr>
                <w:sz w:val="18"/>
                <w:szCs w:val="18"/>
              </w:rPr>
            </w:pPr>
            <w:r w:rsidRPr="00ED496D">
              <w:rPr>
                <w:sz w:val="18"/>
                <w:szCs w:val="18"/>
              </w:rPr>
              <w:t>28.7</w:t>
            </w:r>
          </w:p>
        </w:tc>
      </w:tr>
      <w:tr w:rsidR="00EB75EE" w:rsidRPr="00ED496D" w14:paraId="7833637A" w14:textId="77777777" w:rsidTr="00B27F9F">
        <w:tc>
          <w:tcPr>
            <w:tcW w:w="4820" w:type="dxa"/>
            <w:hideMark/>
          </w:tcPr>
          <w:p w14:paraId="6A627E91" w14:textId="77777777" w:rsidR="00EB75EE" w:rsidRPr="00ED496D" w:rsidRDefault="00EB75EE">
            <w:pPr>
              <w:pStyle w:val="NormalWeb"/>
              <w:rPr>
                <w:sz w:val="18"/>
                <w:szCs w:val="18"/>
              </w:rPr>
            </w:pPr>
            <w:r w:rsidRPr="00ED496D">
              <w:rPr>
                <w:sz w:val="18"/>
                <w:szCs w:val="18"/>
              </w:rPr>
              <w:t>Northern Territory</w:t>
            </w:r>
            <w:r w:rsidR="00B27F9F">
              <w:rPr>
                <w:sz w:val="18"/>
                <w:szCs w:val="18"/>
              </w:rPr>
              <w:t xml:space="preserve"> - </w:t>
            </w:r>
            <w:r w:rsidRPr="00ED496D">
              <w:rPr>
                <w:sz w:val="18"/>
                <w:szCs w:val="18"/>
              </w:rPr>
              <w:t>Non Remote</w:t>
            </w:r>
          </w:p>
        </w:tc>
        <w:tc>
          <w:tcPr>
            <w:tcW w:w="2835" w:type="dxa"/>
            <w:hideMark/>
          </w:tcPr>
          <w:p w14:paraId="5F9E6D78" w14:textId="77777777" w:rsidR="00EB75EE" w:rsidRPr="00ED496D" w:rsidRDefault="00EB75EE" w:rsidP="00ED496D">
            <w:pPr>
              <w:pStyle w:val="NormalWeb"/>
              <w:jc w:val="center"/>
              <w:rPr>
                <w:sz w:val="18"/>
                <w:szCs w:val="18"/>
              </w:rPr>
            </w:pPr>
            <w:r w:rsidRPr="00ED496D">
              <w:rPr>
                <w:sz w:val="18"/>
                <w:szCs w:val="18"/>
              </w:rPr>
              <w:t>16</w:t>
            </w:r>
          </w:p>
        </w:tc>
        <w:tc>
          <w:tcPr>
            <w:tcW w:w="1276" w:type="dxa"/>
            <w:hideMark/>
          </w:tcPr>
          <w:p w14:paraId="5BDA8AE7" w14:textId="77777777" w:rsidR="00EB75EE" w:rsidRPr="00ED496D" w:rsidRDefault="00EB75EE" w:rsidP="00ED496D">
            <w:pPr>
              <w:pStyle w:val="NormalWeb"/>
              <w:jc w:val="center"/>
              <w:rPr>
                <w:sz w:val="18"/>
                <w:szCs w:val="18"/>
              </w:rPr>
            </w:pPr>
            <w:r w:rsidRPr="00ED496D">
              <w:rPr>
                <w:sz w:val="18"/>
                <w:szCs w:val="18"/>
              </w:rPr>
              <w:t>0</w:t>
            </w:r>
          </w:p>
        </w:tc>
        <w:tc>
          <w:tcPr>
            <w:tcW w:w="1509" w:type="dxa"/>
            <w:hideMark/>
          </w:tcPr>
          <w:p w14:paraId="6A0FB8DA" w14:textId="77777777" w:rsidR="00EB75EE" w:rsidRPr="00ED496D" w:rsidRDefault="00EB75EE" w:rsidP="00ED496D">
            <w:pPr>
              <w:pStyle w:val="NormalWeb"/>
              <w:jc w:val="center"/>
              <w:rPr>
                <w:sz w:val="18"/>
                <w:szCs w:val="18"/>
              </w:rPr>
            </w:pPr>
            <w:r w:rsidRPr="00ED496D">
              <w:rPr>
                <w:sz w:val="18"/>
                <w:szCs w:val="18"/>
              </w:rPr>
              <w:t>0.0</w:t>
            </w:r>
          </w:p>
        </w:tc>
      </w:tr>
      <w:tr w:rsidR="00B27F9F" w:rsidRPr="00ED496D" w14:paraId="34B42C4B" w14:textId="77777777"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14:paraId="667C28D1" w14:textId="77777777" w:rsidR="00EB75EE" w:rsidRPr="00ED496D" w:rsidRDefault="00EB75EE">
            <w:pPr>
              <w:pStyle w:val="NormalWeb"/>
              <w:rPr>
                <w:sz w:val="18"/>
                <w:szCs w:val="18"/>
              </w:rPr>
            </w:pPr>
            <w:r w:rsidRPr="00ED496D">
              <w:rPr>
                <w:sz w:val="18"/>
                <w:szCs w:val="18"/>
              </w:rPr>
              <w:t>Northern Territory</w:t>
            </w:r>
            <w:r w:rsidR="00B27F9F">
              <w:rPr>
                <w:sz w:val="18"/>
                <w:szCs w:val="18"/>
              </w:rPr>
              <w:t xml:space="preserve"> - </w:t>
            </w:r>
            <w:r w:rsidRPr="00ED496D">
              <w:rPr>
                <w:sz w:val="18"/>
                <w:szCs w:val="18"/>
              </w:rPr>
              <w:t>Remote</w:t>
            </w:r>
          </w:p>
        </w:tc>
        <w:tc>
          <w:tcPr>
            <w:tcW w:w="2835" w:type="dxa"/>
            <w:hideMark/>
          </w:tcPr>
          <w:p w14:paraId="4436D08A" w14:textId="77777777" w:rsidR="00EB75EE" w:rsidRPr="00ED496D" w:rsidRDefault="00EB75EE" w:rsidP="00ED496D">
            <w:pPr>
              <w:pStyle w:val="NormalWeb"/>
              <w:jc w:val="center"/>
              <w:rPr>
                <w:sz w:val="18"/>
                <w:szCs w:val="18"/>
              </w:rPr>
            </w:pPr>
            <w:r w:rsidRPr="00ED496D">
              <w:rPr>
                <w:sz w:val="18"/>
                <w:szCs w:val="18"/>
              </w:rPr>
              <w:t>27</w:t>
            </w:r>
          </w:p>
        </w:tc>
        <w:tc>
          <w:tcPr>
            <w:tcW w:w="1276" w:type="dxa"/>
            <w:hideMark/>
          </w:tcPr>
          <w:p w14:paraId="05EB0638" w14:textId="77777777" w:rsidR="00EB75EE" w:rsidRPr="00ED496D" w:rsidRDefault="00EB75EE" w:rsidP="00ED496D">
            <w:pPr>
              <w:pStyle w:val="NormalWeb"/>
              <w:jc w:val="center"/>
              <w:rPr>
                <w:sz w:val="18"/>
                <w:szCs w:val="18"/>
              </w:rPr>
            </w:pPr>
            <w:r w:rsidRPr="00ED496D">
              <w:rPr>
                <w:sz w:val="18"/>
                <w:szCs w:val="18"/>
              </w:rPr>
              <w:t>0</w:t>
            </w:r>
          </w:p>
        </w:tc>
        <w:tc>
          <w:tcPr>
            <w:tcW w:w="1509" w:type="dxa"/>
            <w:hideMark/>
          </w:tcPr>
          <w:p w14:paraId="245A3BC8" w14:textId="77777777" w:rsidR="00EB75EE" w:rsidRPr="00ED496D" w:rsidRDefault="00EB75EE" w:rsidP="00ED496D">
            <w:pPr>
              <w:pStyle w:val="NormalWeb"/>
              <w:jc w:val="center"/>
              <w:rPr>
                <w:sz w:val="18"/>
                <w:szCs w:val="18"/>
              </w:rPr>
            </w:pPr>
            <w:r w:rsidRPr="00ED496D">
              <w:rPr>
                <w:sz w:val="18"/>
                <w:szCs w:val="18"/>
              </w:rPr>
              <w:t>0.0</w:t>
            </w:r>
          </w:p>
        </w:tc>
      </w:tr>
      <w:tr w:rsidR="00EB75EE" w:rsidRPr="00ED496D" w14:paraId="1F28B8FD" w14:textId="77777777" w:rsidTr="00B27F9F">
        <w:tc>
          <w:tcPr>
            <w:tcW w:w="4820" w:type="dxa"/>
            <w:hideMark/>
          </w:tcPr>
          <w:p w14:paraId="7F13FB67" w14:textId="77777777" w:rsidR="00EB75EE" w:rsidRPr="00ED496D" w:rsidRDefault="00EB75EE">
            <w:pPr>
              <w:pStyle w:val="NormalWeb"/>
              <w:rPr>
                <w:sz w:val="18"/>
                <w:szCs w:val="18"/>
              </w:rPr>
            </w:pPr>
            <w:r w:rsidRPr="00ED496D">
              <w:rPr>
                <w:sz w:val="18"/>
                <w:szCs w:val="18"/>
              </w:rPr>
              <w:t>Western Australia</w:t>
            </w:r>
            <w:r w:rsidR="00B27F9F">
              <w:rPr>
                <w:sz w:val="18"/>
                <w:szCs w:val="18"/>
              </w:rPr>
              <w:t xml:space="preserve"> - </w:t>
            </w:r>
            <w:r w:rsidRPr="00ED496D">
              <w:rPr>
                <w:sz w:val="18"/>
                <w:szCs w:val="18"/>
              </w:rPr>
              <w:t>Non Remote</w:t>
            </w:r>
          </w:p>
        </w:tc>
        <w:tc>
          <w:tcPr>
            <w:tcW w:w="2835" w:type="dxa"/>
            <w:hideMark/>
          </w:tcPr>
          <w:p w14:paraId="3CA0AD88" w14:textId="77777777" w:rsidR="00EB75EE" w:rsidRPr="00ED496D" w:rsidRDefault="00EB75EE" w:rsidP="00ED496D">
            <w:pPr>
              <w:pStyle w:val="NormalWeb"/>
              <w:jc w:val="center"/>
              <w:rPr>
                <w:sz w:val="18"/>
                <w:szCs w:val="18"/>
              </w:rPr>
            </w:pPr>
            <w:r w:rsidRPr="00ED496D">
              <w:rPr>
                <w:sz w:val="18"/>
                <w:szCs w:val="18"/>
              </w:rPr>
              <w:t>747</w:t>
            </w:r>
          </w:p>
        </w:tc>
        <w:tc>
          <w:tcPr>
            <w:tcW w:w="1276" w:type="dxa"/>
            <w:hideMark/>
          </w:tcPr>
          <w:p w14:paraId="7B2E11D8" w14:textId="77777777" w:rsidR="00EB75EE" w:rsidRPr="00ED496D" w:rsidRDefault="00EB75EE" w:rsidP="00ED496D">
            <w:pPr>
              <w:pStyle w:val="NormalWeb"/>
              <w:jc w:val="center"/>
              <w:rPr>
                <w:sz w:val="18"/>
                <w:szCs w:val="18"/>
              </w:rPr>
            </w:pPr>
            <w:r w:rsidRPr="00ED496D">
              <w:rPr>
                <w:sz w:val="18"/>
                <w:szCs w:val="18"/>
              </w:rPr>
              <w:t>212</w:t>
            </w:r>
          </w:p>
        </w:tc>
        <w:tc>
          <w:tcPr>
            <w:tcW w:w="1509" w:type="dxa"/>
            <w:hideMark/>
          </w:tcPr>
          <w:p w14:paraId="316F8AB3" w14:textId="77777777" w:rsidR="00EB75EE" w:rsidRPr="00ED496D" w:rsidRDefault="00EB75EE" w:rsidP="00ED496D">
            <w:pPr>
              <w:pStyle w:val="NormalWeb"/>
              <w:jc w:val="center"/>
              <w:rPr>
                <w:sz w:val="18"/>
                <w:szCs w:val="18"/>
              </w:rPr>
            </w:pPr>
            <w:r w:rsidRPr="00ED496D">
              <w:rPr>
                <w:sz w:val="18"/>
                <w:szCs w:val="18"/>
              </w:rPr>
              <w:t>28.4</w:t>
            </w:r>
          </w:p>
        </w:tc>
      </w:tr>
      <w:tr w:rsidR="00B27F9F" w:rsidRPr="00ED496D" w14:paraId="009499BE" w14:textId="77777777" w:rsidTr="00B27F9F">
        <w:trPr>
          <w:cnfStyle w:val="000000010000" w:firstRow="0" w:lastRow="0" w:firstColumn="0" w:lastColumn="0" w:oddVBand="0" w:evenVBand="0" w:oddHBand="0" w:evenHBand="1" w:firstRowFirstColumn="0" w:firstRowLastColumn="0" w:lastRowFirstColumn="0" w:lastRowLastColumn="0"/>
        </w:trPr>
        <w:tc>
          <w:tcPr>
            <w:tcW w:w="4820" w:type="dxa"/>
            <w:hideMark/>
          </w:tcPr>
          <w:p w14:paraId="784D9215" w14:textId="77777777" w:rsidR="00EB75EE" w:rsidRPr="00ED496D" w:rsidRDefault="00EB75EE">
            <w:pPr>
              <w:pStyle w:val="NormalWeb"/>
              <w:rPr>
                <w:sz w:val="18"/>
                <w:szCs w:val="18"/>
              </w:rPr>
            </w:pPr>
            <w:r w:rsidRPr="00ED496D">
              <w:rPr>
                <w:sz w:val="18"/>
                <w:szCs w:val="18"/>
              </w:rPr>
              <w:t>Western Australia</w:t>
            </w:r>
            <w:r w:rsidR="00B27F9F">
              <w:rPr>
                <w:sz w:val="18"/>
                <w:szCs w:val="18"/>
              </w:rPr>
              <w:t xml:space="preserve"> - </w:t>
            </w:r>
            <w:r w:rsidRPr="00ED496D">
              <w:rPr>
                <w:sz w:val="18"/>
                <w:szCs w:val="18"/>
              </w:rPr>
              <w:t>Remote</w:t>
            </w:r>
          </w:p>
        </w:tc>
        <w:tc>
          <w:tcPr>
            <w:tcW w:w="2835" w:type="dxa"/>
            <w:hideMark/>
          </w:tcPr>
          <w:p w14:paraId="52EA171B" w14:textId="77777777" w:rsidR="00EB75EE" w:rsidRPr="00ED496D" w:rsidRDefault="00EB75EE" w:rsidP="00ED496D">
            <w:pPr>
              <w:pStyle w:val="NormalWeb"/>
              <w:jc w:val="center"/>
              <w:rPr>
                <w:sz w:val="18"/>
                <w:szCs w:val="18"/>
              </w:rPr>
            </w:pPr>
            <w:r w:rsidRPr="00ED496D">
              <w:rPr>
                <w:sz w:val="18"/>
                <w:szCs w:val="18"/>
              </w:rPr>
              <w:t>85</w:t>
            </w:r>
          </w:p>
        </w:tc>
        <w:tc>
          <w:tcPr>
            <w:tcW w:w="1276" w:type="dxa"/>
            <w:hideMark/>
          </w:tcPr>
          <w:p w14:paraId="79853ACD" w14:textId="77777777" w:rsidR="00EB75EE" w:rsidRPr="00ED496D" w:rsidRDefault="00EB75EE" w:rsidP="00ED496D">
            <w:pPr>
              <w:pStyle w:val="NormalWeb"/>
              <w:jc w:val="center"/>
              <w:rPr>
                <w:sz w:val="18"/>
                <w:szCs w:val="18"/>
              </w:rPr>
            </w:pPr>
            <w:r w:rsidRPr="00ED496D">
              <w:rPr>
                <w:sz w:val="18"/>
                <w:szCs w:val="18"/>
              </w:rPr>
              <w:t>12</w:t>
            </w:r>
          </w:p>
        </w:tc>
        <w:tc>
          <w:tcPr>
            <w:tcW w:w="1509" w:type="dxa"/>
            <w:hideMark/>
          </w:tcPr>
          <w:p w14:paraId="072DBC11" w14:textId="77777777" w:rsidR="00EB75EE" w:rsidRPr="00ED496D" w:rsidRDefault="00EB75EE" w:rsidP="00ED496D">
            <w:pPr>
              <w:pStyle w:val="NormalWeb"/>
              <w:jc w:val="center"/>
              <w:rPr>
                <w:sz w:val="18"/>
                <w:szCs w:val="18"/>
              </w:rPr>
            </w:pPr>
            <w:r w:rsidRPr="00ED496D">
              <w:rPr>
                <w:sz w:val="18"/>
                <w:szCs w:val="18"/>
              </w:rPr>
              <w:t>14.1</w:t>
            </w:r>
          </w:p>
        </w:tc>
      </w:tr>
      <w:tr w:rsidR="00CD5D39" w:rsidRPr="00CD5D39" w14:paraId="63204E4A" w14:textId="77777777" w:rsidTr="00CD5D39">
        <w:tc>
          <w:tcPr>
            <w:tcW w:w="4820" w:type="dxa"/>
            <w:shd w:val="clear" w:color="auto" w:fill="FDE9D9" w:themeFill="accent6" w:themeFillTint="33"/>
            <w:hideMark/>
          </w:tcPr>
          <w:p w14:paraId="5FDABF06" w14:textId="77777777" w:rsidR="00EB75EE" w:rsidRPr="00CD5D39" w:rsidRDefault="00EB75EE">
            <w:pPr>
              <w:pStyle w:val="NormalWeb"/>
              <w:rPr>
                <w:b/>
                <w:sz w:val="18"/>
                <w:szCs w:val="18"/>
              </w:rPr>
            </w:pPr>
            <w:r w:rsidRPr="00CD5D39">
              <w:rPr>
                <w:b/>
                <w:sz w:val="18"/>
                <w:szCs w:val="18"/>
              </w:rPr>
              <w:t>Australia</w:t>
            </w:r>
          </w:p>
        </w:tc>
        <w:tc>
          <w:tcPr>
            <w:tcW w:w="2835" w:type="dxa"/>
            <w:shd w:val="clear" w:color="auto" w:fill="FDE9D9" w:themeFill="accent6" w:themeFillTint="33"/>
            <w:hideMark/>
          </w:tcPr>
          <w:p w14:paraId="65DF4170" w14:textId="77777777" w:rsidR="00EB75EE" w:rsidRPr="00CD5D39" w:rsidRDefault="00EB75EE" w:rsidP="00ED496D">
            <w:pPr>
              <w:pStyle w:val="NormalWeb"/>
              <w:jc w:val="center"/>
              <w:rPr>
                <w:b/>
                <w:sz w:val="18"/>
                <w:szCs w:val="18"/>
              </w:rPr>
            </w:pPr>
            <w:r w:rsidRPr="00CD5D39">
              <w:rPr>
                <w:b/>
                <w:sz w:val="18"/>
                <w:szCs w:val="18"/>
              </w:rPr>
              <w:t>3,682</w:t>
            </w:r>
          </w:p>
        </w:tc>
        <w:tc>
          <w:tcPr>
            <w:tcW w:w="1276" w:type="dxa"/>
            <w:shd w:val="clear" w:color="auto" w:fill="FDE9D9" w:themeFill="accent6" w:themeFillTint="33"/>
            <w:hideMark/>
          </w:tcPr>
          <w:p w14:paraId="40DE5F72" w14:textId="77777777" w:rsidR="00EB75EE" w:rsidRPr="00CD5D39" w:rsidRDefault="00EB75EE" w:rsidP="00ED496D">
            <w:pPr>
              <w:pStyle w:val="NormalWeb"/>
              <w:jc w:val="center"/>
              <w:rPr>
                <w:b/>
                <w:sz w:val="18"/>
                <w:szCs w:val="18"/>
              </w:rPr>
            </w:pPr>
            <w:r w:rsidRPr="00CD5D39">
              <w:rPr>
                <w:b/>
                <w:sz w:val="18"/>
                <w:szCs w:val="18"/>
              </w:rPr>
              <w:t>994</w:t>
            </w:r>
          </w:p>
        </w:tc>
        <w:tc>
          <w:tcPr>
            <w:tcW w:w="1509" w:type="dxa"/>
            <w:shd w:val="clear" w:color="auto" w:fill="FDE9D9" w:themeFill="accent6" w:themeFillTint="33"/>
            <w:hideMark/>
          </w:tcPr>
          <w:p w14:paraId="2E0078A0" w14:textId="77777777" w:rsidR="00EB75EE" w:rsidRPr="00CD5D39" w:rsidRDefault="00EB75EE" w:rsidP="00ED496D">
            <w:pPr>
              <w:pStyle w:val="NormalWeb"/>
              <w:jc w:val="center"/>
              <w:rPr>
                <w:b/>
                <w:sz w:val="18"/>
                <w:szCs w:val="18"/>
              </w:rPr>
            </w:pPr>
            <w:r w:rsidRPr="00CD5D39">
              <w:rPr>
                <w:b/>
                <w:sz w:val="18"/>
                <w:szCs w:val="18"/>
              </w:rPr>
              <w:t>27.0</w:t>
            </w:r>
          </w:p>
        </w:tc>
      </w:tr>
    </w:tbl>
    <w:p w14:paraId="6968679D" w14:textId="77777777" w:rsidR="00EB75EE" w:rsidRPr="00224B6C" w:rsidRDefault="00EB75EE" w:rsidP="00224B6C">
      <w:pPr>
        <w:pStyle w:val="Heading2"/>
      </w:pPr>
      <w:r w:rsidRPr="00224B6C">
        <w:t xml:space="preserve">Spectinomycin </w:t>
      </w:r>
    </w:p>
    <w:p w14:paraId="655BE01A" w14:textId="77777777" w:rsidR="00EB75EE" w:rsidRDefault="00EB75EE" w:rsidP="00224B6C">
      <w:r>
        <w:t xml:space="preserve">In 2019, all isolates tested (n = 9,668) were susceptible to spectinomycin. </w:t>
      </w:r>
    </w:p>
    <w:p w14:paraId="10B13F22" w14:textId="77777777" w:rsidR="00EB75EE" w:rsidRPr="00224B6C" w:rsidRDefault="00EB75EE" w:rsidP="00224B6C">
      <w:pPr>
        <w:pStyle w:val="Heading1"/>
      </w:pPr>
      <w:r w:rsidRPr="00224B6C">
        <w:t xml:space="preserve">Discussion </w:t>
      </w:r>
    </w:p>
    <w:p w14:paraId="7ACFAE3A" w14:textId="77777777" w:rsidR="00EB75EE" w:rsidRDefault="00EB75EE" w:rsidP="00224B6C">
      <w:r>
        <w:t>The World Health Organization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16</w:t>
      </w:r>
      <w:r>
        <w:t xml:space="preserve"> The AGSP has continuously monitored gonococcal AMR in Australia since 1981, providing data to inform treatment and public health strategies. Further, the WHOCC Sydney has established and coordinated quality assurance, and quality control, for gonococcal AMR testing with the AGSP External Quality Assurance Program and with the development of the WHO NG reference strains, thus ensuring the quality of the AGSP data.</w:t>
      </w:r>
      <w:r>
        <w:rPr>
          <w:vertAlign w:val="superscript"/>
        </w:rPr>
        <w:t>19,</w:t>
      </w:r>
      <w:proofErr w:type="gramStart"/>
      <w:r>
        <w:rPr>
          <w:vertAlign w:val="superscript"/>
        </w:rPr>
        <w:t>21</w:t>
      </w:r>
      <w:proofErr w:type="gramEnd"/>
      <w:r>
        <w:t xml:space="preserve"> </w:t>
      </w:r>
    </w:p>
    <w:p w14:paraId="0C5BCDBA" w14:textId="77777777" w:rsidR="00EB75EE" w:rsidRDefault="00EB75EE" w:rsidP="00224B6C">
      <w:r>
        <w:lastRenderedPageBreak/>
        <w:t>In 2019 the NNN examined 9,668 clinical isolates for susceptibility testing to ceftriaxone, azithromycin, ciprofloxacin, penicillin and high-level resistance to tetracycline. These isolates were from urban and remote settings, in the public and private health sectors, constituting a comprehensive sample of about one-third of all notifications nationally. Coincident with increasing NG disease rates in Australia,</w:t>
      </w:r>
      <w:r>
        <w:rPr>
          <w:vertAlign w:val="superscript"/>
        </w:rPr>
        <w:t>8</w:t>
      </w:r>
      <w:r>
        <w:t xml:space="preserve"> there has been an increase in the numbers of gonococcal isolates tested for AST. However, the proportion nationally remains relatively unchanged at approximately 30%. </w:t>
      </w:r>
    </w:p>
    <w:p w14:paraId="38F0065A" w14:textId="77777777" w:rsidR="00EB75EE" w:rsidRDefault="00EB75EE" w:rsidP="00224B6C">
      <w:r>
        <w:t xml:space="preserve">Remote populations of Western Australia and the Northern Territory, which have high proportions of Aboriginal and Torres Strait Islander peoples, report high rates of gonococcal disease, but low rates of culture (n = 156), as a function of laboratory access. Possibly secondary to their isolation, these communities have low rates of AMR in NG. Consequently, these regions require continued vigilance with monitoring of AMR in NG using culture- and molecular-based surveillance strategies. </w:t>
      </w:r>
    </w:p>
    <w:p w14:paraId="6B3083DC" w14:textId="77777777" w:rsidR="00EB75EE" w:rsidRDefault="00EB75EE" w:rsidP="00224B6C">
      <w:r>
        <w:t>For the majority of gonococcal surveillance programmes around the world, the monitoring of ceftriaxone and azithromycin MIC values is the primary focus. For the AGSP, ceftriaxone MIC values of ≥ 0.06 mg/L have been reported historically to have decreased susceptibility. In Australia, the proportion of isolates with decreased susceptibility to ceftriaxone has steadily and substantially declined since 2013 from 8.8% to 1.3% in 2019 (Table 4). However, as noted, little reassurance should be taken from this, as multidrug- and extensively-resistant strains have been reported from Asia, Europe and Australia in recent years.</w:t>
      </w:r>
      <w:r>
        <w:rPr>
          <w:vertAlign w:val="superscript"/>
        </w:rPr>
        <w:t>22–25</w:t>
      </w:r>
      <w:r>
        <w:t xml:space="preserve"> It has been shown that continued importation of resistant strains is the first step to establishment of resistance.</w:t>
      </w:r>
      <w:r>
        <w:rPr>
          <w:vertAlign w:val="superscript"/>
        </w:rPr>
        <w:t>7</w:t>
      </w:r>
      <w:r>
        <w:t xml:space="preserve"> It is thus a realistic concern that more frequent reports of ceftriaxone-resistant strains foreshadow establishment of these strains in Australia and elsewhere, and that such reports herald a clear warning that needs to be heeded with disease prevention strategies. Further, lessons learned from the extensively-drug-resistant gonococcal infections include the need for carbapenem therapy, which will not be possible in all settings.</w:t>
      </w:r>
      <w:r>
        <w:rPr>
          <w:vertAlign w:val="superscript"/>
        </w:rPr>
        <w:t>26</w:t>
      </w:r>
      <w:r>
        <w:t xml:space="preserve"> </w:t>
      </w:r>
    </w:p>
    <w:p w14:paraId="3F3F6E9B" w14:textId="77777777" w:rsidR="00EB75EE" w:rsidRDefault="00EB75EE" w:rsidP="00224B6C">
      <w:r>
        <w:t>In 2013, high-level resistance (HLR; MIC value ≥ 256 mg/L) to azithromycin in gonococci was reported for the first time in Australia in four strains, two with suspected contact in China.</w:t>
      </w:r>
      <w:r>
        <w:rPr>
          <w:vertAlign w:val="superscript"/>
        </w:rPr>
        <w:t>27</w:t>
      </w:r>
      <w:r>
        <w:t xml:space="preserve"> Since then there have been only sporadic reports of HLR to azithromycin in Australia annually; there were eight such isolates in 2019. The proportion of azithromycin-resistant isolates that were also resistant to penicillin and ciprofloxacin was 6.0%. Continued close observation is needed, as evidence of co-evolving cephalosporin and azithromycin resistance is being observed outside Australia and is of significant concern.</w:t>
      </w:r>
      <w:r>
        <w:rPr>
          <w:vertAlign w:val="superscript"/>
        </w:rPr>
        <w:t>28</w:t>
      </w:r>
      <w:r>
        <w:t xml:space="preserve"> Azithromycin resistance has been monitored since the inception of the AGSP. Following the introduction of dual therapy in 2014, we have seen lability in the proportions of isolates with resistance to azithromycin in all jurisdictions of Australia (Table 6). Rising from 2015 and peaking at 9.3% in 2017, proportional resistance to azithromycin fell to 4.6% in 2019 nationally (Table 6). Importantly, following a proportional rise of over 23% (2.8% in 2015 to 26% in 2016) in South Australia, azithromycin resistance rates in that state have now fallen and stabilised at &lt; 5% (2% in 2019) (Table 6).</w:t>
      </w:r>
      <w:r>
        <w:rPr>
          <w:vertAlign w:val="superscript"/>
        </w:rPr>
        <w:t>23</w:t>
      </w:r>
      <w:r>
        <w:t xml:space="preserve"> In 2019, azithromycin resistance was highest in the Australian Capital Territory (7.1%), Victoria (6.2%) and New South Wales (6.0%). Globally there have been increasing reports of azithromycin resistance.</w:t>
      </w:r>
      <w:r>
        <w:rPr>
          <w:vertAlign w:val="superscript"/>
        </w:rPr>
        <w:t>29</w:t>
      </w:r>
      <w:r>
        <w:t xml:space="preserve"> </w:t>
      </w:r>
    </w:p>
    <w:p w14:paraId="7F83087F" w14:textId="77777777" w:rsidR="00EB75EE" w:rsidRDefault="00EB75EE" w:rsidP="00224B6C">
      <w:r>
        <w:t>The recent reports of international spread of NG with resistance to ceftriaxone,</w:t>
      </w:r>
      <w:r>
        <w:rPr>
          <w:vertAlign w:val="superscript"/>
        </w:rPr>
        <w:t>5</w:t>
      </w:r>
      <w:r>
        <w:t xml:space="preserve"> and the emergence of azithromycin resistance, heighten concerns about the future treatment strategies for NG AMR.</w:t>
      </w:r>
      <w:r>
        <w:rPr>
          <w:vertAlign w:val="superscript"/>
        </w:rPr>
        <w:t>26</w:t>
      </w:r>
      <w:r>
        <w:t xml:space="preserve"> As developed nations continue to transition to widespread pharmacological prevention of HIV infection (e.g. pre-exposure prophylaxis, treatment as prevention) in high-risk populations, a return to, and reinvigoration of public health strategies promoting primary prevention (e.g. condoms) of gonorrhoea and other sexually transmissible infections is urgently required. Additionally, NG vaccine development is a research priority and may be key in the control of this disease. As Australian clinicians become increasingly dependent on NAAT for diagnosis of NG (with 71% of diagnoses in 2019 made with NAAT alone), health care provider education regarding the continued importance of bacterial culture and AST is paramount. Whilst advances in molecular detection of AMR has great promise, this report underscores the ongoing importance of bacterial culture and AST of NG for clinical management, detection of resistance and novel </w:t>
      </w:r>
      <w:r>
        <w:lastRenderedPageBreak/>
        <w:t xml:space="preserve">resistant strains, AMR surveillance, and test of cure. Given its strong history and association with NG AMR in Australia, treating clinicians should pay particular note to patient travel history, since for imported cases of NG, the benefit of bacterial culture and susceptibility testing is critical. </w:t>
      </w:r>
    </w:p>
    <w:p w14:paraId="60E9E852" w14:textId="77777777" w:rsidR="00EB75EE" w:rsidRDefault="00EB75EE" w:rsidP="00224B6C">
      <w:r>
        <w:t>The WHO Global Action Plan states that disease control strategies and the understanding of the global scope of AMR need to continue to be informed by surveillance programs of AMR, nationally and internationally.</w:t>
      </w:r>
      <w:r>
        <w:rPr>
          <w:vertAlign w:val="superscript"/>
        </w:rPr>
        <w:t>17</w:t>
      </w:r>
      <w:r>
        <w:t xml:space="preserve"> The ongoing need for close and enhanced monitoring of gonococcal AMR can be supported, but not replaced, by molecular-based assays, and strain specific assays can be used for routine and sentinel site surveillance in high-risk populations. The data are critically important to inform therapeutic strategies, to monitor for the presence and spread of resistance and to detect instances of treatment failure. </w:t>
      </w:r>
    </w:p>
    <w:p w14:paraId="0882791E" w14:textId="77777777" w:rsidR="00EB75EE" w:rsidRPr="00224B6C" w:rsidRDefault="00EB75EE" w:rsidP="00224B6C">
      <w:pPr>
        <w:pStyle w:val="Heading1"/>
      </w:pPr>
      <w:r w:rsidRPr="00224B6C">
        <w:t xml:space="preserve">Acknowledgements </w:t>
      </w:r>
    </w:p>
    <w:p w14:paraId="106D39E2" w14:textId="77777777" w:rsidR="00EB75EE" w:rsidRDefault="00EB75EE" w:rsidP="00224B6C">
      <w:r>
        <w:t xml:space="preserve">The NNN is supported by the Commonwealth Department of Health to provide the AGSP. We thank the many laboratories, private and public, throughout Australia for referral of isolates for testing. </w:t>
      </w:r>
    </w:p>
    <w:p w14:paraId="49525F9A" w14:textId="77777777" w:rsidR="00EB75EE" w:rsidRDefault="00EB75EE" w:rsidP="00224B6C">
      <w:r>
        <w:t xml:space="preserve">Members of the NNN in 2019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Ratan Kundu, Rodney Enriquez, Jasmin El-Nasser and Monica M Lahra (New South Wales Health Pathology Department of Microbiology, The Prince of Wales Hospital, Randwick, New South Wales and School of Medical Sciences, Faculty of Medicine, the University of New South Wales, Kensington, NSW Australia); Kerrie Stevens, Samantha Tawil,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and Susan Bradbury and Peter Collignon (Microbiology Department, The Canberra Hospital, Garran, Australian Capital Territory).</w:t>
      </w:r>
    </w:p>
    <w:p w14:paraId="782A823D" w14:textId="77777777" w:rsidR="009371C4" w:rsidRDefault="009371C4">
      <w:pPr>
        <w:rPr>
          <w:rFonts w:asciiTheme="majorHAnsi" w:eastAsiaTheme="majorEastAsia" w:hAnsiTheme="majorHAnsi" w:cstheme="majorBidi"/>
          <w:b/>
          <w:bCs/>
          <w:sz w:val="32"/>
          <w:szCs w:val="28"/>
        </w:rPr>
      </w:pPr>
      <w:r>
        <w:br w:type="page"/>
      </w:r>
    </w:p>
    <w:p w14:paraId="11D36290" w14:textId="77777777" w:rsidR="00EB75EE" w:rsidRPr="00224B6C" w:rsidRDefault="00EB75EE" w:rsidP="00224B6C">
      <w:pPr>
        <w:pStyle w:val="Heading1"/>
      </w:pPr>
      <w:r w:rsidRPr="00224B6C">
        <w:lastRenderedPageBreak/>
        <w:t xml:space="preserve">Author details </w:t>
      </w:r>
    </w:p>
    <w:p w14:paraId="7578E049" w14:textId="77777777" w:rsidR="009371C4" w:rsidRDefault="00EB75EE" w:rsidP="00224B6C">
      <w:pPr>
        <w:rPr>
          <w:vertAlign w:val="superscript"/>
        </w:rPr>
      </w:pPr>
      <w:r>
        <w:t>Monica M Lahra</w:t>
      </w:r>
      <w:r>
        <w:rPr>
          <w:vertAlign w:val="superscript"/>
        </w:rPr>
        <w:t xml:space="preserve">1, 2 </w:t>
      </w:r>
    </w:p>
    <w:p w14:paraId="394156A4" w14:textId="77777777" w:rsidR="009371C4" w:rsidRDefault="00EB75EE" w:rsidP="00224B6C">
      <w:pPr>
        <w:rPr>
          <w:vertAlign w:val="superscript"/>
        </w:rPr>
      </w:pPr>
      <w:r>
        <w:t>Masoud Shoushtari</w:t>
      </w:r>
      <w:r>
        <w:rPr>
          <w:vertAlign w:val="superscript"/>
        </w:rPr>
        <w:t xml:space="preserve">1 </w:t>
      </w:r>
    </w:p>
    <w:p w14:paraId="1AA5B0D1" w14:textId="77777777" w:rsidR="009371C4" w:rsidRDefault="00EB75EE" w:rsidP="00224B6C">
      <w:pPr>
        <w:rPr>
          <w:vertAlign w:val="superscript"/>
        </w:rPr>
      </w:pPr>
      <w:r>
        <w:t>CR Robert George</w:t>
      </w:r>
      <w:r>
        <w:rPr>
          <w:vertAlign w:val="superscript"/>
        </w:rPr>
        <w:t xml:space="preserve">3 </w:t>
      </w:r>
    </w:p>
    <w:p w14:paraId="617CF03B" w14:textId="77777777" w:rsidR="009371C4" w:rsidRDefault="00EB75EE" w:rsidP="00224B6C">
      <w:pPr>
        <w:rPr>
          <w:vertAlign w:val="superscript"/>
        </w:rPr>
      </w:pPr>
      <w:r>
        <w:t>Benjamin H Armstrong</w:t>
      </w:r>
      <w:r>
        <w:rPr>
          <w:vertAlign w:val="superscript"/>
        </w:rPr>
        <w:t xml:space="preserve">1,2 </w:t>
      </w:r>
    </w:p>
    <w:p w14:paraId="1118EB04" w14:textId="77777777" w:rsidR="00EB75EE" w:rsidRDefault="00EB75EE" w:rsidP="00224B6C">
      <w:r>
        <w:t>Tiffany R Hogan</w:t>
      </w:r>
      <w:r>
        <w:rPr>
          <w:vertAlign w:val="superscript"/>
        </w:rPr>
        <w:t xml:space="preserve">1 </w:t>
      </w:r>
    </w:p>
    <w:p w14:paraId="03FCBB4B" w14:textId="77777777" w:rsidR="00EB75EE" w:rsidRPr="00224B6C" w:rsidRDefault="00EB75EE" w:rsidP="00224B6C">
      <w:pPr>
        <w:pStyle w:val="ListParagraph"/>
        <w:numPr>
          <w:ilvl w:val="0"/>
          <w:numId w:val="9"/>
        </w:numPr>
        <w:rPr>
          <w:rFonts w:eastAsia="Times New Roman"/>
        </w:rPr>
      </w:pPr>
      <w:r w:rsidRPr="00224B6C">
        <w:rPr>
          <w:rFonts w:eastAsia="Times New Roman"/>
        </w:rPr>
        <w:t xml:space="preserve">Neisseria Reference Laboratory and World Health Organization Collaborating Centre for STI and AMR, Sydney. New South Wales Health Pathology, Microbiology, The Prince of Wales Hospital, Randwick, NSW, 2031, Australia. </w:t>
      </w:r>
    </w:p>
    <w:p w14:paraId="11A9E0A0" w14:textId="77777777" w:rsidR="00EB75EE" w:rsidRPr="00224B6C" w:rsidRDefault="00EB75EE" w:rsidP="00224B6C">
      <w:pPr>
        <w:pStyle w:val="ListParagraph"/>
        <w:numPr>
          <w:ilvl w:val="0"/>
          <w:numId w:val="9"/>
        </w:numPr>
        <w:rPr>
          <w:rFonts w:eastAsia="Times New Roman"/>
        </w:rPr>
      </w:pPr>
      <w:r w:rsidRPr="00224B6C">
        <w:rPr>
          <w:rFonts w:eastAsia="Times New Roman"/>
        </w:rPr>
        <w:t xml:space="preserve">School of Medical Sciences, Faculty of Medicine, The University of New South Wales, NSW, 2052, Australia. </w:t>
      </w:r>
    </w:p>
    <w:p w14:paraId="3D1B0C54" w14:textId="77777777" w:rsidR="00EB75EE" w:rsidRPr="00224B6C" w:rsidRDefault="00EB75EE" w:rsidP="00224B6C">
      <w:pPr>
        <w:pStyle w:val="ListParagraph"/>
        <w:numPr>
          <w:ilvl w:val="0"/>
          <w:numId w:val="9"/>
        </w:numPr>
        <w:rPr>
          <w:rFonts w:eastAsia="Times New Roman"/>
        </w:rPr>
      </w:pPr>
      <w:r w:rsidRPr="00224B6C">
        <w:rPr>
          <w:rFonts w:eastAsia="Times New Roman"/>
        </w:rPr>
        <w:t xml:space="preserve">New South Wales Health Pathology, Microbiology, John Hunter Hospital, New Lambton Heights, NSW, 2305, Australia. </w:t>
      </w:r>
    </w:p>
    <w:p w14:paraId="51B4C0D1" w14:textId="77777777" w:rsidR="009F492B" w:rsidRDefault="009F492B">
      <w:pPr>
        <w:rPr>
          <w:rFonts w:asciiTheme="majorHAnsi" w:eastAsiaTheme="majorEastAsia" w:hAnsiTheme="majorHAnsi" w:cstheme="majorBidi"/>
          <w:b/>
          <w:bCs/>
          <w:sz w:val="26"/>
          <w:szCs w:val="26"/>
        </w:rPr>
      </w:pPr>
    </w:p>
    <w:p w14:paraId="1E55E4A6" w14:textId="77777777" w:rsidR="00EB75EE" w:rsidRPr="00224B6C" w:rsidRDefault="00EB75EE" w:rsidP="00224B6C">
      <w:pPr>
        <w:pStyle w:val="Heading2"/>
      </w:pPr>
      <w:r w:rsidRPr="00224B6C">
        <w:t xml:space="preserve">Corresponding author </w:t>
      </w:r>
    </w:p>
    <w:p w14:paraId="60317C29" w14:textId="77777777" w:rsidR="00880842" w:rsidRDefault="00880842" w:rsidP="009F492B"/>
    <w:p w14:paraId="65751226" w14:textId="77777777" w:rsidR="009371C4" w:rsidRDefault="00880842" w:rsidP="009F492B">
      <w:r>
        <w:t>Professor Monica M Lahra,</w:t>
      </w:r>
    </w:p>
    <w:p w14:paraId="5746332A" w14:textId="77777777" w:rsidR="00EB75EE" w:rsidRDefault="00EB75EE" w:rsidP="009F492B">
      <w:r>
        <w:t xml:space="preserve">World Health Organization Collaborating Centre for STI and AMR, Sydney and, Neisseria Reference Laboratory, NSW Health Pathology, Microbiology, The Prince of Wales Hospital, Randwick, NSW, 2031. School of Medical Sciences, Faculty of Medicine, the University of New South Wales, NSW, 2052 Australia. </w:t>
      </w:r>
    </w:p>
    <w:p w14:paraId="3B25B9A9" w14:textId="77777777" w:rsidR="009371C4" w:rsidRDefault="00EB75EE" w:rsidP="009F492B">
      <w:r>
        <w:t xml:space="preserve">Telephone: +61 2 9382 9054. </w:t>
      </w:r>
    </w:p>
    <w:p w14:paraId="31505559" w14:textId="77777777" w:rsidR="009371C4" w:rsidRDefault="00EB75EE" w:rsidP="009F492B">
      <w:r>
        <w:t xml:space="preserve">Facsimile: +61 2 9382 9210. </w:t>
      </w:r>
    </w:p>
    <w:p w14:paraId="71E6FFB6" w14:textId="77777777" w:rsidR="00EB75EE" w:rsidRDefault="00EB75EE" w:rsidP="009F492B">
      <w:r>
        <w:t xml:space="preserve">Email: monica.lahra@health.nsw.gov.au </w:t>
      </w:r>
    </w:p>
    <w:p w14:paraId="45ECD4CA" w14:textId="77777777" w:rsidR="009371C4" w:rsidRDefault="009371C4">
      <w:pPr>
        <w:rPr>
          <w:rFonts w:asciiTheme="majorHAnsi" w:eastAsiaTheme="majorEastAsia" w:hAnsiTheme="majorHAnsi" w:cstheme="majorBidi"/>
          <w:b/>
          <w:bCs/>
          <w:sz w:val="32"/>
          <w:szCs w:val="28"/>
        </w:rPr>
      </w:pPr>
      <w:r>
        <w:br w:type="page"/>
      </w:r>
    </w:p>
    <w:p w14:paraId="29AC23F9" w14:textId="77777777" w:rsidR="00EB75EE" w:rsidRPr="00224B6C" w:rsidRDefault="00EB75EE" w:rsidP="00224B6C">
      <w:pPr>
        <w:pStyle w:val="Heading1"/>
      </w:pPr>
      <w:r w:rsidRPr="00224B6C">
        <w:lastRenderedPageBreak/>
        <w:t xml:space="preserve">References </w:t>
      </w:r>
    </w:p>
    <w:p w14:paraId="4BECD216"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George CR, Whiley DM. The Australian Gonococcal Surveillance Programme 1979–2017. </w:t>
      </w:r>
      <w:r w:rsidRPr="009107A1">
        <w:rPr>
          <w:rStyle w:val="Emphasis"/>
          <w:rFonts w:eastAsia="Times New Roman"/>
          <w:b w:val="0"/>
        </w:rPr>
        <w:t>Microbiol Aust</w:t>
      </w:r>
      <w:r w:rsidRPr="009107A1">
        <w:rPr>
          <w:rFonts w:eastAsia="Times New Roman"/>
        </w:rPr>
        <w:t xml:space="preserve">. 2017;38(4):175–9. </w:t>
      </w:r>
    </w:p>
    <w:p w14:paraId="57446C89"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Centers</w:t>
      </w:r>
      <w:proofErr w:type="spellEnd"/>
      <w:r w:rsidRPr="009107A1">
        <w:rPr>
          <w:rFonts w:eastAsia="Times New Roman"/>
        </w:rPr>
        <w:t xml:space="preserve"> for Disease Control and Prevention. </w:t>
      </w:r>
      <w:r w:rsidRPr="009107A1">
        <w:rPr>
          <w:rStyle w:val="Emphasis"/>
          <w:rFonts w:eastAsia="Times New Roman"/>
          <w:b w:val="0"/>
        </w:rPr>
        <w:t>Antibiotic Resistance Threats in the United States</w:t>
      </w:r>
      <w:r w:rsidRPr="009107A1">
        <w:rPr>
          <w:rFonts w:eastAsia="Times New Roman"/>
        </w:rPr>
        <w:t xml:space="preserve">. Atlanta: US Department of Health and Human Services, </w:t>
      </w:r>
      <w:proofErr w:type="spellStart"/>
      <w:r w:rsidRPr="009107A1">
        <w:rPr>
          <w:rFonts w:eastAsia="Times New Roman"/>
        </w:rPr>
        <w:t>Centers</w:t>
      </w:r>
      <w:proofErr w:type="spellEnd"/>
      <w:r w:rsidRPr="009107A1">
        <w:rPr>
          <w:rFonts w:eastAsia="Times New Roman"/>
        </w:rPr>
        <w:t xml:space="preserve"> for Disease Control and Prevention, 2013. </w:t>
      </w:r>
    </w:p>
    <w:p w14:paraId="770495BD"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Martin I, </w:t>
      </w:r>
      <w:proofErr w:type="spellStart"/>
      <w:r w:rsidRPr="009107A1">
        <w:rPr>
          <w:rFonts w:eastAsia="Times New Roman"/>
        </w:rPr>
        <w:t>Demczuk</w:t>
      </w:r>
      <w:proofErr w:type="spellEnd"/>
      <w:r w:rsidRPr="009107A1">
        <w:rPr>
          <w:rFonts w:eastAsia="Times New Roman"/>
        </w:rPr>
        <w:t xml:space="preserve"> W, Jennison AV, Lee KI, Nakayama SI et al. Cooperative recognition of internationally disseminated ceftriaxone-resistant </w:t>
      </w:r>
      <w:r w:rsidRPr="009107A1">
        <w:rPr>
          <w:rStyle w:val="Emphasis"/>
          <w:rFonts w:eastAsia="Times New Roman"/>
          <w:b w:val="0"/>
        </w:rPr>
        <w:t>Neisseria gonorrhoeae</w:t>
      </w:r>
      <w:r w:rsidRPr="009107A1">
        <w:rPr>
          <w:rFonts w:eastAsia="Times New Roman"/>
        </w:rPr>
        <w:t xml:space="preserve"> strain. </w:t>
      </w:r>
      <w:proofErr w:type="spellStart"/>
      <w:r w:rsidRPr="009107A1">
        <w:rPr>
          <w:rStyle w:val="Emphasis"/>
          <w:rFonts w:eastAsia="Times New Roman"/>
          <w:b w:val="0"/>
        </w:rPr>
        <w:t>Emerg</w:t>
      </w:r>
      <w:proofErr w:type="spellEnd"/>
      <w:r w:rsidRPr="009107A1">
        <w:rPr>
          <w:rStyle w:val="Emphasis"/>
          <w:rFonts w:eastAsia="Times New Roman"/>
          <w:b w:val="0"/>
        </w:rPr>
        <w:t xml:space="preserve"> Infect Dis</w:t>
      </w:r>
      <w:r w:rsidRPr="009107A1">
        <w:rPr>
          <w:rFonts w:eastAsia="Times New Roman"/>
        </w:rPr>
        <w:t xml:space="preserve">. 2018;24(4):735–40. </w:t>
      </w:r>
    </w:p>
    <w:p w14:paraId="05F168ED"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Whiley DM, Jennison A, Pearson J, Lahra MM. Genetic characterisation of </w:t>
      </w:r>
      <w:r w:rsidRPr="009107A1">
        <w:rPr>
          <w:rStyle w:val="Emphasis"/>
          <w:rFonts w:eastAsia="Times New Roman"/>
          <w:b w:val="0"/>
        </w:rPr>
        <w:t>Neisseria gonorrhoeae</w:t>
      </w:r>
      <w:r w:rsidRPr="009107A1">
        <w:rPr>
          <w:rFonts w:eastAsia="Times New Roman"/>
        </w:rPr>
        <w:t xml:space="preserve"> resistant to both ceftriaxone and azithromycin. </w:t>
      </w:r>
      <w:r w:rsidRPr="009107A1">
        <w:rPr>
          <w:rStyle w:val="Emphasis"/>
          <w:rFonts w:eastAsia="Times New Roman"/>
          <w:b w:val="0"/>
        </w:rPr>
        <w:t>Lancet Infect Dis</w:t>
      </w:r>
      <w:r w:rsidRPr="009107A1">
        <w:rPr>
          <w:rFonts w:eastAsia="Times New Roman"/>
        </w:rPr>
        <w:t xml:space="preserve">. 2018;18(7):717–8. </w:t>
      </w:r>
    </w:p>
    <w:p w14:paraId="195309EB"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European Centre for Disease Prevention and Control (ECDC). Rapid risk assessment: extensively drug-resistant (XDR) </w:t>
      </w:r>
      <w:r w:rsidRPr="009107A1">
        <w:rPr>
          <w:rStyle w:val="Emphasis"/>
          <w:rFonts w:eastAsia="Times New Roman"/>
          <w:b w:val="0"/>
        </w:rPr>
        <w:t>Neisseria gonorrhoeae</w:t>
      </w:r>
      <w:r w:rsidRPr="009107A1">
        <w:rPr>
          <w:rFonts w:eastAsia="Times New Roman"/>
        </w:rPr>
        <w:t xml:space="preserve"> in the United Kingdom and Australia – 7 May 2018. Stockholm: ECDC; 2018. Available from: https://www.ecdc.europa.eu/en/publications-data/rapid-risk-assessment-extensively-drug-resistant-xdr-neisseria-gonorrhoeae-united. </w:t>
      </w:r>
    </w:p>
    <w:p w14:paraId="21B02A3B"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Tapsall</w:t>
      </w:r>
      <w:proofErr w:type="spellEnd"/>
      <w:r w:rsidRPr="009107A1">
        <w:rPr>
          <w:rFonts w:eastAsia="Times New Roman"/>
        </w:rPr>
        <w:t xml:space="preserve"> JW, </w:t>
      </w:r>
      <w:proofErr w:type="spellStart"/>
      <w:r w:rsidRPr="009107A1">
        <w:rPr>
          <w:rFonts w:eastAsia="Times New Roman"/>
        </w:rPr>
        <w:t>Limnios</w:t>
      </w:r>
      <w:proofErr w:type="spellEnd"/>
      <w:r w:rsidRPr="009107A1">
        <w:rPr>
          <w:rFonts w:eastAsia="Times New Roman"/>
        </w:rPr>
        <w:t xml:space="preserve"> EA, Murphy DM. Analysis of trends in antimicrobial resistance in </w:t>
      </w:r>
      <w:r w:rsidRPr="009107A1">
        <w:rPr>
          <w:rStyle w:val="Emphasis"/>
          <w:rFonts w:eastAsia="Times New Roman"/>
          <w:b w:val="0"/>
        </w:rPr>
        <w:t xml:space="preserve">Neisseria gonorrhoeae </w:t>
      </w:r>
      <w:r w:rsidRPr="009107A1">
        <w:rPr>
          <w:rFonts w:eastAsia="Times New Roman"/>
        </w:rPr>
        <w:t xml:space="preserve">isolated in Australia, 1997–2006. </w:t>
      </w:r>
      <w:r w:rsidRPr="009107A1">
        <w:rPr>
          <w:rStyle w:val="Emphasis"/>
          <w:rFonts w:eastAsia="Times New Roman"/>
          <w:b w:val="0"/>
        </w:rPr>
        <w:t xml:space="preserve">J Antimicrob </w:t>
      </w:r>
      <w:proofErr w:type="spellStart"/>
      <w:r w:rsidRPr="009107A1">
        <w:rPr>
          <w:rStyle w:val="Emphasis"/>
          <w:rFonts w:eastAsia="Times New Roman"/>
          <w:b w:val="0"/>
        </w:rPr>
        <w:t>Chemother</w:t>
      </w:r>
      <w:proofErr w:type="spellEnd"/>
      <w:r w:rsidRPr="009107A1">
        <w:rPr>
          <w:rFonts w:eastAsia="Times New Roman"/>
        </w:rPr>
        <w:t xml:space="preserve">. 2008;61(1):150–5. </w:t>
      </w:r>
    </w:p>
    <w:p w14:paraId="7E50D333"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Hanrahan JK, Hogan TR, Buckley C, </w:t>
      </w:r>
      <w:proofErr w:type="spellStart"/>
      <w:r w:rsidRPr="009107A1">
        <w:rPr>
          <w:rFonts w:eastAsia="Times New Roman"/>
        </w:rPr>
        <w:t>Trembizki</w:t>
      </w:r>
      <w:proofErr w:type="spellEnd"/>
      <w:r w:rsidRPr="009107A1">
        <w:rPr>
          <w:rFonts w:eastAsia="Times New Roman"/>
        </w:rPr>
        <w:t xml:space="preserve"> E, Mitchell H, Lau CL et al. Emergence and spread of ciprofloxacin-resistant </w:t>
      </w:r>
      <w:r w:rsidRPr="009107A1">
        <w:rPr>
          <w:rStyle w:val="Emphasis"/>
          <w:rFonts w:eastAsia="Times New Roman"/>
          <w:b w:val="0"/>
        </w:rPr>
        <w:t>Neisseria gonorrhoeae</w:t>
      </w:r>
      <w:r w:rsidRPr="009107A1">
        <w:rPr>
          <w:rFonts w:eastAsia="Times New Roman"/>
        </w:rPr>
        <w:t xml:space="preserve"> in New South Wales, Australia: lessons from history. </w:t>
      </w:r>
      <w:r w:rsidRPr="009107A1">
        <w:rPr>
          <w:rStyle w:val="Emphasis"/>
          <w:rFonts w:eastAsia="Times New Roman"/>
          <w:b w:val="0"/>
        </w:rPr>
        <w:t xml:space="preserve">J Antimicrob </w:t>
      </w:r>
      <w:proofErr w:type="spellStart"/>
      <w:r w:rsidRPr="009107A1">
        <w:rPr>
          <w:rStyle w:val="Emphasis"/>
          <w:rFonts w:eastAsia="Times New Roman"/>
          <w:b w:val="0"/>
        </w:rPr>
        <w:t>Chemother</w:t>
      </w:r>
      <w:proofErr w:type="spellEnd"/>
      <w:r w:rsidRPr="009107A1">
        <w:rPr>
          <w:rFonts w:eastAsia="Times New Roman"/>
        </w:rPr>
        <w:t xml:space="preserve">. 2019;74(8):2214–9. </w:t>
      </w:r>
    </w:p>
    <w:p w14:paraId="7DC34D73"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Kirby Institute. </w:t>
      </w:r>
      <w:r w:rsidRPr="009107A1">
        <w:rPr>
          <w:rStyle w:val="Emphasis"/>
          <w:rFonts w:eastAsia="Times New Roman"/>
          <w:b w:val="0"/>
        </w:rPr>
        <w:t>HIV, viral hepatitis and sexually transmissible infections in Australia: Annual Surveillance Report 2018</w:t>
      </w:r>
      <w:r w:rsidRPr="009107A1">
        <w:rPr>
          <w:rFonts w:eastAsia="Times New Roman"/>
        </w:rPr>
        <w:t xml:space="preserve">. Sydney: Kirby Institute, UNSW Sydney, 2018. Available from: https://kirby.unsw.edu.au/sites/default/files/kirby/report/KI_Annual-Surveillance-Report-2018.pdf. </w:t>
      </w:r>
    </w:p>
    <w:p w14:paraId="487F33C8"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Enriquez R. Australian Gonococcal Surveillance Programme annual report, 2016. </w:t>
      </w:r>
      <w:r w:rsidRPr="009107A1">
        <w:rPr>
          <w:rStyle w:val="Emphasis"/>
          <w:rFonts w:eastAsia="Times New Roman"/>
          <w:b w:val="0"/>
        </w:rPr>
        <w:t>Commun Dis Intell (2018)</w:t>
      </w:r>
      <w:r w:rsidRPr="009107A1">
        <w:rPr>
          <w:rFonts w:eastAsia="Times New Roman"/>
        </w:rPr>
        <w:t xml:space="preserve">. 2018;42:S2209-6051(18)00013-1. </w:t>
      </w:r>
    </w:p>
    <w:p w14:paraId="52F25500"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Family Planning Association. Sexually transmitted infections factsheet. [Internet.] Derby: United Kingdom Family Planning Association; 2016. Available from: https://www.fpa.org.uk/factsheets/sexually-transmitted-infections. </w:t>
      </w:r>
    </w:p>
    <w:p w14:paraId="35B3B692"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Centers</w:t>
      </w:r>
      <w:proofErr w:type="spellEnd"/>
      <w:r w:rsidRPr="009107A1">
        <w:rPr>
          <w:rFonts w:eastAsia="Times New Roman"/>
        </w:rPr>
        <w:t xml:space="preserve"> for Disease Control and Prevention (CDC). </w:t>
      </w:r>
      <w:r w:rsidRPr="009107A1">
        <w:rPr>
          <w:rStyle w:val="Emphasis"/>
          <w:rFonts w:eastAsia="Times New Roman"/>
          <w:b w:val="0"/>
        </w:rPr>
        <w:t>2016 Sexually Transmitted Diseases Surveillance Report</w:t>
      </w:r>
      <w:r w:rsidRPr="009107A1">
        <w:rPr>
          <w:rFonts w:eastAsia="Times New Roman"/>
        </w:rPr>
        <w:t xml:space="preserve">. Atlanta: United States Department of Health and Human Services, CDC; 2017. </w:t>
      </w:r>
    </w:p>
    <w:p w14:paraId="4A6FC326"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ECDC. Annual epidemiological report 2016 – gonorrhoea. [Internet.] Stockholm: ECDC; 2016. Available from: https://ecdc.europa.eu/sites/portal/files/documents/Gonorrhoea%20AER_0.pdf. </w:t>
      </w:r>
    </w:p>
    <w:p w14:paraId="3C9E66EA"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Government of Canada. </w:t>
      </w:r>
      <w:proofErr w:type="spellStart"/>
      <w:r w:rsidRPr="009107A1">
        <w:rPr>
          <w:rFonts w:eastAsia="Times New Roman"/>
        </w:rPr>
        <w:t>Gonorrhea</w:t>
      </w:r>
      <w:proofErr w:type="spellEnd"/>
      <w:r w:rsidRPr="009107A1">
        <w:rPr>
          <w:rFonts w:eastAsia="Times New Roman"/>
        </w:rPr>
        <w:t xml:space="preserve">. [Internet.] Ottawa: Government of Canada, 2017. Available from: https://www.canada.ca/en/public-health/services/diseases/gonorrhea.html. </w:t>
      </w:r>
    </w:p>
    <w:p w14:paraId="23DEFE3E"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Goire</w:t>
      </w:r>
      <w:proofErr w:type="spellEnd"/>
      <w:r w:rsidRPr="009107A1">
        <w:rPr>
          <w:rFonts w:eastAsia="Times New Roman"/>
        </w:rPr>
        <w:t xml:space="preserve"> N, Freeman K, </w:t>
      </w:r>
      <w:proofErr w:type="spellStart"/>
      <w:r w:rsidRPr="009107A1">
        <w:rPr>
          <w:rFonts w:eastAsia="Times New Roman"/>
        </w:rPr>
        <w:t>Tapsall</w:t>
      </w:r>
      <w:proofErr w:type="spellEnd"/>
      <w:r w:rsidRPr="009107A1">
        <w:rPr>
          <w:rFonts w:eastAsia="Times New Roman"/>
        </w:rPr>
        <w:t xml:space="preserve"> JW, Lambert SB, Nissen MD, </w:t>
      </w:r>
      <w:proofErr w:type="spellStart"/>
      <w:r w:rsidRPr="009107A1">
        <w:rPr>
          <w:rFonts w:eastAsia="Times New Roman"/>
        </w:rPr>
        <w:t>Sloots</w:t>
      </w:r>
      <w:proofErr w:type="spellEnd"/>
      <w:r w:rsidRPr="009107A1">
        <w:rPr>
          <w:rFonts w:eastAsia="Times New Roman"/>
        </w:rPr>
        <w:t xml:space="preserve"> TP et al. Enhancing gonococcal antimicrobial resistance surveillance: a real-time PCR assay for detection of penicillinase-producing Neisseria gonorrhoeae by use of </w:t>
      </w:r>
      <w:proofErr w:type="spellStart"/>
      <w:r w:rsidRPr="009107A1">
        <w:rPr>
          <w:rFonts w:eastAsia="Times New Roman"/>
        </w:rPr>
        <w:t>noncultured</w:t>
      </w:r>
      <w:proofErr w:type="spellEnd"/>
      <w:r w:rsidRPr="009107A1">
        <w:rPr>
          <w:rFonts w:eastAsia="Times New Roman"/>
        </w:rPr>
        <w:t xml:space="preserve"> clinical samples. </w:t>
      </w:r>
      <w:r w:rsidRPr="009107A1">
        <w:rPr>
          <w:rStyle w:val="Emphasis"/>
          <w:rFonts w:eastAsia="Times New Roman"/>
          <w:b w:val="0"/>
        </w:rPr>
        <w:t>J Clin Microbiol</w:t>
      </w:r>
      <w:r w:rsidRPr="009107A1">
        <w:rPr>
          <w:rFonts w:eastAsia="Times New Roman"/>
        </w:rPr>
        <w:t xml:space="preserve">. 2011;49(2):513–8. </w:t>
      </w:r>
    </w:p>
    <w:p w14:paraId="3CCC6531"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Speers DJ, Fisk RE, </w:t>
      </w:r>
      <w:proofErr w:type="spellStart"/>
      <w:r w:rsidRPr="009107A1">
        <w:rPr>
          <w:rFonts w:eastAsia="Times New Roman"/>
        </w:rPr>
        <w:t>Goire</w:t>
      </w:r>
      <w:proofErr w:type="spellEnd"/>
      <w:r w:rsidRPr="009107A1">
        <w:rPr>
          <w:rFonts w:eastAsia="Times New Roman"/>
        </w:rPr>
        <w:t xml:space="preserve"> N, Mak DB. Non-culture Neisseria gonorrhoeae molecular penicillinase production surveillance demonstrates the long-term success of empirical dual therapy and informs gonorrhoea management guidelines in a highly endemic setting. </w:t>
      </w:r>
      <w:r w:rsidRPr="009107A1">
        <w:rPr>
          <w:rStyle w:val="Emphasis"/>
          <w:rFonts w:eastAsia="Times New Roman"/>
          <w:b w:val="0"/>
        </w:rPr>
        <w:t xml:space="preserve">J Antimicrob </w:t>
      </w:r>
      <w:proofErr w:type="spellStart"/>
      <w:r w:rsidRPr="009107A1">
        <w:rPr>
          <w:rStyle w:val="Emphasis"/>
          <w:rFonts w:eastAsia="Times New Roman"/>
          <w:b w:val="0"/>
        </w:rPr>
        <w:t>Chemother</w:t>
      </w:r>
      <w:proofErr w:type="spellEnd"/>
      <w:r w:rsidRPr="009107A1">
        <w:rPr>
          <w:rFonts w:eastAsia="Times New Roman"/>
        </w:rPr>
        <w:t xml:space="preserve">. 2014;69(5):1243–7. </w:t>
      </w:r>
    </w:p>
    <w:p w14:paraId="0852EC62"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Tapsall</w:t>
      </w:r>
      <w:proofErr w:type="spellEnd"/>
      <w:r w:rsidRPr="009107A1">
        <w:rPr>
          <w:rFonts w:eastAsia="Times New Roman"/>
        </w:rPr>
        <w:t xml:space="preserve"> J, World Health Organization (WHO) Anti-Infective Drug Resistance Surveillance and Containment Team. </w:t>
      </w:r>
      <w:r w:rsidRPr="009107A1">
        <w:rPr>
          <w:rStyle w:val="Emphasis"/>
          <w:rFonts w:eastAsia="Times New Roman"/>
          <w:b w:val="0"/>
        </w:rPr>
        <w:t>Antimicrobial resistance in Neisseria gonorrhoeae</w:t>
      </w:r>
      <w:r w:rsidRPr="009107A1">
        <w:rPr>
          <w:rFonts w:eastAsia="Times New Roman"/>
        </w:rPr>
        <w:t xml:space="preserve">. Geneva: WHO; 2001. Available from: https://apps.who.int/iris/handle/10665/66963. </w:t>
      </w:r>
    </w:p>
    <w:p w14:paraId="70432E6F"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WHO, Department of Reproductive Health and Research. </w:t>
      </w:r>
      <w:r w:rsidRPr="009107A1">
        <w:rPr>
          <w:rStyle w:val="Emphasis"/>
          <w:rFonts w:eastAsia="Times New Roman"/>
          <w:b w:val="0"/>
        </w:rPr>
        <w:t>Global action plan to control the spread and impact of antimicrobial resistance in Neisseria gonorrhoeae</w:t>
      </w:r>
      <w:r w:rsidRPr="009107A1">
        <w:rPr>
          <w:rFonts w:eastAsia="Times New Roman"/>
        </w:rPr>
        <w:t xml:space="preserve">. Geneva: WHO; 2012. </w:t>
      </w:r>
    </w:p>
    <w:p w14:paraId="5C59596D" w14:textId="77777777" w:rsidR="00EB75EE" w:rsidRPr="009107A1" w:rsidRDefault="00EB75EE" w:rsidP="009107A1">
      <w:pPr>
        <w:pStyle w:val="ListParagraph"/>
        <w:numPr>
          <w:ilvl w:val="0"/>
          <w:numId w:val="10"/>
        </w:numPr>
        <w:rPr>
          <w:rFonts w:eastAsia="Times New Roman"/>
        </w:rPr>
      </w:pPr>
      <w:r w:rsidRPr="009107A1">
        <w:rPr>
          <w:rFonts w:eastAsia="Times New Roman"/>
        </w:rPr>
        <w:lastRenderedPageBreak/>
        <w:t xml:space="preserve">Bell SM, Pham JN, Rafferty DL, Allerton JK. </w:t>
      </w:r>
      <w:r w:rsidRPr="009107A1">
        <w:rPr>
          <w:rStyle w:val="Emphasis"/>
          <w:rFonts w:eastAsia="Times New Roman"/>
          <w:b w:val="0"/>
        </w:rPr>
        <w:t>Antibiotic susceptibility testing by the CDS method: A manual for medical and veterinary laboratories</w:t>
      </w:r>
      <w:r w:rsidRPr="009107A1">
        <w:rPr>
          <w:rFonts w:eastAsia="Times New Roman"/>
        </w:rPr>
        <w:t xml:space="preserve">. 8th ed. Kogarah, NSW: South Eastern Area Laboratory Services, 2016. </w:t>
      </w:r>
    </w:p>
    <w:p w14:paraId="6AC8833C"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Tapsall</w:t>
      </w:r>
      <w:proofErr w:type="spellEnd"/>
      <w:r w:rsidRPr="009107A1">
        <w:rPr>
          <w:rFonts w:eastAsia="Times New Roman"/>
        </w:rPr>
        <w:t xml:space="preserve"> JW, Australian Gonococcal Surveillance Programme. Use of a quality assurance scheme in a long-term multicentric study of antibiotic susceptibility of </w:t>
      </w:r>
      <w:r w:rsidRPr="009107A1">
        <w:rPr>
          <w:rStyle w:val="Emphasis"/>
          <w:rFonts w:eastAsia="Times New Roman"/>
          <w:b w:val="0"/>
        </w:rPr>
        <w:t>Neisseria gonorrhoeae</w:t>
      </w:r>
      <w:r w:rsidRPr="009107A1">
        <w:rPr>
          <w:rFonts w:eastAsia="Times New Roman"/>
        </w:rPr>
        <w:t xml:space="preserve">. </w:t>
      </w:r>
      <w:proofErr w:type="spellStart"/>
      <w:r w:rsidRPr="009107A1">
        <w:rPr>
          <w:rStyle w:val="Emphasis"/>
          <w:rFonts w:eastAsia="Times New Roman"/>
          <w:b w:val="0"/>
        </w:rPr>
        <w:t>Genitourin</w:t>
      </w:r>
      <w:proofErr w:type="spellEnd"/>
      <w:r w:rsidRPr="009107A1">
        <w:rPr>
          <w:rStyle w:val="Emphasis"/>
          <w:rFonts w:eastAsia="Times New Roman"/>
          <w:b w:val="0"/>
        </w:rPr>
        <w:t xml:space="preserve"> Med</w:t>
      </w:r>
      <w:r w:rsidRPr="009107A1">
        <w:rPr>
          <w:rFonts w:eastAsia="Times New Roman"/>
        </w:rPr>
        <w:t xml:space="preserve">. 1990;66(1):8–13. </w:t>
      </w:r>
    </w:p>
    <w:p w14:paraId="295F906E"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Australian Government Department of Health. National Notifiable Diseases Surveillance System. [Internet.] Canberra: Australian Government, Department of Health; 2020. Available from: http://www9.health.gov.au/cda/source/cda-index.cfm. </w:t>
      </w:r>
    </w:p>
    <w:p w14:paraId="52349AB6"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Unemo</w:t>
      </w:r>
      <w:proofErr w:type="spellEnd"/>
      <w:r w:rsidRPr="009107A1">
        <w:rPr>
          <w:rFonts w:eastAsia="Times New Roman"/>
        </w:rPr>
        <w:t xml:space="preserve"> M, </w:t>
      </w:r>
      <w:proofErr w:type="spellStart"/>
      <w:r w:rsidRPr="009107A1">
        <w:rPr>
          <w:rFonts w:eastAsia="Times New Roman"/>
        </w:rPr>
        <w:t>Fasth</w:t>
      </w:r>
      <w:proofErr w:type="spellEnd"/>
      <w:r w:rsidRPr="009107A1">
        <w:rPr>
          <w:rFonts w:eastAsia="Times New Roman"/>
        </w:rPr>
        <w:t xml:space="preserve"> O, </w:t>
      </w:r>
      <w:proofErr w:type="spellStart"/>
      <w:r w:rsidRPr="009107A1">
        <w:rPr>
          <w:rFonts w:eastAsia="Times New Roman"/>
        </w:rPr>
        <w:t>Fredlund</w:t>
      </w:r>
      <w:proofErr w:type="spellEnd"/>
      <w:r w:rsidRPr="009107A1">
        <w:rPr>
          <w:rFonts w:eastAsia="Times New Roman"/>
        </w:rPr>
        <w:t xml:space="preserve"> H, </w:t>
      </w:r>
      <w:proofErr w:type="spellStart"/>
      <w:r w:rsidRPr="009107A1">
        <w:rPr>
          <w:rFonts w:eastAsia="Times New Roman"/>
        </w:rPr>
        <w:t>Limnios</w:t>
      </w:r>
      <w:proofErr w:type="spellEnd"/>
      <w:r w:rsidRPr="009107A1">
        <w:rPr>
          <w:rFonts w:eastAsia="Times New Roman"/>
        </w:rPr>
        <w:t xml:space="preserve"> A, </w:t>
      </w:r>
      <w:proofErr w:type="spellStart"/>
      <w:r w:rsidRPr="009107A1">
        <w:rPr>
          <w:rFonts w:eastAsia="Times New Roman"/>
        </w:rPr>
        <w:t>Tapsall</w:t>
      </w:r>
      <w:proofErr w:type="spellEnd"/>
      <w:r w:rsidRPr="009107A1">
        <w:rPr>
          <w:rFonts w:eastAsia="Times New Roman"/>
        </w:rPr>
        <w:t xml:space="preserve"> J. Phenotypic and genetic characterization of the 2008 WHO </w:t>
      </w:r>
      <w:r w:rsidRPr="009107A1">
        <w:rPr>
          <w:rStyle w:val="Emphasis"/>
          <w:rFonts w:eastAsia="Times New Roman"/>
          <w:b w:val="0"/>
        </w:rPr>
        <w:t xml:space="preserve">Neisseria gonorrhoeae </w:t>
      </w:r>
      <w:r w:rsidRPr="009107A1">
        <w:rPr>
          <w:rFonts w:eastAsia="Times New Roman"/>
        </w:rPr>
        <w:t xml:space="preserve">reference strain panel intended for global quality assurance and quality control of gonococcal antimicrobial resistance (AMR) surveillance for public health purposes. </w:t>
      </w:r>
      <w:r w:rsidRPr="009107A1">
        <w:rPr>
          <w:rStyle w:val="Emphasis"/>
          <w:rFonts w:eastAsia="Times New Roman"/>
          <w:b w:val="0"/>
        </w:rPr>
        <w:t xml:space="preserve">J Antimicrob </w:t>
      </w:r>
      <w:proofErr w:type="spellStart"/>
      <w:r w:rsidRPr="009107A1">
        <w:rPr>
          <w:rStyle w:val="Emphasis"/>
          <w:rFonts w:eastAsia="Times New Roman"/>
          <w:b w:val="0"/>
        </w:rPr>
        <w:t>Chemother</w:t>
      </w:r>
      <w:proofErr w:type="spellEnd"/>
      <w:r w:rsidRPr="009107A1">
        <w:rPr>
          <w:rFonts w:eastAsia="Times New Roman"/>
        </w:rPr>
        <w:t xml:space="preserve">. 2009;63(6):1142–51. </w:t>
      </w:r>
    </w:p>
    <w:p w14:paraId="47200E49"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Ohnishi M, </w:t>
      </w:r>
      <w:proofErr w:type="spellStart"/>
      <w:r w:rsidRPr="009107A1">
        <w:rPr>
          <w:rFonts w:eastAsia="Times New Roman"/>
        </w:rPr>
        <w:t>Golparian</w:t>
      </w:r>
      <w:proofErr w:type="spellEnd"/>
      <w:r w:rsidRPr="009107A1">
        <w:rPr>
          <w:rFonts w:eastAsia="Times New Roman"/>
        </w:rPr>
        <w:t xml:space="preserve"> D, </w:t>
      </w:r>
      <w:proofErr w:type="spellStart"/>
      <w:r w:rsidRPr="009107A1">
        <w:rPr>
          <w:rFonts w:eastAsia="Times New Roman"/>
        </w:rPr>
        <w:t>Shimuta</w:t>
      </w:r>
      <w:proofErr w:type="spellEnd"/>
      <w:r w:rsidRPr="009107A1">
        <w:rPr>
          <w:rFonts w:eastAsia="Times New Roman"/>
        </w:rPr>
        <w:t xml:space="preserve"> K, </w:t>
      </w:r>
      <w:proofErr w:type="spellStart"/>
      <w:r w:rsidRPr="009107A1">
        <w:rPr>
          <w:rFonts w:eastAsia="Times New Roman"/>
        </w:rPr>
        <w:t>Saika</w:t>
      </w:r>
      <w:proofErr w:type="spellEnd"/>
      <w:r w:rsidRPr="009107A1">
        <w:rPr>
          <w:rFonts w:eastAsia="Times New Roman"/>
        </w:rPr>
        <w:t xml:space="preserve"> T, </w:t>
      </w:r>
      <w:proofErr w:type="spellStart"/>
      <w:r w:rsidRPr="009107A1">
        <w:rPr>
          <w:rFonts w:eastAsia="Times New Roman"/>
        </w:rPr>
        <w:t>Hoshina</w:t>
      </w:r>
      <w:proofErr w:type="spellEnd"/>
      <w:r w:rsidRPr="009107A1">
        <w:rPr>
          <w:rFonts w:eastAsia="Times New Roman"/>
        </w:rPr>
        <w:t xml:space="preserve"> S, </w:t>
      </w:r>
      <w:proofErr w:type="spellStart"/>
      <w:r w:rsidRPr="009107A1">
        <w:rPr>
          <w:rFonts w:eastAsia="Times New Roman"/>
        </w:rPr>
        <w:t>Iwasaku</w:t>
      </w:r>
      <w:proofErr w:type="spellEnd"/>
      <w:r w:rsidRPr="009107A1">
        <w:rPr>
          <w:rFonts w:eastAsia="Times New Roman"/>
        </w:rPr>
        <w:t xml:space="preserve"> K et al. Is </w:t>
      </w:r>
      <w:r w:rsidRPr="009107A1">
        <w:rPr>
          <w:rStyle w:val="Emphasis"/>
          <w:rFonts w:eastAsia="Times New Roman"/>
          <w:b w:val="0"/>
        </w:rPr>
        <w:t xml:space="preserve">Neisseria gonorrhoeae </w:t>
      </w:r>
      <w:r w:rsidRPr="009107A1">
        <w:rPr>
          <w:rFonts w:eastAsia="Times New Roman"/>
        </w:rPr>
        <w:t xml:space="preserve">Initiating a future era of untreatable </w:t>
      </w:r>
      <w:proofErr w:type="spellStart"/>
      <w:proofErr w:type="gramStart"/>
      <w:r w:rsidRPr="009107A1">
        <w:rPr>
          <w:rFonts w:eastAsia="Times New Roman"/>
        </w:rPr>
        <w:t>gonorrhea</w:t>
      </w:r>
      <w:proofErr w:type="spellEnd"/>
      <w:r w:rsidRPr="009107A1">
        <w:rPr>
          <w:rFonts w:eastAsia="Times New Roman"/>
        </w:rPr>
        <w:t>?:</w:t>
      </w:r>
      <w:proofErr w:type="gramEnd"/>
      <w:r w:rsidRPr="009107A1">
        <w:rPr>
          <w:rFonts w:eastAsia="Times New Roman"/>
        </w:rPr>
        <w:t xml:space="preserve"> Detailed characterization of the first strain with high-level resistance to ceftriaxone. </w:t>
      </w:r>
      <w:r w:rsidRPr="009107A1">
        <w:rPr>
          <w:rStyle w:val="Emphasis"/>
          <w:rFonts w:eastAsia="Times New Roman"/>
          <w:b w:val="0"/>
        </w:rPr>
        <w:t xml:space="preserve">Antimicrob Agents </w:t>
      </w:r>
      <w:proofErr w:type="spellStart"/>
      <w:r w:rsidRPr="009107A1">
        <w:rPr>
          <w:rStyle w:val="Emphasis"/>
          <w:rFonts w:eastAsia="Times New Roman"/>
          <w:b w:val="0"/>
        </w:rPr>
        <w:t>Chemother</w:t>
      </w:r>
      <w:proofErr w:type="spellEnd"/>
      <w:r w:rsidRPr="009107A1">
        <w:rPr>
          <w:rFonts w:eastAsia="Times New Roman"/>
        </w:rPr>
        <w:t xml:space="preserve">. 2011;55(7):3538–45. </w:t>
      </w:r>
    </w:p>
    <w:p w14:paraId="33D0DC04" w14:textId="77777777" w:rsidR="00EB75EE" w:rsidRPr="009107A1" w:rsidRDefault="00EB75EE" w:rsidP="009107A1">
      <w:pPr>
        <w:pStyle w:val="ListParagraph"/>
        <w:numPr>
          <w:ilvl w:val="0"/>
          <w:numId w:val="10"/>
        </w:numPr>
        <w:rPr>
          <w:rFonts w:eastAsia="Times New Roman"/>
        </w:rPr>
      </w:pPr>
      <w:proofErr w:type="spellStart"/>
      <w:r w:rsidRPr="009107A1">
        <w:rPr>
          <w:rFonts w:eastAsia="Times New Roman"/>
        </w:rPr>
        <w:t>Unemo</w:t>
      </w:r>
      <w:proofErr w:type="spellEnd"/>
      <w:r w:rsidRPr="009107A1">
        <w:rPr>
          <w:rFonts w:eastAsia="Times New Roman"/>
        </w:rPr>
        <w:t xml:space="preserve"> M, </w:t>
      </w:r>
      <w:proofErr w:type="spellStart"/>
      <w:r w:rsidRPr="009107A1">
        <w:rPr>
          <w:rFonts w:eastAsia="Times New Roman"/>
        </w:rPr>
        <w:t>Golparian</w:t>
      </w:r>
      <w:proofErr w:type="spellEnd"/>
      <w:r w:rsidRPr="009107A1">
        <w:rPr>
          <w:rFonts w:eastAsia="Times New Roman"/>
        </w:rPr>
        <w:t xml:space="preserve"> D, Nicholas R, Ohnishi M, Gallay A, </w:t>
      </w:r>
      <w:proofErr w:type="spellStart"/>
      <w:r w:rsidRPr="009107A1">
        <w:rPr>
          <w:rFonts w:eastAsia="Times New Roman"/>
        </w:rPr>
        <w:t>Sednaoui</w:t>
      </w:r>
      <w:proofErr w:type="spellEnd"/>
      <w:r w:rsidRPr="009107A1">
        <w:rPr>
          <w:rFonts w:eastAsia="Times New Roman"/>
        </w:rPr>
        <w:t xml:space="preserve"> P. High-level cefixime- and ceftriaxone-resistant </w:t>
      </w:r>
      <w:r w:rsidRPr="009107A1">
        <w:rPr>
          <w:rStyle w:val="Emphasis"/>
          <w:rFonts w:eastAsia="Times New Roman"/>
          <w:b w:val="0"/>
        </w:rPr>
        <w:t xml:space="preserve">Neisseria gonorrhoeae </w:t>
      </w:r>
      <w:r w:rsidRPr="009107A1">
        <w:rPr>
          <w:rFonts w:eastAsia="Times New Roman"/>
        </w:rPr>
        <w:t xml:space="preserve">in France: novel </w:t>
      </w:r>
      <w:proofErr w:type="spellStart"/>
      <w:r w:rsidRPr="009107A1">
        <w:rPr>
          <w:rStyle w:val="Emphasis"/>
          <w:rFonts w:eastAsia="Times New Roman"/>
          <w:b w:val="0"/>
        </w:rPr>
        <w:t>penA</w:t>
      </w:r>
      <w:proofErr w:type="spellEnd"/>
      <w:r w:rsidRPr="009107A1">
        <w:rPr>
          <w:rFonts w:eastAsia="Times New Roman"/>
        </w:rPr>
        <w:t xml:space="preserve"> mosaic allele in a successful international clone causes treatment failure. </w:t>
      </w:r>
      <w:r w:rsidRPr="009107A1">
        <w:rPr>
          <w:rStyle w:val="Emphasis"/>
          <w:rFonts w:eastAsia="Times New Roman"/>
          <w:b w:val="0"/>
        </w:rPr>
        <w:t xml:space="preserve">Antimicrob Agents </w:t>
      </w:r>
      <w:proofErr w:type="spellStart"/>
      <w:r w:rsidRPr="009107A1">
        <w:rPr>
          <w:rStyle w:val="Emphasis"/>
          <w:rFonts w:eastAsia="Times New Roman"/>
          <w:b w:val="0"/>
        </w:rPr>
        <w:t>Chemother</w:t>
      </w:r>
      <w:proofErr w:type="spellEnd"/>
      <w:r w:rsidRPr="009107A1">
        <w:rPr>
          <w:rFonts w:eastAsia="Times New Roman"/>
        </w:rPr>
        <w:t xml:space="preserve">. 2012;56(3):1273–80. </w:t>
      </w:r>
    </w:p>
    <w:p w14:paraId="6E954298"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Cámara J, Serra J, </w:t>
      </w:r>
      <w:proofErr w:type="spellStart"/>
      <w:r w:rsidRPr="009107A1">
        <w:rPr>
          <w:rFonts w:eastAsia="Times New Roman"/>
        </w:rPr>
        <w:t>Ayats</w:t>
      </w:r>
      <w:proofErr w:type="spellEnd"/>
      <w:r w:rsidRPr="009107A1">
        <w:rPr>
          <w:rFonts w:eastAsia="Times New Roman"/>
        </w:rPr>
        <w:t xml:space="preserve"> J, </w:t>
      </w:r>
      <w:proofErr w:type="spellStart"/>
      <w:r w:rsidRPr="009107A1">
        <w:rPr>
          <w:rFonts w:eastAsia="Times New Roman"/>
        </w:rPr>
        <w:t>Bastida</w:t>
      </w:r>
      <w:proofErr w:type="spellEnd"/>
      <w:r w:rsidRPr="009107A1">
        <w:rPr>
          <w:rFonts w:eastAsia="Times New Roman"/>
        </w:rPr>
        <w:t xml:space="preserve"> T, </w:t>
      </w:r>
      <w:proofErr w:type="spellStart"/>
      <w:r w:rsidRPr="009107A1">
        <w:rPr>
          <w:rFonts w:eastAsia="Times New Roman"/>
        </w:rPr>
        <w:t>Carnicer</w:t>
      </w:r>
      <w:proofErr w:type="spellEnd"/>
      <w:r w:rsidRPr="009107A1">
        <w:rPr>
          <w:rFonts w:eastAsia="Times New Roman"/>
        </w:rPr>
        <w:t xml:space="preserve">-Pont D, Andreu A, et al. Molecular characterization of two high-level ceftriaxone-resistant </w:t>
      </w:r>
      <w:r w:rsidRPr="009107A1">
        <w:rPr>
          <w:rStyle w:val="Emphasis"/>
          <w:rFonts w:eastAsia="Times New Roman"/>
          <w:b w:val="0"/>
        </w:rPr>
        <w:t xml:space="preserve">Neisseria gonorrhoeae </w:t>
      </w:r>
      <w:r w:rsidRPr="009107A1">
        <w:rPr>
          <w:rFonts w:eastAsia="Times New Roman"/>
        </w:rPr>
        <w:t xml:space="preserve">isolates detected in Catalonia, Spain. </w:t>
      </w:r>
      <w:r w:rsidRPr="009107A1">
        <w:rPr>
          <w:rStyle w:val="Emphasis"/>
          <w:rFonts w:eastAsia="Times New Roman"/>
          <w:b w:val="0"/>
        </w:rPr>
        <w:t xml:space="preserve">J Antimicrob </w:t>
      </w:r>
      <w:proofErr w:type="spellStart"/>
      <w:r w:rsidRPr="009107A1">
        <w:rPr>
          <w:rStyle w:val="Emphasis"/>
          <w:rFonts w:eastAsia="Times New Roman"/>
          <w:b w:val="0"/>
        </w:rPr>
        <w:t>Chemother</w:t>
      </w:r>
      <w:proofErr w:type="spellEnd"/>
      <w:r w:rsidRPr="009107A1">
        <w:rPr>
          <w:rFonts w:eastAsia="Times New Roman"/>
        </w:rPr>
        <w:t xml:space="preserve">. 2012;67(8):1858–60. </w:t>
      </w:r>
    </w:p>
    <w:p w14:paraId="6F28A372"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Lahra MM, Ryder N, Whiley DM. A new multidrug-resistant strain of </w:t>
      </w:r>
      <w:r w:rsidRPr="009107A1">
        <w:rPr>
          <w:rStyle w:val="Emphasis"/>
          <w:rFonts w:eastAsia="Times New Roman"/>
          <w:b w:val="0"/>
        </w:rPr>
        <w:t>Neisseria gonorrhoeae</w:t>
      </w:r>
      <w:r w:rsidRPr="009107A1">
        <w:rPr>
          <w:rFonts w:eastAsia="Times New Roman"/>
        </w:rPr>
        <w:t xml:space="preserve"> in Australia. </w:t>
      </w:r>
      <w:r w:rsidRPr="009107A1">
        <w:rPr>
          <w:rStyle w:val="Emphasis"/>
          <w:rFonts w:eastAsia="Times New Roman"/>
          <w:b w:val="0"/>
        </w:rPr>
        <w:t>N Engl J Med</w:t>
      </w:r>
      <w:r w:rsidRPr="009107A1">
        <w:rPr>
          <w:rFonts w:eastAsia="Times New Roman"/>
        </w:rPr>
        <w:t xml:space="preserve">. 2014;371(19):1850–1. </w:t>
      </w:r>
    </w:p>
    <w:p w14:paraId="051351B7"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Fifer H, Hughes G, Whiley D, Lahra MM. Lessons learnt from ceftriaxone-resistant gonorrhoea in the UK and Australia. </w:t>
      </w:r>
      <w:r w:rsidRPr="009107A1">
        <w:rPr>
          <w:rStyle w:val="Emphasis"/>
          <w:rFonts w:eastAsia="Times New Roman"/>
          <w:b w:val="0"/>
        </w:rPr>
        <w:t>Lancet Infect Dis</w:t>
      </w:r>
      <w:r w:rsidRPr="009107A1">
        <w:rPr>
          <w:rFonts w:eastAsia="Times New Roman"/>
        </w:rPr>
        <w:t xml:space="preserve">. 2020;20(3):276–8. </w:t>
      </w:r>
    </w:p>
    <w:p w14:paraId="5132925A"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Stevens K, </w:t>
      </w:r>
      <w:proofErr w:type="spellStart"/>
      <w:r w:rsidRPr="009107A1">
        <w:rPr>
          <w:rFonts w:eastAsia="Times New Roman"/>
        </w:rPr>
        <w:t>Zaia</w:t>
      </w:r>
      <w:proofErr w:type="spellEnd"/>
      <w:r w:rsidRPr="009107A1">
        <w:rPr>
          <w:rFonts w:eastAsia="Times New Roman"/>
        </w:rPr>
        <w:t xml:space="preserve"> A, Tawil S, Bates J, Hicks V, Whiley D et al. </w:t>
      </w:r>
      <w:r w:rsidRPr="009107A1">
        <w:rPr>
          <w:rStyle w:val="Emphasis"/>
          <w:rFonts w:eastAsia="Times New Roman"/>
          <w:b w:val="0"/>
        </w:rPr>
        <w:t>Neisseria gonorrhoeae</w:t>
      </w:r>
      <w:r w:rsidRPr="009107A1">
        <w:rPr>
          <w:rFonts w:eastAsia="Times New Roman"/>
        </w:rPr>
        <w:t xml:space="preserve"> isolates with high-level resistance to azithromycin in Australia. </w:t>
      </w:r>
      <w:r w:rsidRPr="009107A1">
        <w:rPr>
          <w:rStyle w:val="Emphasis"/>
          <w:rFonts w:eastAsia="Times New Roman"/>
          <w:b w:val="0"/>
        </w:rPr>
        <w:t xml:space="preserve">J Antimicrob </w:t>
      </w:r>
      <w:proofErr w:type="spellStart"/>
      <w:r w:rsidRPr="009107A1">
        <w:rPr>
          <w:rStyle w:val="Emphasis"/>
          <w:rFonts w:eastAsia="Times New Roman"/>
          <w:b w:val="0"/>
        </w:rPr>
        <w:t>Chemother</w:t>
      </w:r>
      <w:proofErr w:type="spellEnd"/>
      <w:r w:rsidRPr="009107A1">
        <w:rPr>
          <w:rFonts w:eastAsia="Times New Roman"/>
        </w:rPr>
        <w:t xml:space="preserve">. 2015;70(4):1267–8. </w:t>
      </w:r>
    </w:p>
    <w:p w14:paraId="1C255B5E" w14:textId="77777777" w:rsidR="00EB75EE" w:rsidRPr="009107A1" w:rsidRDefault="00EB75EE" w:rsidP="009107A1">
      <w:pPr>
        <w:pStyle w:val="ListParagraph"/>
        <w:numPr>
          <w:ilvl w:val="0"/>
          <w:numId w:val="10"/>
        </w:numPr>
        <w:rPr>
          <w:rFonts w:eastAsia="Times New Roman"/>
        </w:rPr>
      </w:pPr>
      <w:r w:rsidRPr="009107A1">
        <w:rPr>
          <w:rFonts w:eastAsia="Times New Roman"/>
        </w:rPr>
        <w:t xml:space="preserve">Whiley DM, Lahra MM, </w:t>
      </w:r>
      <w:proofErr w:type="spellStart"/>
      <w:r w:rsidRPr="009107A1">
        <w:rPr>
          <w:rFonts w:eastAsia="Times New Roman"/>
        </w:rPr>
        <w:t>Unemo</w:t>
      </w:r>
      <w:proofErr w:type="spellEnd"/>
      <w:r w:rsidRPr="009107A1">
        <w:rPr>
          <w:rFonts w:eastAsia="Times New Roman"/>
        </w:rPr>
        <w:t xml:space="preserve"> M. Prospects of untreatable </w:t>
      </w:r>
      <w:proofErr w:type="spellStart"/>
      <w:r w:rsidRPr="009107A1">
        <w:rPr>
          <w:rFonts w:eastAsia="Times New Roman"/>
        </w:rPr>
        <w:t>gonorrhea</w:t>
      </w:r>
      <w:proofErr w:type="spellEnd"/>
      <w:r w:rsidRPr="009107A1">
        <w:rPr>
          <w:rFonts w:eastAsia="Times New Roman"/>
        </w:rPr>
        <w:t xml:space="preserve"> and ways forward. </w:t>
      </w:r>
      <w:r w:rsidRPr="009107A1">
        <w:rPr>
          <w:rStyle w:val="Emphasis"/>
          <w:rFonts w:eastAsia="Times New Roman"/>
          <w:b w:val="0"/>
        </w:rPr>
        <w:t>Future Microbiol</w:t>
      </w:r>
      <w:r w:rsidRPr="009107A1">
        <w:rPr>
          <w:rFonts w:eastAsia="Times New Roman"/>
        </w:rPr>
        <w:t xml:space="preserve">. 2015;10(3):313–6. </w:t>
      </w:r>
    </w:p>
    <w:p w14:paraId="602EE25D" w14:textId="77777777" w:rsidR="008B5348" w:rsidRPr="008857DD" w:rsidRDefault="00EB75EE" w:rsidP="008857DD">
      <w:pPr>
        <w:pStyle w:val="ListParagraph"/>
        <w:numPr>
          <w:ilvl w:val="0"/>
          <w:numId w:val="10"/>
        </w:numPr>
        <w:rPr>
          <w:rStyle w:val="A10"/>
          <w:rFonts w:eastAsia="Times New Roman" w:cstheme="minorBidi"/>
          <w:color w:val="auto"/>
        </w:rPr>
        <w:sectPr w:rsidR="008B5348" w:rsidRPr="008857DD" w:rsidSect="00A30C37">
          <w:pgSz w:w="11906" w:h="16838"/>
          <w:pgMar w:top="720" w:right="720" w:bottom="1134" w:left="720" w:header="709" w:footer="284" w:gutter="0"/>
          <w:cols w:space="708"/>
          <w:titlePg/>
          <w:docGrid w:linePitch="360"/>
        </w:sectPr>
      </w:pPr>
      <w:proofErr w:type="spellStart"/>
      <w:r w:rsidRPr="009107A1">
        <w:rPr>
          <w:rFonts w:eastAsia="Times New Roman"/>
        </w:rPr>
        <w:t>Unemo</w:t>
      </w:r>
      <w:proofErr w:type="spellEnd"/>
      <w:r w:rsidRPr="009107A1">
        <w:rPr>
          <w:rFonts w:eastAsia="Times New Roman"/>
        </w:rPr>
        <w:t xml:space="preserve"> M. Current and future antimicrobial treatment of gonorrhoea – the rapidly evolving </w:t>
      </w:r>
      <w:r w:rsidRPr="009107A1">
        <w:rPr>
          <w:rStyle w:val="Emphasis"/>
          <w:rFonts w:eastAsia="Times New Roman"/>
          <w:b w:val="0"/>
        </w:rPr>
        <w:t>Neisseria gonorrhoeae</w:t>
      </w:r>
      <w:r w:rsidRPr="009107A1">
        <w:rPr>
          <w:rFonts w:eastAsia="Times New Roman"/>
        </w:rPr>
        <w:t xml:space="preserve"> continues to challenge. </w:t>
      </w:r>
      <w:r w:rsidRPr="009107A1">
        <w:rPr>
          <w:rStyle w:val="Emphasis"/>
          <w:rFonts w:eastAsia="Times New Roman"/>
          <w:b w:val="0"/>
        </w:rPr>
        <w:t>BMC Infect Dis</w:t>
      </w:r>
      <w:r w:rsidRPr="009107A1">
        <w:rPr>
          <w:rFonts w:eastAsia="Times New Roman"/>
        </w:rPr>
        <w:t>. 2015;15:364.</w:t>
      </w:r>
    </w:p>
    <w:p w14:paraId="01AEF2F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FAC884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8F53117" w14:textId="77777777" w:rsidR="000A5F42" w:rsidRPr="000606CC" w:rsidRDefault="000A5F42" w:rsidP="000A5F42">
      <w:pPr>
        <w:pStyle w:val="NoSpacing"/>
        <w:rPr>
          <w:rStyle w:val="URI"/>
          <w:rFonts w:cstheme="minorHAnsi"/>
          <w:sz w:val="20"/>
          <w:szCs w:val="18"/>
        </w:rPr>
      </w:pPr>
    </w:p>
    <w:p w14:paraId="4168FE4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3F07343" w14:textId="77777777" w:rsidR="000A5F42" w:rsidRPr="000606CC" w:rsidRDefault="000A5F42" w:rsidP="000A5F42">
      <w:pPr>
        <w:pStyle w:val="NoSpacing"/>
        <w:rPr>
          <w:rStyle w:val="Strong"/>
          <w:rFonts w:cstheme="minorHAnsi"/>
          <w:sz w:val="20"/>
          <w:szCs w:val="18"/>
        </w:rPr>
      </w:pPr>
    </w:p>
    <w:p w14:paraId="6A82C06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351B50E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3FCB8C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14A00A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F084728" w14:textId="77777777" w:rsidR="000A5F42" w:rsidRPr="000606CC" w:rsidRDefault="000A5F42" w:rsidP="000A5F42">
      <w:pPr>
        <w:pStyle w:val="NoSpacing"/>
        <w:rPr>
          <w:rStyle w:val="Strong"/>
          <w:rFonts w:cstheme="minorHAnsi"/>
          <w:sz w:val="20"/>
          <w:szCs w:val="18"/>
        </w:rPr>
      </w:pPr>
    </w:p>
    <w:p w14:paraId="0B9EBBBA" w14:textId="05184F4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3947B27" w14:textId="77777777" w:rsidR="000A5F42" w:rsidRPr="000606CC" w:rsidRDefault="000A5F42" w:rsidP="000A5F42">
      <w:pPr>
        <w:pStyle w:val="NoSpacing"/>
        <w:rPr>
          <w:rStyle w:val="Strong"/>
          <w:rFonts w:cstheme="minorHAnsi"/>
          <w:sz w:val="20"/>
          <w:szCs w:val="18"/>
        </w:rPr>
      </w:pPr>
    </w:p>
    <w:p w14:paraId="524563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B17765B" w14:textId="77777777" w:rsidR="000A5F42" w:rsidRPr="000606CC" w:rsidRDefault="000A5F42" w:rsidP="000A5F42">
      <w:pPr>
        <w:pStyle w:val="NoSpacing"/>
        <w:rPr>
          <w:rStyle w:val="Strong"/>
          <w:rFonts w:cstheme="minorHAnsi"/>
          <w:sz w:val="20"/>
          <w:szCs w:val="18"/>
        </w:rPr>
      </w:pPr>
    </w:p>
    <w:p w14:paraId="5E24532E" w14:textId="102A45F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297E88C" w14:textId="77777777" w:rsidR="000A5F42" w:rsidRPr="000606CC" w:rsidRDefault="000A5F42" w:rsidP="000A5F42">
      <w:pPr>
        <w:pStyle w:val="NoSpacing"/>
        <w:rPr>
          <w:rStyle w:val="Strong"/>
          <w:rFonts w:cstheme="minorHAnsi"/>
          <w:sz w:val="20"/>
          <w:szCs w:val="18"/>
        </w:rPr>
      </w:pPr>
    </w:p>
    <w:p w14:paraId="08C11EBA" w14:textId="7B2309A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3C46D34" w14:textId="456C07B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19E6777" w14:textId="77777777" w:rsidR="000A5F42" w:rsidRPr="000606CC" w:rsidRDefault="000A5F42" w:rsidP="000A5F42">
      <w:pPr>
        <w:pStyle w:val="NoSpacing"/>
        <w:pBdr>
          <w:bottom w:val="single" w:sz="6" w:space="1" w:color="auto"/>
        </w:pBdr>
        <w:rPr>
          <w:rStyle w:val="Strong"/>
          <w:rFonts w:cstheme="minorHAnsi"/>
          <w:sz w:val="12"/>
          <w:szCs w:val="18"/>
        </w:rPr>
      </w:pPr>
    </w:p>
    <w:p w14:paraId="44F41892" w14:textId="77777777" w:rsidR="000A5F42" w:rsidRPr="000606CC" w:rsidRDefault="000A5F42" w:rsidP="000A5F42">
      <w:pPr>
        <w:pStyle w:val="NoSpacing"/>
        <w:rPr>
          <w:rFonts w:cstheme="minorHAnsi"/>
          <w:sz w:val="20"/>
          <w:szCs w:val="18"/>
        </w:rPr>
      </w:pPr>
    </w:p>
    <w:p w14:paraId="635F78C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0AA0931" w14:textId="77777777" w:rsidR="000A5F42" w:rsidRPr="000606CC" w:rsidRDefault="000A5F42" w:rsidP="000A5F42">
      <w:pPr>
        <w:pStyle w:val="NoSpacing"/>
        <w:rPr>
          <w:rFonts w:cstheme="minorHAnsi"/>
          <w:sz w:val="20"/>
          <w:szCs w:val="18"/>
        </w:rPr>
      </w:pPr>
    </w:p>
    <w:p w14:paraId="762F89E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8CA020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8BC159E" w14:textId="58B1094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29610CA" w14:textId="77777777" w:rsidR="000A5F42" w:rsidRPr="000606CC" w:rsidRDefault="000A5F42" w:rsidP="000A5F42">
      <w:pPr>
        <w:pStyle w:val="NoSpacing"/>
        <w:rPr>
          <w:rFonts w:cstheme="minorHAnsi"/>
          <w:sz w:val="20"/>
          <w:szCs w:val="18"/>
        </w:rPr>
      </w:pPr>
    </w:p>
    <w:p w14:paraId="520EC64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BDAB5FF" w14:textId="7315918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084B45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E06D94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7CB303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904C41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6E426C2" w14:textId="77777777" w:rsidR="000A5F42" w:rsidRPr="000606CC" w:rsidRDefault="000A5F42" w:rsidP="000A5F42">
      <w:pPr>
        <w:pStyle w:val="NoSpacing"/>
        <w:rPr>
          <w:rStyle w:val="Strong"/>
          <w:rFonts w:cstheme="minorHAnsi"/>
          <w:sz w:val="20"/>
          <w:szCs w:val="18"/>
        </w:rPr>
      </w:pPr>
    </w:p>
    <w:p w14:paraId="29AFD05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8D8A126" w14:textId="77777777" w:rsidR="000A5F42" w:rsidRPr="000606CC" w:rsidRDefault="000A5F42" w:rsidP="000A5F42">
      <w:pPr>
        <w:pStyle w:val="NoSpacing"/>
        <w:rPr>
          <w:rStyle w:val="Strong"/>
          <w:rFonts w:cstheme="minorHAnsi"/>
          <w:sz w:val="20"/>
          <w:szCs w:val="18"/>
        </w:rPr>
      </w:pPr>
    </w:p>
    <w:p w14:paraId="09AB1F33" w14:textId="62818BD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4D8ACB1" w14:textId="77777777" w:rsidR="000A5F42" w:rsidRPr="000606CC" w:rsidRDefault="000A5F42" w:rsidP="000A5F42">
      <w:pPr>
        <w:pStyle w:val="NoSpacing"/>
        <w:rPr>
          <w:rStyle w:val="URI"/>
          <w:rFonts w:cstheme="minorHAnsi"/>
          <w:sz w:val="20"/>
          <w:szCs w:val="18"/>
        </w:rPr>
      </w:pPr>
    </w:p>
    <w:p w14:paraId="0765A885" w14:textId="474640A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61FE9BDB"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8B7F" w14:textId="77777777" w:rsidR="009708D9" w:rsidRDefault="009708D9" w:rsidP="00E54DBA">
      <w:r>
        <w:separator/>
      </w:r>
    </w:p>
    <w:p w14:paraId="03EF44BB" w14:textId="77777777" w:rsidR="009708D9" w:rsidRDefault="009708D9"/>
    <w:p w14:paraId="0D2C7940" w14:textId="77777777" w:rsidR="009708D9" w:rsidRDefault="009708D9" w:rsidP="008714B0"/>
  </w:endnote>
  <w:endnote w:type="continuationSeparator" w:id="0">
    <w:p w14:paraId="3849540A" w14:textId="77777777" w:rsidR="009708D9" w:rsidRDefault="009708D9" w:rsidP="00E54DBA">
      <w:r>
        <w:continuationSeparator/>
      </w:r>
    </w:p>
    <w:p w14:paraId="7029E6C3" w14:textId="77777777" w:rsidR="009708D9" w:rsidRDefault="009708D9"/>
    <w:p w14:paraId="1286AC98" w14:textId="77777777" w:rsidR="009708D9" w:rsidRDefault="009708D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E2D4"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92631">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892631">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D2062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708D9">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708D9">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92631">
      <w:rPr>
        <w:sz w:val="18"/>
      </w:rPr>
      <w:t>https://doi.org/10.33321/cdi.2020.44.58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623D5">
      <w:rPr>
        <w:sz w:val="18"/>
      </w:rPr>
      <w:t>15/7/2020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F79D"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92631">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892631">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D2062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708D9">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708D9">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92631">
      <w:rPr>
        <w:sz w:val="18"/>
      </w:rPr>
      <w:t>https://doi.org/10.33321/cdi.2020.44.58</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623D5">
      <w:rPr>
        <w:sz w:val="18"/>
      </w:rPr>
      <w:t>15/7/2020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CC99" w14:textId="77777777" w:rsidR="009708D9" w:rsidRDefault="009708D9" w:rsidP="00E54DBA">
      <w:r>
        <w:separator/>
      </w:r>
    </w:p>
  </w:footnote>
  <w:footnote w:type="continuationSeparator" w:id="0">
    <w:p w14:paraId="6D93FFAA" w14:textId="77777777" w:rsidR="009708D9" w:rsidRDefault="009708D9" w:rsidP="00E54DBA">
      <w:r>
        <w:continuationSeparator/>
      </w:r>
    </w:p>
  </w:footnote>
  <w:footnote w:type="continuationNotice" w:id="1">
    <w:p w14:paraId="3856409F" w14:textId="77777777" w:rsidR="009708D9" w:rsidRPr="00224EFF" w:rsidRDefault="009708D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AFDA" w14:textId="77777777" w:rsidR="00257484" w:rsidRPr="00A153B6" w:rsidRDefault="00FA29C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A315A">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B58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843066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78F"/>
    <w:multiLevelType w:val="hybridMultilevel"/>
    <w:tmpl w:val="59B4B1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51263A"/>
    <w:multiLevelType w:val="multilevel"/>
    <w:tmpl w:val="8D50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9933F3"/>
    <w:multiLevelType w:val="multilevel"/>
    <w:tmpl w:val="59DE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054954"/>
    <w:multiLevelType w:val="hybridMultilevel"/>
    <w:tmpl w:val="D840B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7457972">
    <w:abstractNumId w:val="3"/>
  </w:num>
  <w:num w:numId="2" w16cid:durableId="459231311">
    <w:abstractNumId w:val="4"/>
  </w:num>
  <w:num w:numId="3" w16cid:durableId="107941152">
    <w:abstractNumId w:val="5"/>
  </w:num>
  <w:num w:numId="4" w16cid:durableId="671881598">
    <w:abstractNumId w:val="2"/>
  </w:num>
  <w:num w:numId="5" w16cid:durableId="1250769489">
    <w:abstractNumId w:val="7"/>
  </w:num>
  <w:num w:numId="6" w16cid:durableId="997922294">
    <w:abstractNumId w:val="8"/>
  </w:num>
  <w:num w:numId="7" w16cid:durableId="78259085">
    <w:abstractNumId w:val="6"/>
  </w:num>
  <w:num w:numId="8" w16cid:durableId="1901207878">
    <w:abstractNumId w:val="1"/>
  </w:num>
  <w:num w:numId="9" w16cid:durableId="453913553">
    <w:abstractNumId w:val="9"/>
  </w:num>
  <w:num w:numId="10" w16cid:durableId="29664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843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D9"/>
    <w:rsid w:val="00000B5B"/>
    <w:rsid w:val="00001611"/>
    <w:rsid w:val="000104A8"/>
    <w:rsid w:val="0001246E"/>
    <w:rsid w:val="000124B1"/>
    <w:rsid w:val="00016FE6"/>
    <w:rsid w:val="00031064"/>
    <w:rsid w:val="00031692"/>
    <w:rsid w:val="00032531"/>
    <w:rsid w:val="000360B1"/>
    <w:rsid w:val="000471BF"/>
    <w:rsid w:val="00047B68"/>
    <w:rsid w:val="00052600"/>
    <w:rsid w:val="0005643C"/>
    <w:rsid w:val="000571C4"/>
    <w:rsid w:val="0006264A"/>
    <w:rsid w:val="00066D2E"/>
    <w:rsid w:val="00073D77"/>
    <w:rsid w:val="00081655"/>
    <w:rsid w:val="00083C6A"/>
    <w:rsid w:val="000864E0"/>
    <w:rsid w:val="000877ED"/>
    <w:rsid w:val="000969B3"/>
    <w:rsid w:val="000A5F42"/>
    <w:rsid w:val="000C7C82"/>
    <w:rsid w:val="000D4B4D"/>
    <w:rsid w:val="000F0F3A"/>
    <w:rsid w:val="000F106B"/>
    <w:rsid w:val="001007AF"/>
    <w:rsid w:val="00113D58"/>
    <w:rsid w:val="001200CB"/>
    <w:rsid w:val="001378A3"/>
    <w:rsid w:val="00146F81"/>
    <w:rsid w:val="0015223B"/>
    <w:rsid w:val="00155582"/>
    <w:rsid w:val="00161590"/>
    <w:rsid w:val="0016746D"/>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02C28"/>
    <w:rsid w:val="00211E37"/>
    <w:rsid w:val="00213B3B"/>
    <w:rsid w:val="002219E4"/>
    <w:rsid w:val="00224B6C"/>
    <w:rsid w:val="00224EFF"/>
    <w:rsid w:val="002276DC"/>
    <w:rsid w:val="00227E00"/>
    <w:rsid w:val="002307CB"/>
    <w:rsid w:val="00231046"/>
    <w:rsid w:val="002337DE"/>
    <w:rsid w:val="00234F21"/>
    <w:rsid w:val="002422F1"/>
    <w:rsid w:val="00242659"/>
    <w:rsid w:val="002428F7"/>
    <w:rsid w:val="0024315F"/>
    <w:rsid w:val="002433BF"/>
    <w:rsid w:val="00252C9A"/>
    <w:rsid w:val="00256309"/>
    <w:rsid w:val="00257484"/>
    <w:rsid w:val="00260636"/>
    <w:rsid w:val="00266DA5"/>
    <w:rsid w:val="00271305"/>
    <w:rsid w:val="00275C78"/>
    <w:rsid w:val="00280594"/>
    <w:rsid w:val="00281EE3"/>
    <w:rsid w:val="00284E4A"/>
    <w:rsid w:val="002A3799"/>
    <w:rsid w:val="002A3BCC"/>
    <w:rsid w:val="002A4516"/>
    <w:rsid w:val="002A569F"/>
    <w:rsid w:val="002A7066"/>
    <w:rsid w:val="002B001E"/>
    <w:rsid w:val="002B09B7"/>
    <w:rsid w:val="002B65D8"/>
    <w:rsid w:val="002B7579"/>
    <w:rsid w:val="002B75A9"/>
    <w:rsid w:val="002C21B0"/>
    <w:rsid w:val="002C3056"/>
    <w:rsid w:val="002E2FB3"/>
    <w:rsid w:val="002F1B4B"/>
    <w:rsid w:val="002F327B"/>
    <w:rsid w:val="00301626"/>
    <w:rsid w:val="003059EC"/>
    <w:rsid w:val="00316CCD"/>
    <w:rsid w:val="00324F7E"/>
    <w:rsid w:val="003323BC"/>
    <w:rsid w:val="00340C4F"/>
    <w:rsid w:val="00346D42"/>
    <w:rsid w:val="00346E11"/>
    <w:rsid w:val="003479B3"/>
    <w:rsid w:val="003601C0"/>
    <w:rsid w:val="003635F5"/>
    <w:rsid w:val="00365D05"/>
    <w:rsid w:val="00372A88"/>
    <w:rsid w:val="00381A0F"/>
    <w:rsid w:val="00387E36"/>
    <w:rsid w:val="003A1B3A"/>
    <w:rsid w:val="003A40F5"/>
    <w:rsid w:val="003B5B8C"/>
    <w:rsid w:val="003B6F51"/>
    <w:rsid w:val="003B7B7E"/>
    <w:rsid w:val="003D4D9D"/>
    <w:rsid w:val="003D79B1"/>
    <w:rsid w:val="003E265E"/>
    <w:rsid w:val="003E31E0"/>
    <w:rsid w:val="003E43D9"/>
    <w:rsid w:val="003E74EE"/>
    <w:rsid w:val="003F0552"/>
    <w:rsid w:val="003F1B74"/>
    <w:rsid w:val="003F3BC2"/>
    <w:rsid w:val="004016B3"/>
    <w:rsid w:val="00401ED1"/>
    <w:rsid w:val="0040224C"/>
    <w:rsid w:val="00413EE1"/>
    <w:rsid w:val="004164BB"/>
    <w:rsid w:val="00421ECE"/>
    <w:rsid w:val="00422FEB"/>
    <w:rsid w:val="0042435E"/>
    <w:rsid w:val="004315F5"/>
    <w:rsid w:val="00432E8C"/>
    <w:rsid w:val="00433456"/>
    <w:rsid w:val="00433DFA"/>
    <w:rsid w:val="00435D67"/>
    <w:rsid w:val="00444C3E"/>
    <w:rsid w:val="00464A58"/>
    <w:rsid w:val="00473D2D"/>
    <w:rsid w:val="004A2125"/>
    <w:rsid w:val="004A38F6"/>
    <w:rsid w:val="004B4EB6"/>
    <w:rsid w:val="004B7E9D"/>
    <w:rsid w:val="004C083C"/>
    <w:rsid w:val="004C67C6"/>
    <w:rsid w:val="004C77EE"/>
    <w:rsid w:val="004D29DE"/>
    <w:rsid w:val="004F5555"/>
    <w:rsid w:val="005050FA"/>
    <w:rsid w:val="00510EAC"/>
    <w:rsid w:val="0054264D"/>
    <w:rsid w:val="00542A57"/>
    <w:rsid w:val="00563997"/>
    <w:rsid w:val="00565974"/>
    <w:rsid w:val="005732C0"/>
    <w:rsid w:val="0057336D"/>
    <w:rsid w:val="0057489A"/>
    <w:rsid w:val="00574ACF"/>
    <w:rsid w:val="00581588"/>
    <w:rsid w:val="0058540B"/>
    <w:rsid w:val="00587C87"/>
    <w:rsid w:val="00590673"/>
    <w:rsid w:val="00590B80"/>
    <w:rsid w:val="00592184"/>
    <w:rsid w:val="005A315A"/>
    <w:rsid w:val="005A3AC8"/>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642F"/>
    <w:rsid w:val="006971F3"/>
    <w:rsid w:val="006A3FE4"/>
    <w:rsid w:val="006C74A3"/>
    <w:rsid w:val="006C7720"/>
    <w:rsid w:val="006D1381"/>
    <w:rsid w:val="006D31BC"/>
    <w:rsid w:val="006E7943"/>
    <w:rsid w:val="006F24EA"/>
    <w:rsid w:val="00704CA9"/>
    <w:rsid w:val="0071048D"/>
    <w:rsid w:val="0071078D"/>
    <w:rsid w:val="00710F86"/>
    <w:rsid w:val="007111A8"/>
    <w:rsid w:val="00731BC3"/>
    <w:rsid w:val="00741192"/>
    <w:rsid w:val="00743A33"/>
    <w:rsid w:val="00746080"/>
    <w:rsid w:val="0075144A"/>
    <w:rsid w:val="0076330F"/>
    <w:rsid w:val="00774D07"/>
    <w:rsid w:val="00786329"/>
    <w:rsid w:val="00792C7D"/>
    <w:rsid w:val="00794A4D"/>
    <w:rsid w:val="007A5234"/>
    <w:rsid w:val="007B7854"/>
    <w:rsid w:val="007C56A1"/>
    <w:rsid w:val="007C6454"/>
    <w:rsid w:val="007E01E0"/>
    <w:rsid w:val="007E71D4"/>
    <w:rsid w:val="007F0B93"/>
    <w:rsid w:val="007F2ECA"/>
    <w:rsid w:val="007F334E"/>
    <w:rsid w:val="008039E9"/>
    <w:rsid w:val="00811708"/>
    <w:rsid w:val="00816B90"/>
    <w:rsid w:val="00817799"/>
    <w:rsid w:val="00822F5F"/>
    <w:rsid w:val="00824FD3"/>
    <w:rsid w:val="00826589"/>
    <w:rsid w:val="00834BCC"/>
    <w:rsid w:val="00850D54"/>
    <w:rsid w:val="008714B0"/>
    <w:rsid w:val="00876331"/>
    <w:rsid w:val="00880726"/>
    <w:rsid w:val="00880842"/>
    <w:rsid w:val="008857DD"/>
    <w:rsid w:val="00892631"/>
    <w:rsid w:val="008A3544"/>
    <w:rsid w:val="008A4579"/>
    <w:rsid w:val="008B48B8"/>
    <w:rsid w:val="008B5348"/>
    <w:rsid w:val="008B58F8"/>
    <w:rsid w:val="008C0712"/>
    <w:rsid w:val="008C4520"/>
    <w:rsid w:val="008C5F09"/>
    <w:rsid w:val="008D470F"/>
    <w:rsid w:val="008E1F8F"/>
    <w:rsid w:val="008E4768"/>
    <w:rsid w:val="008E761E"/>
    <w:rsid w:val="008F77B3"/>
    <w:rsid w:val="009008F5"/>
    <w:rsid w:val="00902D11"/>
    <w:rsid w:val="00904CC1"/>
    <w:rsid w:val="009066AF"/>
    <w:rsid w:val="009107A1"/>
    <w:rsid w:val="00911394"/>
    <w:rsid w:val="00912050"/>
    <w:rsid w:val="00912E48"/>
    <w:rsid w:val="0092746F"/>
    <w:rsid w:val="00935DC9"/>
    <w:rsid w:val="009371C4"/>
    <w:rsid w:val="009446C0"/>
    <w:rsid w:val="0096009A"/>
    <w:rsid w:val="0096082E"/>
    <w:rsid w:val="00961347"/>
    <w:rsid w:val="00967410"/>
    <w:rsid w:val="00967D73"/>
    <w:rsid w:val="009708D9"/>
    <w:rsid w:val="0098119A"/>
    <w:rsid w:val="00984AAF"/>
    <w:rsid w:val="00991B09"/>
    <w:rsid w:val="00993CB2"/>
    <w:rsid w:val="009A5166"/>
    <w:rsid w:val="009A76F8"/>
    <w:rsid w:val="009B2B83"/>
    <w:rsid w:val="009C37CD"/>
    <w:rsid w:val="009C49F8"/>
    <w:rsid w:val="009D1D68"/>
    <w:rsid w:val="009D5E55"/>
    <w:rsid w:val="009D77CC"/>
    <w:rsid w:val="009E1584"/>
    <w:rsid w:val="009E2423"/>
    <w:rsid w:val="009E55D7"/>
    <w:rsid w:val="009F4150"/>
    <w:rsid w:val="009F492B"/>
    <w:rsid w:val="009F5665"/>
    <w:rsid w:val="009F5DAD"/>
    <w:rsid w:val="00A01BCA"/>
    <w:rsid w:val="00A0771E"/>
    <w:rsid w:val="00A10458"/>
    <w:rsid w:val="00A10D15"/>
    <w:rsid w:val="00A153B6"/>
    <w:rsid w:val="00A164D5"/>
    <w:rsid w:val="00A273C3"/>
    <w:rsid w:val="00A30C37"/>
    <w:rsid w:val="00A36C65"/>
    <w:rsid w:val="00A3735F"/>
    <w:rsid w:val="00A41BBE"/>
    <w:rsid w:val="00A45BDD"/>
    <w:rsid w:val="00A46A0A"/>
    <w:rsid w:val="00A553F8"/>
    <w:rsid w:val="00A6708F"/>
    <w:rsid w:val="00A71BF6"/>
    <w:rsid w:val="00A84CD8"/>
    <w:rsid w:val="00A86F9A"/>
    <w:rsid w:val="00A948F8"/>
    <w:rsid w:val="00AA35E6"/>
    <w:rsid w:val="00AA50B6"/>
    <w:rsid w:val="00AA7332"/>
    <w:rsid w:val="00AB265C"/>
    <w:rsid w:val="00AB3472"/>
    <w:rsid w:val="00AB5B87"/>
    <w:rsid w:val="00AC4025"/>
    <w:rsid w:val="00AC47D5"/>
    <w:rsid w:val="00AC5AE4"/>
    <w:rsid w:val="00AD0762"/>
    <w:rsid w:val="00AE3AD0"/>
    <w:rsid w:val="00AE4452"/>
    <w:rsid w:val="00AE7C38"/>
    <w:rsid w:val="00B01F99"/>
    <w:rsid w:val="00B02B37"/>
    <w:rsid w:val="00B05276"/>
    <w:rsid w:val="00B132DB"/>
    <w:rsid w:val="00B27F9F"/>
    <w:rsid w:val="00B31427"/>
    <w:rsid w:val="00B33861"/>
    <w:rsid w:val="00B37D8F"/>
    <w:rsid w:val="00B40DE2"/>
    <w:rsid w:val="00B50210"/>
    <w:rsid w:val="00B5106A"/>
    <w:rsid w:val="00B53955"/>
    <w:rsid w:val="00B6408A"/>
    <w:rsid w:val="00B714B8"/>
    <w:rsid w:val="00B71FD3"/>
    <w:rsid w:val="00B82C2C"/>
    <w:rsid w:val="00B8501F"/>
    <w:rsid w:val="00B867CA"/>
    <w:rsid w:val="00B8720B"/>
    <w:rsid w:val="00B876EF"/>
    <w:rsid w:val="00BA4697"/>
    <w:rsid w:val="00BA6894"/>
    <w:rsid w:val="00BB5378"/>
    <w:rsid w:val="00BC0BD3"/>
    <w:rsid w:val="00BD0107"/>
    <w:rsid w:val="00BE0C33"/>
    <w:rsid w:val="00BE139C"/>
    <w:rsid w:val="00BE262C"/>
    <w:rsid w:val="00BE6C3D"/>
    <w:rsid w:val="00BF735D"/>
    <w:rsid w:val="00C07606"/>
    <w:rsid w:val="00C12542"/>
    <w:rsid w:val="00C23844"/>
    <w:rsid w:val="00C24725"/>
    <w:rsid w:val="00C30BA9"/>
    <w:rsid w:val="00C32784"/>
    <w:rsid w:val="00C3541E"/>
    <w:rsid w:val="00C36A8F"/>
    <w:rsid w:val="00C42834"/>
    <w:rsid w:val="00C42FFA"/>
    <w:rsid w:val="00C507D8"/>
    <w:rsid w:val="00C623D5"/>
    <w:rsid w:val="00C62EAC"/>
    <w:rsid w:val="00C63F9F"/>
    <w:rsid w:val="00C7723C"/>
    <w:rsid w:val="00C838F5"/>
    <w:rsid w:val="00CA1AF4"/>
    <w:rsid w:val="00CA6068"/>
    <w:rsid w:val="00CB15E1"/>
    <w:rsid w:val="00CB3D46"/>
    <w:rsid w:val="00CD1A87"/>
    <w:rsid w:val="00CD35F3"/>
    <w:rsid w:val="00CD5C93"/>
    <w:rsid w:val="00CD5D39"/>
    <w:rsid w:val="00CD655C"/>
    <w:rsid w:val="00CE342B"/>
    <w:rsid w:val="00CF320C"/>
    <w:rsid w:val="00CF3A4B"/>
    <w:rsid w:val="00CF4001"/>
    <w:rsid w:val="00D00A25"/>
    <w:rsid w:val="00D05837"/>
    <w:rsid w:val="00D07A2F"/>
    <w:rsid w:val="00D12D8A"/>
    <w:rsid w:val="00D13E0C"/>
    <w:rsid w:val="00D2062F"/>
    <w:rsid w:val="00D25896"/>
    <w:rsid w:val="00D373A1"/>
    <w:rsid w:val="00D37C0F"/>
    <w:rsid w:val="00D455BD"/>
    <w:rsid w:val="00D45661"/>
    <w:rsid w:val="00D45943"/>
    <w:rsid w:val="00D46AC2"/>
    <w:rsid w:val="00D47D22"/>
    <w:rsid w:val="00D51865"/>
    <w:rsid w:val="00D51D0C"/>
    <w:rsid w:val="00D74140"/>
    <w:rsid w:val="00D81B1F"/>
    <w:rsid w:val="00D97599"/>
    <w:rsid w:val="00DA6D7B"/>
    <w:rsid w:val="00DA6E56"/>
    <w:rsid w:val="00DB0C58"/>
    <w:rsid w:val="00DB4F3B"/>
    <w:rsid w:val="00DC6705"/>
    <w:rsid w:val="00DD2DE8"/>
    <w:rsid w:val="00DE38B4"/>
    <w:rsid w:val="00DE457A"/>
    <w:rsid w:val="00DE5D02"/>
    <w:rsid w:val="00E005A9"/>
    <w:rsid w:val="00E1040D"/>
    <w:rsid w:val="00E1166E"/>
    <w:rsid w:val="00E16519"/>
    <w:rsid w:val="00E24DC0"/>
    <w:rsid w:val="00E2519C"/>
    <w:rsid w:val="00E25F2A"/>
    <w:rsid w:val="00E34DB3"/>
    <w:rsid w:val="00E41455"/>
    <w:rsid w:val="00E42AD2"/>
    <w:rsid w:val="00E4432B"/>
    <w:rsid w:val="00E50856"/>
    <w:rsid w:val="00E538CC"/>
    <w:rsid w:val="00E54DBA"/>
    <w:rsid w:val="00E61519"/>
    <w:rsid w:val="00E63D7C"/>
    <w:rsid w:val="00E640D5"/>
    <w:rsid w:val="00E66E2E"/>
    <w:rsid w:val="00E67691"/>
    <w:rsid w:val="00E7788B"/>
    <w:rsid w:val="00E826F7"/>
    <w:rsid w:val="00E92237"/>
    <w:rsid w:val="00E951EF"/>
    <w:rsid w:val="00EA3D54"/>
    <w:rsid w:val="00EA56D9"/>
    <w:rsid w:val="00EA5CE3"/>
    <w:rsid w:val="00EB51C1"/>
    <w:rsid w:val="00EB5AE1"/>
    <w:rsid w:val="00EB5E0B"/>
    <w:rsid w:val="00EB75EE"/>
    <w:rsid w:val="00EB7F60"/>
    <w:rsid w:val="00EC2171"/>
    <w:rsid w:val="00EC4A5A"/>
    <w:rsid w:val="00ED0ADF"/>
    <w:rsid w:val="00ED442D"/>
    <w:rsid w:val="00ED496D"/>
    <w:rsid w:val="00ED70C2"/>
    <w:rsid w:val="00EE18FF"/>
    <w:rsid w:val="00EE489F"/>
    <w:rsid w:val="00F0647F"/>
    <w:rsid w:val="00F1046E"/>
    <w:rsid w:val="00F10CE3"/>
    <w:rsid w:val="00F14F3B"/>
    <w:rsid w:val="00F160ED"/>
    <w:rsid w:val="00F16362"/>
    <w:rsid w:val="00F207C7"/>
    <w:rsid w:val="00F24BBC"/>
    <w:rsid w:val="00F36B6D"/>
    <w:rsid w:val="00F43FA3"/>
    <w:rsid w:val="00F55648"/>
    <w:rsid w:val="00F70046"/>
    <w:rsid w:val="00F748C2"/>
    <w:rsid w:val="00F76C5C"/>
    <w:rsid w:val="00F81EF3"/>
    <w:rsid w:val="00F84496"/>
    <w:rsid w:val="00F85DCB"/>
    <w:rsid w:val="00F86F9C"/>
    <w:rsid w:val="00F90D76"/>
    <w:rsid w:val="00FA29CD"/>
    <w:rsid w:val="00FC002E"/>
    <w:rsid w:val="00FC4C23"/>
    <w:rsid w:val="00FC642E"/>
    <w:rsid w:val="00FD36E6"/>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0D36C8"/>
  <w15:docId w15:val="{6C4C1ADF-B457-459B-804A-C3835C5D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EB75E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082489-28AC-4612-B3E1-5B22E8F0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5789</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Communicable Diseases Intelligence 2020 - Australian Gonococcal Surveillance Programme annual report, 2019</vt:lpstr>
    </vt:vector>
  </TitlesOfParts>
  <Company>Australian Government, Department of Health</Company>
  <LinksUpToDate>false</LinksUpToDate>
  <CharactersWithSpaces>39802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Gonococcal Surveillance Programme annual report, 2019</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2019.</dc:subject>
  <dc:creator>Monica M Lahra, Masoud Shoushtari, CR Robert George, Benjamin H Armstrong and Tiffany R Hogan for the National Neisseria Network, Australia</dc:creator>
  <cp:keywords>antimicrobial resistance; disease surveillance; gonococcal infection; Neisseria gonorrhoeae</cp:keywords>
  <dc:description>© Commonwealth of Australia CC BY-NC-ND ISSN: 2209-6051 (Online)</dc:description>
  <cp:lastPrinted>2018-05-10T02:19:00Z</cp:lastPrinted>
  <dcterms:created xsi:type="dcterms:W3CDTF">2024-08-29T01:56:00Z</dcterms:created>
  <dcterms:modified xsi:type="dcterms:W3CDTF">2024-08-29T01:56:00Z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15/7/2020</vt:lpwstr>
  </property>
  <property fmtid="{D5CDD505-2E9C-101B-9397-08002B2CF9AE}" pid="5" name="DOI">
    <vt:lpwstr>https://doi.org/10.33321/cdi.2020.44.58</vt:lpwstr>
  </property>
</Properties>
</file>