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B1D0" w14:textId="77777777" w:rsidR="00B50D8D" w:rsidRPr="00B50D8D" w:rsidRDefault="00B50D8D" w:rsidP="00B50D8D">
      <w:pPr>
        <w:pStyle w:val="CDIfootnotes"/>
      </w:pPr>
      <w:r w:rsidRPr="00B50D8D">
        <w:rPr>
          <w:i/>
          <w:iCs/>
        </w:rPr>
        <w:t>Communicable Diseases Intelligence</w:t>
      </w:r>
      <w:r w:rsidRPr="00B50D8D">
        <w:t xml:space="preserve">, Year </w:t>
      </w:r>
      <w:fldSimple w:instr=" DOCPROPERTY  Year  \* MERGEFORMAT ">
        <w:r w:rsidR="00BF0DB3">
          <w:t>2023</w:t>
        </w:r>
      </w:fldSimple>
      <w:r w:rsidRPr="00B50D8D">
        <w:t xml:space="preserve">, Volume </w:t>
      </w:r>
      <w:fldSimple w:instr=" DOCPROPERTY  Vol  \* MERGEFORMAT ">
        <w:r w:rsidR="00BF0DB3">
          <w:t>47</w:t>
        </w:r>
      </w:fldSimple>
    </w:p>
    <w:p w14:paraId="18464332" w14:textId="7C2016EE" w:rsidR="00B50D8D" w:rsidRPr="00B50D8D" w:rsidRDefault="00D50E91" w:rsidP="00B50D8D">
      <w:pPr>
        <w:pStyle w:val="CDIfootnotes"/>
      </w:pPr>
      <w:fldSimple w:instr=" DOCPROPERTY  DOI  \* MERGEFORMAT ">
        <w:r w:rsidR="00C008F2">
          <w:t>https://doi.org/10.33321/cdi.2023.47.66</w:t>
        </w:r>
      </w:fldSimple>
    </w:p>
    <w:p w14:paraId="5A8C8557" w14:textId="414C1870" w:rsidR="00B50D8D" w:rsidRPr="00B50D8D" w:rsidRDefault="00B50D8D" w:rsidP="00B50D8D">
      <w:pPr>
        <w:pStyle w:val="CDIfootnotes"/>
      </w:pPr>
      <w:r w:rsidRPr="00B50D8D">
        <w:t xml:space="preserve">Publication date: </w:t>
      </w:r>
      <w:fldSimple w:instr=" DOCPROPERTY  ePubDate  \* MERGEFORMAT ">
        <w:r w:rsidR="00C008F2">
          <w:t>16/11/2023</w:t>
        </w:r>
      </w:fldSimple>
    </w:p>
    <w:p w14:paraId="5BE452F0" w14:textId="0EA0821C" w:rsidR="00B50D8D" w:rsidRPr="00B50D8D" w:rsidRDefault="00C008F2" w:rsidP="00B50D8D">
      <w:pPr>
        <w:pStyle w:val="CDIfootnotes"/>
      </w:pPr>
      <w:hyperlink r:id="rId9" w:history="1">
        <w:r w:rsidR="00B50D8D" w:rsidRPr="00B50D8D">
          <w:rPr>
            <w:rStyle w:val="Hyperlink"/>
          </w:rPr>
          <w:t>http://health.gov.au/cdi</w:t>
        </w:r>
      </w:hyperlink>
      <w:r w:rsidR="00B50D8D" w:rsidRPr="00B50D8D">
        <w:t xml:space="preserve"> </w:t>
      </w:r>
    </w:p>
    <w:p w14:paraId="19F9ED15" w14:textId="77777777" w:rsidR="00E94B59" w:rsidRDefault="00E94B59" w:rsidP="00A079A8">
      <w:pPr>
        <w:pStyle w:val="Title"/>
        <w:divId w:val="689065193"/>
        <w:rPr>
          <w:rFonts w:eastAsia="Times New Roman"/>
          <w:sz w:val="48"/>
          <w:szCs w:val="48"/>
        </w:rPr>
      </w:pPr>
      <w:r>
        <w:rPr>
          <w:rFonts w:eastAsia="Times New Roman"/>
        </w:rPr>
        <w:t xml:space="preserve">The APPRISE Virtual Biobank for Infectious Diseases </w:t>
      </w:r>
    </w:p>
    <w:p w14:paraId="24090ECE" w14:textId="77777777" w:rsidR="00E94B59" w:rsidRDefault="00E94B59" w:rsidP="00A079A8">
      <w:pPr>
        <w:divId w:val="689065193"/>
      </w:pPr>
      <w:r>
        <w:t xml:space="preserve">Miranda Z Smith, Maureen Turner, Javier </w:t>
      </w:r>
      <w:proofErr w:type="spellStart"/>
      <w:r>
        <w:t>Haurat</w:t>
      </w:r>
      <w:proofErr w:type="spellEnd"/>
      <w:r>
        <w:t xml:space="preserve">, Irani </w:t>
      </w:r>
      <w:proofErr w:type="spellStart"/>
      <w:r>
        <w:t>Thevarajan</w:t>
      </w:r>
      <w:proofErr w:type="spellEnd"/>
      <w:r>
        <w:t xml:space="preserve">, Justin Denholm, Steven YC Tong, Gail V Matthews, Rowena A Bull, Marianne </w:t>
      </w:r>
      <w:proofErr w:type="spellStart"/>
      <w:r>
        <w:t>Martinello</w:t>
      </w:r>
      <w:proofErr w:type="spellEnd"/>
      <w:r>
        <w:t xml:space="preserve">, James McMahon, Allison Imrie, Priyanka E Pillai </w:t>
      </w:r>
    </w:p>
    <w:p w14:paraId="0A89B5F4" w14:textId="77777777" w:rsidR="00E94B59" w:rsidRPr="00A079A8" w:rsidRDefault="00E94B59" w:rsidP="00A079A8">
      <w:pPr>
        <w:pStyle w:val="Heading1"/>
        <w:divId w:val="689065193"/>
      </w:pPr>
      <w:r w:rsidRPr="00A079A8">
        <w:t xml:space="preserve">Abstract </w:t>
      </w:r>
    </w:p>
    <w:p w14:paraId="6015FF32" w14:textId="6067C81B" w:rsidR="00E94B59" w:rsidRDefault="00E94B59" w:rsidP="00A079A8">
      <w:pPr>
        <w:divId w:val="689065193"/>
      </w:pPr>
      <w:r>
        <w:t xml:space="preserve">The Australian Partnership for Preparedness Research on </w:t>
      </w:r>
      <w:proofErr w:type="spellStart"/>
      <w:r>
        <w:t>InfectiouS</w:t>
      </w:r>
      <w:proofErr w:type="spellEnd"/>
      <w:r>
        <w:t xml:space="preserve"> disease Emergencies (APPRISE) has developed a virtual biobank to support infectious disease research in Australia. The virtual biobank (</w:t>
      </w:r>
      <w:r w:rsidR="00D50E91" w:rsidRPr="00D50E91">
        <w:t>https://apprise.biogrid.org.au</w:t>
      </w:r>
      <w:r>
        <w:t xml:space="preserve">) integrates access to existing distributed infectious disease biospecimen collections </w:t>
      </w:r>
      <w:proofErr w:type="gramStart"/>
      <w:r>
        <w:t>comprising</w:t>
      </w:r>
      <w:proofErr w:type="gramEnd"/>
      <w:r>
        <w:t xml:space="preserve"> multiple specimen types, including plasma, serum, and peripheral blood mononuclear cells. Through the development of a common data model, multiple collections can </w:t>
      </w:r>
      <w:proofErr w:type="gramStart"/>
      <w:r>
        <w:t>be searched</w:t>
      </w:r>
      <w:proofErr w:type="gramEnd"/>
      <w:r>
        <w:t xml:space="preserve"> simultaneously via a secure web portal. The portal enhances the visibility and searchability of existing collections within their current governance and custodianship arrangements. The portal is easily scalable for integration of </w:t>
      </w:r>
      <w:proofErr w:type="gramStart"/>
      <w:r>
        <w:t>additional</w:t>
      </w:r>
      <w:proofErr w:type="gramEnd"/>
      <w:r>
        <w:t xml:space="preserve"> collections. </w:t>
      </w:r>
    </w:p>
    <w:p w14:paraId="46EC0BC9" w14:textId="77777777" w:rsidR="00E94B59" w:rsidRDefault="00E94B59" w:rsidP="00A079A8">
      <w:pPr>
        <w:divId w:val="689065193"/>
      </w:pPr>
      <w:r>
        <w:t xml:space="preserve">Keywords: Infectious disease; virtual biobank; biospecimens; collaboration; preparedness; COVID-19 </w:t>
      </w:r>
    </w:p>
    <w:p w14:paraId="688D0A10" w14:textId="77777777" w:rsidR="00E94B59" w:rsidRPr="00A079A8" w:rsidRDefault="00E94B59" w:rsidP="00A079A8">
      <w:pPr>
        <w:pStyle w:val="Heading1"/>
        <w:divId w:val="689065193"/>
      </w:pPr>
      <w:r w:rsidRPr="00A079A8">
        <w:t xml:space="preserve">Overview and description </w:t>
      </w:r>
    </w:p>
    <w:p w14:paraId="05C8052C" w14:textId="77777777" w:rsidR="00E94B59" w:rsidRDefault="00E94B59" w:rsidP="00A079A8">
      <w:pPr>
        <w:divId w:val="689065193"/>
      </w:pPr>
      <w:r>
        <w:t>Public health emergencies, including the ongoing SARS-CoV-2 pandemic, highlight the need for pre-existing, sustainable and collaborative biobanks.</w:t>
      </w:r>
      <w:r>
        <w:rPr>
          <w:vertAlign w:val="superscript"/>
        </w:rPr>
        <w:t>1</w:t>
      </w:r>
      <w:r>
        <w:t xml:space="preserve"> Access to high-quality biological specimens is essential for many aspects of infectious disease research, including basic pathogenesis and immunological investigations and for supporting diagnostic and treatment development.</w:t>
      </w:r>
      <w:r>
        <w:rPr>
          <w:vertAlign w:val="superscript"/>
        </w:rPr>
        <w:t>2,</w:t>
      </w:r>
      <w:proofErr w:type="gramStart"/>
      <w:r>
        <w:rPr>
          <w:vertAlign w:val="superscript"/>
        </w:rPr>
        <w:t>3</w:t>
      </w:r>
      <w:proofErr w:type="gramEnd"/>
      <w:r>
        <w:t xml:space="preserve"> </w:t>
      </w:r>
    </w:p>
    <w:p w14:paraId="657B180A" w14:textId="5E789550" w:rsidR="00E94B59" w:rsidRDefault="00E94B59" w:rsidP="00A079A8">
      <w:pPr>
        <w:divId w:val="689065193"/>
      </w:pPr>
      <w:r>
        <w:t>We would like to introduce the APPRISE virtual biobank as a first step towards a more nationally co-ordinated biobanking effort for infectious diseases in Australia. The ethics approved portal</w:t>
      </w:r>
      <w:r w:rsidR="007C7A74">
        <w:rPr>
          <w:rStyle w:val="FootnoteReference"/>
        </w:rPr>
        <w:footnoteReference w:id="2"/>
      </w:r>
      <w:r>
        <w:t xml:space="preserve"> enables users to securely find and apply for access to diverse and distributed existing specimen collections. Through the implementation of a minimum information model based on the Minimum Information About Biobank Data Sharing (MIABIS) standard,</w:t>
      </w:r>
      <w:r>
        <w:rPr>
          <w:vertAlign w:val="superscript"/>
        </w:rPr>
        <w:t>4,5</w:t>
      </w:r>
      <w:r>
        <w:t xml:space="preserve"> information from participating collections is harmonised for viewing and searching. This enables, for the first time in Australia, the discovery of infectious disease-related biospecimens and basic related data across institutions and geographic locations. This enables better visibility of existing resources and is easily extendable to include </w:t>
      </w:r>
      <w:proofErr w:type="gramStart"/>
      <w:r>
        <w:t>additional</w:t>
      </w:r>
      <w:proofErr w:type="gramEnd"/>
      <w:r>
        <w:t xml:space="preserve"> biospecimen collections and more granular detail on the specimens and data already collected. </w:t>
      </w:r>
    </w:p>
    <w:p w14:paraId="3E56142B" w14:textId="77777777" w:rsidR="00E94B59" w:rsidRDefault="00E94B59" w:rsidP="00A079A8">
      <w:pPr>
        <w:divId w:val="689065193"/>
      </w:pPr>
      <w:r>
        <w:t>The virtual biobank has initially engaged with six coronavirus disease 2019 (COVID-19)-related collections with over 58,000 samples from more than 2,700 participants. These include pre-existing,</w:t>
      </w:r>
      <w:proofErr w:type="gramStart"/>
      <w:r>
        <w:rPr>
          <w:vertAlign w:val="superscript"/>
        </w:rPr>
        <w:t>6</w:t>
      </w:r>
      <w:proofErr w:type="gramEnd"/>
      <w:r>
        <w:t xml:space="preserve"> clinical trial,</w:t>
      </w:r>
      <w:r>
        <w:rPr>
          <w:vertAlign w:val="superscript"/>
        </w:rPr>
        <w:t>7</w:t>
      </w:r>
      <w:r>
        <w:t xml:space="preserve"> state-based,</w:t>
      </w:r>
      <w:r>
        <w:rPr>
          <w:vertAlign w:val="superscript"/>
        </w:rPr>
        <w:t>8</w:t>
      </w:r>
      <w:r>
        <w:t xml:space="preserve"> and research study-based collections.</w:t>
      </w:r>
      <w:r>
        <w:rPr>
          <w:vertAlign w:val="superscript"/>
        </w:rPr>
        <w:t>9–11</w:t>
      </w:r>
      <w:r>
        <w:t xml:space="preserve"> The biobank will expand over time both in terms of collection and sample numbers. </w:t>
      </w:r>
    </w:p>
    <w:p w14:paraId="07509BFA" w14:textId="77777777" w:rsidR="00E94B59" w:rsidRDefault="00E94B59" w:rsidP="00A079A8">
      <w:pPr>
        <w:divId w:val="689065193"/>
      </w:pPr>
      <w:r>
        <w:t xml:space="preserve">The virtual biobank </w:t>
      </w:r>
      <w:proofErr w:type="gramStart"/>
      <w:r>
        <w:t>is designed</w:t>
      </w:r>
      <w:proofErr w:type="gramEnd"/>
      <w:r>
        <w:t xml:space="preserve"> for minimum impact on the existing arrangements for participating collections. No data from participating collections </w:t>
      </w:r>
      <w:proofErr w:type="gramStart"/>
      <w:r>
        <w:t>is stored</w:t>
      </w:r>
      <w:proofErr w:type="gramEnd"/>
      <w:r>
        <w:t xml:space="preserve"> centrally in the portal. Separate Application Programming Interfaces (APIs) </w:t>
      </w:r>
      <w:proofErr w:type="gramStart"/>
      <w:r>
        <w:t>are used</w:t>
      </w:r>
      <w:proofErr w:type="gramEnd"/>
      <w:r>
        <w:t xml:space="preserve"> at each site to apply the minimum information model and to interact with the virtual biobank website. The data custodianship and specimen governance arrangements </w:t>
      </w:r>
      <w:proofErr w:type="gramStart"/>
      <w:r>
        <w:t>remain</w:t>
      </w:r>
      <w:proofErr w:type="gramEnd"/>
      <w:r>
        <w:t xml:space="preserve"> the responsibility of each </w:t>
      </w:r>
      <w:r>
        <w:lastRenderedPageBreak/>
        <w:t xml:space="preserve">collection custodian. The virtual biobank enables specimen searching and contact with collection holders for more detailed information and access applications. </w:t>
      </w:r>
    </w:p>
    <w:p w14:paraId="3A7C7DF1" w14:textId="6F66736A" w:rsidR="00E94B59" w:rsidRDefault="00E94B59" w:rsidP="00A079A8">
      <w:pPr>
        <w:divId w:val="689065193"/>
      </w:pPr>
      <w:r>
        <w:t xml:space="preserve">This virtual biobank portal </w:t>
      </w:r>
      <w:proofErr w:type="gramStart"/>
      <w:r>
        <w:t>provides</w:t>
      </w:r>
      <w:proofErr w:type="gramEnd"/>
      <w:r>
        <w:t xml:space="preserve"> a user-friendly platform for wider discovery and use of existing biospecimen collections.</w:t>
      </w:r>
      <w:r w:rsidR="00D400A5">
        <w:rPr>
          <w:rStyle w:val="FootnoteReference"/>
        </w:rPr>
        <w:footnoteReference w:id="3"/>
      </w:r>
      <w:r>
        <w:t xml:space="preserve"> This is an important development for infectious disease research in Australia. We encourage researchers to use the virtual biobank to search for biospecimens and consider joining existing or new collections to the portal.</w:t>
      </w:r>
    </w:p>
    <w:p w14:paraId="54F86243" w14:textId="77777777" w:rsidR="00E94B59" w:rsidRPr="00A079A8" w:rsidRDefault="00E94B59" w:rsidP="00A079A8">
      <w:pPr>
        <w:pStyle w:val="Heading1"/>
        <w:divId w:val="689065193"/>
      </w:pPr>
      <w:r w:rsidRPr="00A079A8">
        <w:t xml:space="preserve">Acknowledgements </w:t>
      </w:r>
    </w:p>
    <w:p w14:paraId="57DE8AC4" w14:textId="77777777" w:rsidR="00E94B59" w:rsidRDefault="00E94B59" w:rsidP="00A079A8">
      <w:pPr>
        <w:divId w:val="689065193"/>
      </w:pPr>
      <w:r>
        <w:t xml:space="preserve">We thank the APPRISE Executive for endorsing the project from its </w:t>
      </w:r>
      <w:proofErr w:type="gramStart"/>
      <w:r>
        <w:t>inception</w:t>
      </w:r>
      <w:proofErr w:type="gramEnd"/>
      <w:r>
        <w:t xml:space="preserve">. Dr Allison </w:t>
      </w:r>
      <w:proofErr w:type="spellStart"/>
      <w:r>
        <w:t>Bourne</w:t>
      </w:r>
      <w:proofErr w:type="spellEnd"/>
      <w:r>
        <w:t xml:space="preserve"> has been instrumental in arranging the ethical and governance approvals. We thank Ashley Fletcher, Wisam Abdelaziz and the </w:t>
      </w:r>
      <w:proofErr w:type="spellStart"/>
      <w:r>
        <w:t>BioGrid</w:t>
      </w:r>
      <w:proofErr w:type="spellEnd"/>
      <w:r>
        <w:t xml:space="preserve"> programming staff for building the portal. Further thanks go to the technical staff supporting each participating collection and enabling their integration into the portal. Finally, we acknowledge the ongoing generosity of all study participants whose samples form the basis of each biospecimen collection. This project is a collective effort to ensure the best use of these valuable resources in impactful infectious disease research. </w:t>
      </w:r>
      <w:proofErr w:type="gramStart"/>
      <w:r>
        <w:t>Initial development of the virtual biobank was funded by the National Health and Medical Research Council (NHMRC ID 1116530)</w:t>
      </w:r>
      <w:proofErr w:type="gramEnd"/>
      <w:r>
        <w:t>.</w:t>
      </w:r>
    </w:p>
    <w:p w14:paraId="0F7E66A9" w14:textId="77777777" w:rsidR="00E94B59" w:rsidRPr="00A079A8" w:rsidRDefault="00E94B59" w:rsidP="00A079A8">
      <w:pPr>
        <w:pStyle w:val="Heading1"/>
        <w:divId w:val="689065193"/>
      </w:pPr>
      <w:r w:rsidRPr="00A079A8">
        <w:t xml:space="preserve">Author details </w:t>
      </w:r>
    </w:p>
    <w:p w14:paraId="033C5648" w14:textId="77777777" w:rsidR="00807051" w:rsidRDefault="00E94B59" w:rsidP="00A079A8">
      <w:pPr>
        <w:divId w:val="689065193"/>
      </w:pPr>
      <w:r>
        <w:t xml:space="preserve">Dr Miranda Z Smith, </w:t>
      </w:r>
      <w:r w:rsidRPr="00807051">
        <w:rPr>
          <w:vertAlign w:val="superscript"/>
        </w:rPr>
        <w:t>1</w:t>
      </w:r>
    </w:p>
    <w:p w14:paraId="07789955" w14:textId="77777777" w:rsidR="00807051" w:rsidRDefault="00E94B59" w:rsidP="00A079A8">
      <w:pPr>
        <w:divId w:val="689065193"/>
      </w:pPr>
      <w:r>
        <w:t xml:space="preserve">Ms Maureen Turner, </w:t>
      </w:r>
      <w:r w:rsidRPr="00807051">
        <w:rPr>
          <w:vertAlign w:val="superscript"/>
        </w:rPr>
        <w:t>2</w:t>
      </w:r>
    </w:p>
    <w:p w14:paraId="04D92CC6" w14:textId="77777777" w:rsidR="00807051" w:rsidRDefault="00E94B59" w:rsidP="00A079A8">
      <w:pPr>
        <w:divId w:val="689065193"/>
      </w:pPr>
      <w:r>
        <w:t xml:space="preserve">Mr Javier </w:t>
      </w:r>
      <w:proofErr w:type="spellStart"/>
      <w:r>
        <w:t>Haurat</w:t>
      </w:r>
      <w:proofErr w:type="spellEnd"/>
      <w:r>
        <w:t xml:space="preserve">, </w:t>
      </w:r>
      <w:r w:rsidRPr="00807051">
        <w:rPr>
          <w:vertAlign w:val="superscript"/>
        </w:rPr>
        <w:t>2</w:t>
      </w:r>
    </w:p>
    <w:p w14:paraId="14069AAD" w14:textId="77777777" w:rsidR="00807051" w:rsidRDefault="00E94B59" w:rsidP="00A079A8">
      <w:pPr>
        <w:divId w:val="689065193"/>
      </w:pPr>
      <w:r>
        <w:t xml:space="preserve">Dr Irani </w:t>
      </w:r>
      <w:proofErr w:type="spellStart"/>
      <w:r>
        <w:t>Thevarajan</w:t>
      </w:r>
      <w:proofErr w:type="spellEnd"/>
      <w:r>
        <w:t xml:space="preserve">, </w:t>
      </w:r>
      <w:r w:rsidRPr="00807051">
        <w:rPr>
          <w:vertAlign w:val="superscript"/>
        </w:rPr>
        <w:t>1,3</w:t>
      </w:r>
    </w:p>
    <w:p w14:paraId="13A71FB6" w14:textId="77777777" w:rsidR="00807051" w:rsidRDefault="00E94B59" w:rsidP="00A079A8">
      <w:pPr>
        <w:divId w:val="689065193"/>
      </w:pPr>
      <w:r>
        <w:t xml:space="preserve">Prof. Justin Denholm, </w:t>
      </w:r>
      <w:r w:rsidRPr="00807051">
        <w:rPr>
          <w:vertAlign w:val="superscript"/>
        </w:rPr>
        <w:t>1,3</w:t>
      </w:r>
    </w:p>
    <w:p w14:paraId="70E7B674" w14:textId="77777777" w:rsidR="00807051" w:rsidRDefault="00E94B59" w:rsidP="00A079A8">
      <w:pPr>
        <w:divId w:val="689065193"/>
      </w:pPr>
      <w:r>
        <w:t xml:space="preserve">Prof. Steven YC Tong, </w:t>
      </w:r>
      <w:r w:rsidRPr="00807051">
        <w:rPr>
          <w:vertAlign w:val="superscript"/>
        </w:rPr>
        <w:t>1,3</w:t>
      </w:r>
    </w:p>
    <w:p w14:paraId="7DDB1BF3" w14:textId="77777777" w:rsidR="00807051" w:rsidRDefault="00E94B59" w:rsidP="00A079A8">
      <w:pPr>
        <w:divId w:val="689065193"/>
      </w:pPr>
      <w:r>
        <w:t xml:space="preserve">Prof. Gail V Matthews, </w:t>
      </w:r>
      <w:r w:rsidRPr="00807051">
        <w:rPr>
          <w:vertAlign w:val="superscript"/>
        </w:rPr>
        <w:t>4,5</w:t>
      </w:r>
    </w:p>
    <w:p w14:paraId="779566AF" w14:textId="77777777" w:rsidR="00807051" w:rsidRDefault="00E94B59" w:rsidP="00A079A8">
      <w:pPr>
        <w:divId w:val="689065193"/>
      </w:pPr>
      <w:r>
        <w:t xml:space="preserve">A/Prof. Rowena A Bull, </w:t>
      </w:r>
      <w:r w:rsidRPr="00807051">
        <w:rPr>
          <w:vertAlign w:val="superscript"/>
        </w:rPr>
        <w:t>4,6</w:t>
      </w:r>
    </w:p>
    <w:p w14:paraId="303494D3" w14:textId="77777777" w:rsidR="00807051" w:rsidRDefault="00E94B59" w:rsidP="00A079A8">
      <w:pPr>
        <w:divId w:val="689065193"/>
      </w:pPr>
      <w:r>
        <w:t xml:space="preserve">Dr Marianne </w:t>
      </w:r>
      <w:proofErr w:type="spellStart"/>
      <w:r>
        <w:t>Martinello</w:t>
      </w:r>
      <w:proofErr w:type="spellEnd"/>
      <w:r>
        <w:t xml:space="preserve">, </w:t>
      </w:r>
      <w:r w:rsidRPr="00807051">
        <w:rPr>
          <w:vertAlign w:val="superscript"/>
        </w:rPr>
        <w:t>4,7</w:t>
      </w:r>
    </w:p>
    <w:p w14:paraId="563DF620" w14:textId="77777777" w:rsidR="00807051" w:rsidRDefault="00E94B59" w:rsidP="00A079A8">
      <w:pPr>
        <w:divId w:val="689065193"/>
      </w:pPr>
      <w:r>
        <w:t xml:space="preserve">A/Prof. James McMahon, </w:t>
      </w:r>
      <w:r w:rsidRPr="00807051">
        <w:rPr>
          <w:vertAlign w:val="superscript"/>
        </w:rPr>
        <w:t>8,9</w:t>
      </w:r>
    </w:p>
    <w:p w14:paraId="284187DC" w14:textId="77777777" w:rsidR="00807051" w:rsidRDefault="00E94B59" w:rsidP="00A079A8">
      <w:pPr>
        <w:divId w:val="689065193"/>
      </w:pPr>
      <w:r>
        <w:t xml:space="preserve">A/Prof. Allison Imrie, </w:t>
      </w:r>
      <w:r w:rsidRPr="00807051">
        <w:rPr>
          <w:vertAlign w:val="superscript"/>
        </w:rPr>
        <w:t>10</w:t>
      </w:r>
    </w:p>
    <w:p w14:paraId="7F35129E" w14:textId="0EF35647" w:rsidR="00E94B59" w:rsidRDefault="00E94B59" w:rsidP="00A079A8">
      <w:pPr>
        <w:divId w:val="689065193"/>
      </w:pPr>
      <w:r>
        <w:t xml:space="preserve">Ms Priyanka E Pillai, </w:t>
      </w:r>
      <w:r w:rsidRPr="00807051">
        <w:rPr>
          <w:vertAlign w:val="superscript"/>
        </w:rPr>
        <w:t>1,11</w:t>
      </w:r>
      <w:r>
        <w:t xml:space="preserve"> </w:t>
      </w:r>
    </w:p>
    <w:p w14:paraId="32184491" w14:textId="77777777" w:rsidR="00E94B59" w:rsidRPr="00A079A8" w:rsidRDefault="00E94B59" w:rsidP="00A079A8">
      <w:pPr>
        <w:pStyle w:val="ListParagraph"/>
        <w:numPr>
          <w:ilvl w:val="0"/>
          <w:numId w:val="9"/>
        </w:numPr>
        <w:divId w:val="689065193"/>
        <w:rPr>
          <w:rFonts w:eastAsia="Times New Roman"/>
        </w:rPr>
      </w:pPr>
      <w:r w:rsidRPr="00A079A8">
        <w:rPr>
          <w:rFonts w:eastAsia="Times New Roman"/>
        </w:rPr>
        <w:t xml:space="preserve">Department of Infectious Diseases, University of Melbourne, at the Peter Doherty Institute for Infection and Immunity, Victoria, </w:t>
      </w:r>
      <w:proofErr w:type="gramStart"/>
      <w:r w:rsidRPr="00A079A8">
        <w:rPr>
          <w:rFonts w:eastAsia="Times New Roman"/>
        </w:rPr>
        <w:t>3000</w:t>
      </w:r>
      <w:proofErr w:type="gramEnd"/>
      <w:r w:rsidRPr="00A079A8">
        <w:rPr>
          <w:rFonts w:eastAsia="Times New Roman"/>
        </w:rPr>
        <w:t xml:space="preserve">, Australia </w:t>
      </w:r>
    </w:p>
    <w:p w14:paraId="680B2A3E" w14:textId="77777777" w:rsidR="00E94B59" w:rsidRPr="00A079A8" w:rsidRDefault="00E94B59" w:rsidP="00A079A8">
      <w:pPr>
        <w:pStyle w:val="ListParagraph"/>
        <w:numPr>
          <w:ilvl w:val="0"/>
          <w:numId w:val="9"/>
        </w:numPr>
        <w:divId w:val="689065193"/>
        <w:rPr>
          <w:rFonts w:eastAsia="Times New Roman"/>
        </w:rPr>
      </w:pPr>
      <w:proofErr w:type="spellStart"/>
      <w:r w:rsidRPr="00A079A8">
        <w:rPr>
          <w:rFonts w:eastAsia="Times New Roman"/>
        </w:rPr>
        <w:t>BioGrid</w:t>
      </w:r>
      <w:proofErr w:type="spellEnd"/>
      <w:r w:rsidRPr="00A079A8">
        <w:rPr>
          <w:rFonts w:eastAsia="Times New Roman"/>
        </w:rPr>
        <w:t xml:space="preserve"> Australia, North Melbourne, Victoria 3051, Australia </w:t>
      </w:r>
    </w:p>
    <w:p w14:paraId="0F6075E0" w14:textId="77777777" w:rsidR="00E94B59" w:rsidRPr="00A079A8" w:rsidRDefault="00E94B59" w:rsidP="00A079A8">
      <w:pPr>
        <w:pStyle w:val="ListParagraph"/>
        <w:numPr>
          <w:ilvl w:val="0"/>
          <w:numId w:val="9"/>
        </w:numPr>
        <w:divId w:val="689065193"/>
        <w:rPr>
          <w:rFonts w:eastAsia="Times New Roman"/>
        </w:rPr>
      </w:pPr>
      <w:r w:rsidRPr="00A079A8">
        <w:rPr>
          <w:rFonts w:eastAsia="Times New Roman"/>
        </w:rPr>
        <w:lastRenderedPageBreak/>
        <w:t xml:space="preserve">Victorian Infectious Diseases Service, Royal Melbourne Hospital at the Peter Doherty Institute for Infection and Immunity, Victoria, </w:t>
      </w:r>
      <w:proofErr w:type="gramStart"/>
      <w:r w:rsidRPr="00A079A8">
        <w:rPr>
          <w:rFonts w:eastAsia="Times New Roman"/>
        </w:rPr>
        <w:t>3000</w:t>
      </w:r>
      <w:proofErr w:type="gramEnd"/>
      <w:r w:rsidRPr="00A079A8">
        <w:rPr>
          <w:rFonts w:eastAsia="Times New Roman"/>
        </w:rPr>
        <w:t xml:space="preserve">, Australia </w:t>
      </w:r>
    </w:p>
    <w:p w14:paraId="0296D4B1" w14:textId="77777777" w:rsidR="00E94B59" w:rsidRPr="00A079A8" w:rsidRDefault="00E94B59" w:rsidP="00A079A8">
      <w:pPr>
        <w:pStyle w:val="ListParagraph"/>
        <w:numPr>
          <w:ilvl w:val="0"/>
          <w:numId w:val="9"/>
        </w:numPr>
        <w:divId w:val="689065193"/>
        <w:rPr>
          <w:rFonts w:eastAsia="Times New Roman"/>
        </w:rPr>
      </w:pPr>
      <w:r w:rsidRPr="00A079A8">
        <w:rPr>
          <w:rFonts w:eastAsia="Times New Roman"/>
        </w:rPr>
        <w:t xml:space="preserve">The Kirby Institute, UNSW Sydney, NSW, 2052 Australia </w:t>
      </w:r>
    </w:p>
    <w:p w14:paraId="6F6A3442" w14:textId="77777777" w:rsidR="00E94B59" w:rsidRPr="00A079A8" w:rsidRDefault="00E94B59" w:rsidP="00A079A8">
      <w:pPr>
        <w:pStyle w:val="ListParagraph"/>
        <w:numPr>
          <w:ilvl w:val="0"/>
          <w:numId w:val="9"/>
        </w:numPr>
        <w:divId w:val="689065193"/>
        <w:rPr>
          <w:rFonts w:eastAsia="Times New Roman"/>
        </w:rPr>
      </w:pPr>
      <w:r w:rsidRPr="00A079A8">
        <w:rPr>
          <w:rFonts w:eastAsia="Times New Roman"/>
        </w:rPr>
        <w:t xml:space="preserve">St Vincent’s Hospital, NSW, 2010, Australia </w:t>
      </w:r>
    </w:p>
    <w:p w14:paraId="5863BD64" w14:textId="77777777" w:rsidR="00E94B59" w:rsidRPr="00A079A8" w:rsidRDefault="00E94B59" w:rsidP="00A079A8">
      <w:pPr>
        <w:pStyle w:val="ListParagraph"/>
        <w:numPr>
          <w:ilvl w:val="0"/>
          <w:numId w:val="9"/>
        </w:numPr>
        <w:divId w:val="689065193"/>
        <w:rPr>
          <w:rFonts w:eastAsia="Times New Roman"/>
        </w:rPr>
      </w:pPr>
      <w:r w:rsidRPr="00A079A8">
        <w:rPr>
          <w:rFonts w:eastAsia="Times New Roman"/>
        </w:rPr>
        <w:t xml:space="preserve">School of Medical Sciences, UNSW Sydney, NSW 2052, Australia </w:t>
      </w:r>
    </w:p>
    <w:p w14:paraId="05658803" w14:textId="77777777" w:rsidR="00E94B59" w:rsidRPr="00A079A8" w:rsidRDefault="00E94B59" w:rsidP="00A079A8">
      <w:pPr>
        <w:pStyle w:val="ListParagraph"/>
        <w:numPr>
          <w:ilvl w:val="0"/>
          <w:numId w:val="9"/>
        </w:numPr>
        <w:divId w:val="689065193"/>
        <w:rPr>
          <w:rFonts w:eastAsia="Times New Roman"/>
        </w:rPr>
      </w:pPr>
      <w:r w:rsidRPr="00A079A8">
        <w:rPr>
          <w:rFonts w:eastAsia="Times New Roman"/>
        </w:rPr>
        <w:t xml:space="preserve">Prince of Wales Hospital, Randwick, NSW, 2031, Australia </w:t>
      </w:r>
    </w:p>
    <w:p w14:paraId="231F9709" w14:textId="77777777" w:rsidR="00E94B59" w:rsidRPr="00A079A8" w:rsidRDefault="00E94B59" w:rsidP="00A079A8">
      <w:pPr>
        <w:pStyle w:val="ListParagraph"/>
        <w:numPr>
          <w:ilvl w:val="0"/>
          <w:numId w:val="9"/>
        </w:numPr>
        <w:divId w:val="689065193"/>
        <w:rPr>
          <w:rFonts w:eastAsia="Times New Roman"/>
        </w:rPr>
      </w:pPr>
      <w:r w:rsidRPr="00A079A8">
        <w:rPr>
          <w:rFonts w:eastAsia="Times New Roman"/>
        </w:rPr>
        <w:t xml:space="preserve">Monash Infectious Diseases, Monash Medical Centre, Monash Health, Victoria, 3168, Australia </w:t>
      </w:r>
    </w:p>
    <w:p w14:paraId="0DF1F3BD" w14:textId="77777777" w:rsidR="00E94B59" w:rsidRPr="00A079A8" w:rsidRDefault="00E94B59" w:rsidP="00A079A8">
      <w:pPr>
        <w:pStyle w:val="ListParagraph"/>
        <w:numPr>
          <w:ilvl w:val="0"/>
          <w:numId w:val="9"/>
        </w:numPr>
        <w:divId w:val="689065193"/>
        <w:rPr>
          <w:rFonts w:eastAsia="Times New Roman"/>
        </w:rPr>
      </w:pPr>
      <w:r w:rsidRPr="00A079A8">
        <w:rPr>
          <w:rFonts w:eastAsia="Times New Roman"/>
        </w:rPr>
        <w:t xml:space="preserve">Department of Infectious Diseases, Monash University and Alfred Hospital, Victoria, 3004, Australia </w:t>
      </w:r>
    </w:p>
    <w:p w14:paraId="1620475F" w14:textId="77777777" w:rsidR="00E94B59" w:rsidRPr="00A079A8" w:rsidRDefault="00E94B59" w:rsidP="00A079A8">
      <w:pPr>
        <w:pStyle w:val="ListParagraph"/>
        <w:numPr>
          <w:ilvl w:val="0"/>
          <w:numId w:val="9"/>
        </w:numPr>
        <w:divId w:val="689065193"/>
        <w:rPr>
          <w:rFonts w:eastAsia="Times New Roman"/>
        </w:rPr>
      </w:pPr>
      <w:r w:rsidRPr="00A079A8">
        <w:rPr>
          <w:rFonts w:eastAsia="Times New Roman"/>
        </w:rPr>
        <w:t xml:space="preserve">School of Biomedical Sciences, University of Western Australia, WA, 6009, Australia </w:t>
      </w:r>
    </w:p>
    <w:p w14:paraId="63CCAEBF" w14:textId="2879D846" w:rsidR="00807051" w:rsidRPr="00807051" w:rsidRDefault="00E94B59" w:rsidP="00807051">
      <w:pPr>
        <w:pStyle w:val="ListParagraph"/>
        <w:numPr>
          <w:ilvl w:val="0"/>
          <w:numId w:val="9"/>
        </w:numPr>
        <w:divId w:val="689065193"/>
        <w:rPr>
          <w:rFonts w:eastAsia="Times New Roman"/>
        </w:rPr>
      </w:pPr>
      <w:r w:rsidRPr="00A079A8">
        <w:rPr>
          <w:rFonts w:eastAsia="Times New Roman"/>
        </w:rPr>
        <w:t xml:space="preserve">Melbourne Data Analytics Platform, University of Melbourne, Victoria, </w:t>
      </w:r>
      <w:proofErr w:type="gramStart"/>
      <w:r w:rsidRPr="00A079A8">
        <w:rPr>
          <w:rFonts w:eastAsia="Times New Roman"/>
        </w:rPr>
        <w:t>3000</w:t>
      </w:r>
      <w:proofErr w:type="gramEnd"/>
      <w:r w:rsidRPr="00A079A8">
        <w:rPr>
          <w:rFonts w:eastAsia="Times New Roman"/>
        </w:rPr>
        <w:t xml:space="preserve">, Australia </w:t>
      </w:r>
    </w:p>
    <w:p w14:paraId="1F131AC7" w14:textId="14D25327" w:rsidR="00E94B59" w:rsidRPr="00A079A8" w:rsidRDefault="00E94B59" w:rsidP="00A079A8">
      <w:pPr>
        <w:pStyle w:val="Heading2"/>
        <w:spacing w:after="200"/>
        <w:divId w:val="689065193"/>
      </w:pPr>
      <w:r w:rsidRPr="00A079A8">
        <w:t xml:space="preserve">Corresponding author </w:t>
      </w:r>
    </w:p>
    <w:p w14:paraId="3AF6F5AC" w14:textId="77777777" w:rsidR="00E94B59" w:rsidRDefault="00E94B59" w:rsidP="00A079A8">
      <w:pPr>
        <w:divId w:val="689065193"/>
      </w:pPr>
      <w:r>
        <w:t xml:space="preserve">Dr Miranda Smith </w:t>
      </w:r>
    </w:p>
    <w:p w14:paraId="2F3B95DC" w14:textId="77777777" w:rsidR="00E94B59" w:rsidRDefault="00E94B59" w:rsidP="00A079A8">
      <w:pPr>
        <w:divId w:val="689065193"/>
      </w:pPr>
      <w:r>
        <w:t xml:space="preserve">The Department of Infectious Diseases, University of Melbourne, at The Peter Doherty Institute for Infection and Immunity </w:t>
      </w:r>
    </w:p>
    <w:p w14:paraId="1BF0F29D" w14:textId="77777777" w:rsidR="00E94B59" w:rsidRDefault="00E94B59" w:rsidP="00A079A8">
      <w:pPr>
        <w:divId w:val="689065193"/>
      </w:pPr>
      <w:r>
        <w:t xml:space="preserve">Phone: 03 8344 6456 </w:t>
      </w:r>
    </w:p>
    <w:p w14:paraId="059834C6" w14:textId="77777777" w:rsidR="00E94B59" w:rsidRDefault="00E94B59" w:rsidP="00A079A8">
      <w:pPr>
        <w:divId w:val="689065193"/>
      </w:pPr>
      <w:r>
        <w:t>Email: Miranda.smith@unimelb.edu.au</w:t>
      </w:r>
    </w:p>
    <w:p w14:paraId="3B2D4B33" w14:textId="77777777" w:rsidR="00E94B59" w:rsidRPr="00852887" w:rsidRDefault="00E94B59" w:rsidP="00852887">
      <w:pPr>
        <w:pStyle w:val="Heading1"/>
        <w:divId w:val="689065193"/>
      </w:pPr>
      <w:r w:rsidRPr="00852887">
        <w:t xml:space="preserve">References </w:t>
      </w:r>
    </w:p>
    <w:p w14:paraId="53AAB101" w14:textId="77777777" w:rsidR="00E94B59" w:rsidRDefault="00E94B59" w:rsidP="00E94B59">
      <w:pPr>
        <w:numPr>
          <w:ilvl w:val="0"/>
          <w:numId w:val="8"/>
        </w:numPr>
        <w:spacing w:before="100" w:beforeAutospacing="1" w:after="100" w:afterAutospacing="1" w:line="240" w:lineRule="auto"/>
        <w:divId w:val="689065193"/>
        <w:rPr>
          <w:rFonts w:eastAsia="Times New Roman"/>
        </w:rPr>
      </w:pPr>
      <w:r>
        <w:rPr>
          <w:rFonts w:eastAsia="Times New Roman"/>
        </w:rPr>
        <w:t xml:space="preserve">Peeling RW, </w:t>
      </w:r>
      <w:proofErr w:type="spellStart"/>
      <w:r>
        <w:rPr>
          <w:rFonts w:eastAsia="Times New Roman"/>
        </w:rPr>
        <w:t>Boeras</w:t>
      </w:r>
      <w:proofErr w:type="spellEnd"/>
      <w:r>
        <w:rPr>
          <w:rFonts w:eastAsia="Times New Roman"/>
        </w:rPr>
        <w:t xml:space="preserve"> D, Wilder-Smith A, </w:t>
      </w:r>
      <w:proofErr w:type="spellStart"/>
      <w:r>
        <w:rPr>
          <w:rFonts w:eastAsia="Times New Roman"/>
        </w:rPr>
        <w:t>Sall</w:t>
      </w:r>
      <w:proofErr w:type="spellEnd"/>
      <w:r>
        <w:rPr>
          <w:rFonts w:eastAsia="Times New Roman"/>
        </w:rPr>
        <w:t xml:space="preserve"> A, </w:t>
      </w:r>
      <w:proofErr w:type="spellStart"/>
      <w:r>
        <w:rPr>
          <w:rFonts w:eastAsia="Times New Roman"/>
        </w:rPr>
        <w:t>Nkengasong</w:t>
      </w:r>
      <w:proofErr w:type="spellEnd"/>
      <w:r>
        <w:rPr>
          <w:rFonts w:eastAsia="Times New Roman"/>
        </w:rPr>
        <w:t xml:space="preserve"> J. Need for sustainable biobanking networks for COVID-19 and other diseases of epidemic potential. </w:t>
      </w:r>
      <w:r w:rsidRPr="00E92A7A">
        <w:rPr>
          <w:rStyle w:val="Emphasis"/>
          <w:rFonts w:eastAsia="Times New Roman"/>
          <w:b w:val="0"/>
          <w:bCs w:val="0"/>
        </w:rPr>
        <w:t>Lancet Infect Dis</w:t>
      </w:r>
      <w:r>
        <w:rPr>
          <w:rFonts w:eastAsia="Times New Roman"/>
        </w:rPr>
        <w:t>. 2020;20(10</w:t>
      </w:r>
      <w:proofErr w:type="gramStart"/>
      <w:r>
        <w:rPr>
          <w:rFonts w:eastAsia="Times New Roman"/>
        </w:rPr>
        <w:t>):e</w:t>
      </w:r>
      <w:proofErr w:type="gramEnd"/>
      <w:r>
        <w:rPr>
          <w:rFonts w:eastAsia="Times New Roman"/>
        </w:rPr>
        <w:t xml:space="preserve">268–73. </w:t>
      </w:r>
      <w:proofErr w:type="spellStart"/>
      <w:r>
        <w:rPr>
          <w:rFonts w:eastAsia="Times New Roman"/>
        </w:rPr>
        <w:t>doi</w:t>
      </w:r>
      <w:proofErr w:type="spellEnd"/>
      <w:r>
        <w:rPr>
          <w:rFonts w:eastAsia="Times New Roman"/>
        </w:rPr>
        <w:t xml:space="preserve">: https://doi.org/10.1016/S1473-3099(20)30461-8. </w:t>
      </w:r>
    </w:p>
    <w:p w14:paraId="56554628" w14:textId="77777777" w:rsidR="00E94B59" w:rsidRDefault="00E94B59" w:rsidP="00E94B59">
      <w:pPr>
        <w:numPr>
          <w:ilvl w:val="0"/>
          <w:numId w:val="8"/>
        </w:numPr>
        <w:spacing w:before="100" w:beforeAutospacing="1" w:after="100" w:afterAutospacing="1" w:line="240" w:lineRule="auto"/>
        <w:divId w:val="689065193"/>
        <w:rPr>
          <w:rFonts w:eastAsia="Times New Roman"/>
        </w:rPr>
      </w:pPr>
      <w:proofErr w:type="spellStart"/>
      <w:r>
        <w:rPr>
          <w:rFonts w:eastAsia="Times New Roman"/>
        </w:rPr>
        <w:t>Malsagova</w:t>
      </w:r>
      <w:proofErr w:type="spellEnd"/>
      <w:r>
        <w:rPr>
          <w:rFonts w:eastAsia="Times New Roman"/>
        </w:rPr>
        <w:t xml:space="preserve"> K, Kopylov A, Stepanov A, </w:t>
      </w:r>
      <w:proofErr w:type="spellStart"/>
      <w:r>
        <w:rPr>
          <w:rFonts w:eastAsia="Times New Roman"/>
        </w:rPr>
        <w:t>Butkova</w:t>
      </w:r>
      <w:proofErr w:type="spellEnd"/>
      <w:r>
        <w:rPr>
          <w:rFonts w:eastAsia="Times New Roman"/>
        </w:rPr>
        <w:t xml:space="preserve"> T, </w:t>
      </w:r>
      <w:proofErr w:type="spellStart"/>
      <w:r>
        <w:rPr>
          <w:rFonts w:eastAsia="Times New Roman"/>
        </w:rPr>
        <w:t>Sinitsyna</w:t>
      </w:r>
      <w:proofErr w:type="spellEnd"/>
      <w:r>
        <w:rPr>
          <w:rFonts w:eastAsia="Times New Roman"/>
        </w:rPr>
        <w:t xml:space="preserve"> A, </w:t>
      </w:r>
      <w:proofErr w:type="spellStart"/>
      <w:r>
        <w:rPr>
          <w:rFonts w:eastAsia="Times New Roman"/>
        </w:rPr>
        <w:t>Izotov</w:t>
      </w:r>
      <w:proofErr w:type="spellEnd"/>
      <w:r>
        <w:rPr>
          <w:rFonts w:eastAsia="Times New Roman"/>
        </w:rPr>
        <w:t xml:space="preserve"> A et al. Biobanks – a platform for scientific and biomedical research. </w:t>
      </w:r>
      <w:r w:rsidRPr="00E92A7A">
        <w:rPr>
          <w:rStyle w:val="Emphasis"/>
          <w:rFonts w:eastAsia="Times New Roman"/>
          <w:b w:val="0"/>
          <w:bCs w:val="0"/>
        </w:rPr>
        <w:t>Diagnostics (Basel)</w:t>
      </w:r>
      <w:r>
        <w:rPr>
          <w:rFonts w:eastAsia="Times New Roman"/>
        </w:rPr>
        <w:t xml:space="preserve">. 2020;10(7):485. </w:t>
      </w:r>
      <w:proofErr w:type="spellStart"/>
      <w:r>
        <w:rPr>
          <w:rFonts w:eastAsia="Times New Roman"/>
        </w:rPr>
        <w:t>doi</w:t>
      </w:r>
      <w:proofErr w:type="spellEnd"/>
      <w:r>
        <w:rPr>
          <w:rFonts w:eastAsia="Times New Roman"/>
        </w:rPr>
        <w:t xml:space="preserve">: https://doi.org/10.3390/diagnostics10070485. </w:t>
      </w:r>
    </w:p>
    <w:p w14:paraId="207161B9" w14:textId="77777777" w:rsidR="00E94B59" w:rsidRDefault="00E94B59" w:rsidP="00E94B59">
      <w:pPr>
        <w:numPr>
          <w:ilvl w:val="0"/>
          <w:numId w:val="8"/>
        </w:numPr>
        <w:spacing w:before="100" w:beforeAutospacing="1" w:after="100" w:afterAutospacing="1" w:line="240" w:lineRule="auto"/>
        <w:divId w:val="689065193"/>
        <w:rPr>
          <w:rFonts w:eastAsia="Times New Roman"/>
        </w:rPr>
      </w:pPr>
      <w:r>
        <w:rPr>
          <w:rFonts w:eastAsia="Times New Roman"/>
        </w:rPr>
        <w:t xml:space="preserve">Marín-Hernández D, </w:t>
      </w:r>
      <w:proofErr w:type="spellStart"/>
      <w:r>
        <w:rPr>
          <w:rFonts w:eastAsia="Times New Roman"/>
        </w:rPr>
        <w:t>Hupert</w:t>
      </w:r>
      <w:proofErr w:type="spellEnd"/>
      <w:r>
        <w:rPr>
          <w:rFonts w:eastAsia="Times New Roman"/>
        </w:rPr>
        <w:t xml:space="preserve"> N, Nixon DF. The Immunologists’ Guide to Pandemic Preparedness. </w:t>
      </w:r>
      <w:r w:rsidRPr="00E92A7A">
        <w:rPr>
          <w:rStyle w:val="Emphasis"/>
          <w:rFonts w:eastAsia="Times New Roman"/>
          <w:b w:val="0"/>
          <w:bCs w:val="0"/>
        </w:rPr>
        <w:t>Trends Immunol</w:t>
      </w:r>
      <w:r>
        <w:rPr>
          <w:rFonts w:eastAsia="Times New Roman"/>
        </w:rPr>
        <w:t xml:space="preserve">. 2021;42(2):91–3. </w:t>
      </w:r>
      <w:proofErr w:type="spellStart"/>
      <w:r>
        <w:rPr>
          <w:rFonts w:eastAsia="Times New Roman"/>
        </w:rPr>
        <w:t>doi</w:t>
      </w:r>
      <w:proofErr w:type="spellEnd"/>
      <w:r>
        <w:rPr>
          <w:rFonts w:eastAsia="Times New Roman"/>
        </w:rPr>
        <w:t xml:space="preserve">: https://doi.org/10.1016/j.it.2020.12.003. </w:t>
      </w:r>
    </w:p>
    <w:p w14:paraId="38BEACFB" w14:textId="77777777" w:rsidR="00E94B59" w:rsidRDefault="00E94B59" w:rsidP="00E94B59">
      <w:pPr>
        <w:numPr>
          <w:ilvl w:val="0"/>
          <w:numId w:val="8"/>
        </w:numPr>
        <w:spacing w:before="100" w:beforeAutospacing="1" w:after="100" w:afterAutospacing="1" w:line="240" w:lineRule="auto"/>
        <w:divId w:val="689065193"/>
        <w:rPr>
          <w:rFonts w:eastAsia="Times New Roman"/>
        </w:rPr>
      </w:pPr>
      <w:r>
        <w:rPr>
          <w:rFonts w:eastAsia="Times New Roman"/>
        </w:rPr>
        <w:t xml:space="preserve">Eklund N, </w:t>
      </w:r>
      <w:proofErr w:type="spellStart"/>
      <w:r>
        <w:rPr>
          <w:rFonts w:eastAsia="Times New Roman"/>
        </w:rPr>
        <w:t>Andrianarisoa</w:t>
      </w:r>
      <w:proofErr w:type="spellEnd"/>
      <w:r>
        <w:rPr>
          <w:rFonts w:eastAsia="Times New Roman"/>
        </w:rPr>
        <w:t xml:space="preserve"> NH, van </w:t>
      </w:r>
      <w:proofErr w:type="spellStart"/>
      <w:r>
        <w:rPr>
          <w:rFonts w:eastAsia="Times New Roman"/>
        </w:rPr>
        <w:t>Enckevort</w:t>
      </w:r>
      <w:proofErr w:type="spellEnd"/>
      <w:r>
        <w:rPr>
          <w:rFonts w:eastAsia="Times New Roman"/>
        </w:rPr>
        <w:t xml:space="preserve"> E, Anton G, </w:t>
      </w:r>
      <w:proofErr w:type="spellStart"/>
      <w:r>
        <w:rPr>
          <w:rFonts w:eastAsia="Times New Roman"/>
        </w:rPr>
        <w:t>Debucquoy</w:t>
      </w:r>
      <w:proofErr w:type="spellEnd"/>
      <w:r>
        <w:rPr>
          <w:rFonts w:eastAsia="Times New Roman"/>
        </w:rPr>
        <w:t xml:space="preserve"> A, Müller H et al. Extending the minimum Information about biobank data sharing terminology to describe samples, sample donors, and events. </w:t>
      </w:r>
      <w:proofErr w:type="spellStart"/>
      <w:r w:rsidRPr="00E92A7A">
        <w:rPr>
          <w:rStyle w:val="Emphasis"/>
          <w:rFonts w:eastAsia="Times New Roman"/>
          <w:b w:val="0"/>
          <w:bCs w:val="0"/>
        </w:rPr>
        <w:t>Biopreserv</w:t>
      </w:r>
      <w:proofErr w:type="spellEnd"/>
      <w:r w:rsidRPr="00E92A7A">
        <w:rPr>
          <w:rStyle w:val="Emphasis"/>
          <w:rFonts w:eastAsia="Times New Roman"/>
          <w:b w:val="0"/>
          <w:bCs w:val="0"/>
        </w:rPr>
        <w:t xml:space="preserve"> Biobank</w:t>
      </w:r>
      <w:r>
        <w:rPr>
          <w:rFonts w:eastAsia="Times New Roman"/>
        </w:rPr>
        <w:t xml:space="preserve">. 2020;18(3):155–64. </w:t>
      </w:r>
      <w:proofErr w:type="spellStart"/>
      <w:r>
        <w:rPr>
          <w:rFonts w:eastAsia="Times New Roman"/>
        </w:rPr>
        <w:t>doi</w:t>
      </w:r>
      <w:proofErr w:type="spellEnd"/>
      <w:r>
        <w:rPr>
          <w:rFonts w:eastAsia="Times New Roman"/>
        </w:rPr>
        <w:t xml:space="preserve">: https://doi.org/10.1089/bio.2019.0129. </w:t>
      </w:r>
    </w:p>
    <w:p w14:paraId="05FEEA8F" w14:textId="77777777" w:rsidR="00E94B59" w:rsidRDefault="00E94B59" w:rsidP="00E94B59">
      <w:pPr>
        <w:numPr>
          <w:ilvl w:val="0"/>
          <w:numId w:val="8"/>
        </w:numPr>
        <w:spacing w:before="100" w:beforeAutospacing="1" w:after="100" w:afterAutospacing="1" w:line="240" w:lineRule="auto"/>
        <w:divId w:val="689065193"/>
        <w:rPr>
          <w:rFonts w:eastAsia="Times New Roman"/>
        </w:rPr>
      </w:pPr>
      <w:proofErr w:type="spellStart"/>
      <w:r>
        <w:rPr>
          <w:rFonts w:eastAsia="Times New Roman"/>
        </w:rPr>
        <w:t>Norlin</w:t>
      </w:r>
      <w:proofErr w:type="spellEnd"/>
      <w:r>
        <w:rPr>
          <w:rFonts w:eastAsia="Times New Roman"/>
        </w:rPr>
        <w:t xml:space="preserve"> L, </w:t>
      </w:r>
      <w:proofErr w:type="spellStart"/>
      <w:r>
        <w:rPr>
          <w:rFonts w:eastAsia="Times New Roman"/>
        </w:rPr>
        <w:t>Fransson</w:t>
      </w:r>
      <w:proofErr w:type="spellEnd"/>
      <w:r>
        <w:rPr>
          <w:rFonts w:eastAsia="Times New Roman"/>
        </w:rPr>
        <w:t xml:space="preserve"> MN, Eriksson M, Merino-Martinez R, </w:t>
      </w:r>
      <w:proofErr w:type="spellStart"/>
      <w:r>
        <w:rPr>
          <w:rFonts w:eastAsia="Times New Roman"/>
        </w:rPr>
        <w:t>Anderberg</w:t>
      </w:r>
      <w:proofErr w:type="spellEnd"/>
      <w:r>
        <w:rPr>
          <w:rFonts w:eastAsia="Times New Roman"/>
        </w:rPr>
        <w:t xml:space="preserve"> M, </w:t>
      </w:r>
      <w:proofErr w:type="spellStart"/>
      <w:r>
        <w:rPr>
          <w:rFonts w:eastAsia="Times New Roman"/>
        </w:rPr>
        <w:t>Kurtovic</w:t>
      </w:r>
      <w:proofErr w:type="spellEnd"/>
      <w:r>
        <w:rPr>
          <w:rFonts w:eastAsia="Times New Roman"/>
        </w:rPr>
        <w:t xml:space="preserve"> S et al. A minimum data set for sharing biobank samples, information, and data: MIABIS. </w:t>
      </w:r>
      <w:proofErr w:type="spellStart"/>
      <w:r w:rsidRPr="00E92A7A">
        <w:rPr>
          <w:rStyle w:val="Emphasis"/>
          <w:rFonts w:eastAsia="Times New Roman"/>
          <w:b w:val="0"/>
          <w:bCs w:val="0"/>
        </w:rPr>
        <w:t>Biopreserv</w:t>
      </w:r>
      <w:proofErr w:type="spellEnd"/>
      <w:r w:rsidRPr="00E92A7A">
        <w:rPr>
          <w:rStyle w:val="Emphasis"/>
          <w:rFonts w:eastAsia="Times New Roman"/>
          <w:b w:val="0"/>
          <w:bCs w:val="0"/>
        </w:rPr>
        <w:t xml:space="preserve"> Biobank</w:t>
      </w:r>
      <w:r>
        <w:rPr>
          <w:rFonts w:eastAsia="Times New Roman"/>
        </w:rPr>
        <w:t xml:space="preserve">. 2012;10(4):343–8. </w:t>
      </w:r>
      <w:proofErr w:type="spellStart"/>
      <w:r>
        <w:rPr>
          <w:rFonts w:eastAsia="Times New Roman"/>
        </w:rPr>
        <w:t>doi</w:t>
      </w:r>
      <w:proofErr w:type="spellEnd"/>
      <w:r>
        <w:rPr>
          <w:rFonts w:eastAsia="Times New Roman"/>
        </w:rPr>
        <w:t xml:space="preserve">: https://doi.org/10.1089/bio.2012.0003. </w:t>
      </w:r>
    </w:p>
    <w:p w14:paraId="1F792D78" w14:textId="77777777" w:rsidR="00E94B59" w:rsidRDefault="00E94B59" w:rsidP="00E94B59">
      <w:pPr>
        <w:numPr>
          <w:ilvl w:val="0"/>
          <w:numId w:val="8"/>
        </w:numPr>
        <w:spacing w:before="100" w:beforeAutospacing="1" w:after="100" w:afterAutospacing="1" w:line="240" w:lineRule="auto"/>
        <w:divId w:val="689065193"/>
        <w:rPr>
          <w:rFonts w:eastAsia="Times New Roman"/>
        </w:rPr>
      </w:pPr>
      <w:proofErr w:type="spellStart"/>
      <w:r>
        <w:rPr>
          <w:rFonts w:eastAsia="Times New Roman"/>
        </w:rPr>
        <w:t>Thevarajan</w:t>
      </w:r>
      <w:proofErr w:type="spellEnd"/>
      <w:r>
        <w:rPr>
          <w:rFonts w:eastAsia="Times New Roman"/>
        </w:rPr>
        <w:t xml:space="preserve"> I, Nguyen THO, </w:t>
      </w:r>
      <w:proofErr w:type="spellStart"/>
      <w:r>
        <w:rPr>
          <w:rFonts w:eastAsia="Times New Roman"/>
        </w:rPr>
        <w:t>Koutsakos</w:t>
      </w:r>
      <w:proofErr w:type="spellEnd"/>
      <w:r>
        <w:rPr>
          <w:rFonts w:eastAsia="Times New Roman"/>
        </w:rPr>
        <w:t xml:space="preserve"> M, </w:t>
      </w:r>
      <w:proofErr w:type="spellStart"/>
      <w:r>
        <w:rPr>
          <w:rFonts w:eastAsia="Times New Roman"/>
        </w:rPr>
        <w:t>Druce</w:t>
      </w:r>
      <w:proofErr w:type="spellEnd"/>
      <w:r>
        <w:rPr>
          <w:rFonts w:eastAsia="Times New Roman"/>
        </w:rPr>
        <w:t xml:space="preserve"> J, </w:t>
      </w:r>
      <w:proofErr w:type="spellStart"/>
      <w:r>
        <w:rPr>
          <w:rFonts w:eastAsia="Times New Roman"/>
        </w:rPr>
        <w:t>Caly</w:t>
      </w:r>
      <w:proofErr w:type="spellEnd"/>
      <w:r>
        <w:rPr>
          <w:rFonts w:eastAsia="Times New Roman"/>
        </w:rPr>
        <w:t xml:space="preserve"> L, van de </w:t>
      </w:r>
      <w:proofErr w:type="spellStart"/>
      <w:r>
        <w:rPr>
          <w:rFonts w:eastAsia="Times New Roman"/>
        </w:rPr>
        <w:t>Sandt</w:t>
      </w:r>
      <w:proofErr w:type="spellEnd"/>
      <w:r>
        <w:rPr>
          <w:rFonts w:eastAsia="Times New Roman"/>
        </w:rPr>
        <w:t xml:space="preserve"> CE et al. Breadth of concomitant immune responses prior to patient recovery: a case report of non-severe COVID-19. </w:t>
      </w:r>
      <w:r w:rsidRPr="00E92A7A">
        <w:rPr>
          <w:rStyle w:val="Emphasis"/>
          <w:rFonts w:eastAsia="Times New Roman"/>
          <w:b w:val="0"/>
          <w:bCs w:val="0"/>
        </w:rPr>
        <w:t>Nat Med</w:t>
      </w:r>
      <w:r>
        <w:rPr>
          <w:rFonts w:eastAsia="Times New Roman"/>
        </w:rPr>
        <w:t xml:space="preserve">. 2020;26(4):453–5. </w:t>
      </w:r>
      <w:proofErr w:type="spellStart"/>
      <w:r>
        <w:rPr>
          <w:rFonts w:eastAsia="Times New Roman"/>
        </w:rPr>
        <w:t>doi</w:t>
      </w:r>
      <w:proofErr w:type="spellEnd"/>
      <w:r>
        <w:rPr>
          <w:rFonts w:eastAsia="Times New Roman"/>
        </w:rPr>
        <w:t xml:space="preserve">: https://doi.org/10.1038/s41591-020-0819-2. </w:t>
      </w:r>
    </w:p>
    <w:p w14:paraId="06D20CF2" w14:textId="77777777" w:rsidR="00E94B59" w:rsidRDefault="00E94B59" w:rsidP="00E94B59">
      <w:pPr>
        <w:numPr>
          <w:ilvl w:val="0"/>
          <w:numId w:val="8"/>
        </w:numPr>
        <w:spacing w:before="100" w:beforeAutospacing="1" w:after="100" w:afterAutospacing="1" w:line="240" w:lineRule="auto"/>
        <w:divId w:val="689065193"/>
        <w:rPr>
          <w:rFonts w:eastAsia="Times New Roman"/>
        </w:rPr>
      </w:pPr>
      <w:r>
        <w:rPr>
          <w:rFonts w:eastAsia="Times New Roman"/>
        </w:rPr>
        <w:t xml:space="preserve">Denholm JT, Davis J, Paterson D, Roberts J, Morpeth S, Snelling T et al. The Australasian COVID-19 Trial (ASCOT) to assess clinical outcomes in hospitalised patients with SARS-CoV-2 infection (COVID-19) treated with lopinavir/ritonavir and/or hydroxychloroquine compared to standard of care: a structured summary of a study protocol for a randomised controlled trial. </w:t>
      </w:r>
      <w:r w:rsidRPr="00E92A7A">
        <w:rPr>
          <w:rStyle w:val="Emphasis"/>
          <w:rFonts w:eastAsia="Times New Roman"/>
          <w:b w:val="0"/>
          <w:bCs w:val="0"/>
        </w:rPr>
        <w:t>Trials</w:t>
      </w:r>
      <w:r>
        <w:rPr>
          <w:rFonts w:eastAsia="Times New Roman"/>
        </w:rPr>
        <w:t xml:space="preserve">. 2020;21(1):646. </w:t>
      </w:r>
      <w:proofErr w:type="spellStart"/>
      <w:r>
        <w:rPr>
          <w:rFonts w:eastAsia="Times New Roman"/>
        </w:rPr>
        <w:t>doi</w:t>
      </w:r>
      <w:proofErr w:type="spellEnd"/>
      <w:r>
        <w:rPr>
          <w:rFonts w:eastAsia="Times New Roman"/>
        </w:rPr>
        <w:t xml:space="preserve">: https://doi.org/10.1186/s13063-020-04576-9. </w:t>
      </w:r>
    </w:p>
    <w:p w14:paraId="434743CE" w14:textId="77777777" w:rsidR="00E94B59" w:rsidRDefault="00E94B59" w:rsidP="00E94B59">
      <w:pPr>
        <w:numPr>
          <w:ilvl w:val="0"/>
          <w:numId w:val="8"/>
        </w:numPr>
        <w:spacing w:before="100" w:beforeAutospacing="1" w:after="100" w:afterAutospacing="1" w:line="240" w:lineRule="auto"/>
        <w:divId w:val="689065193"/>
        <w:rPr>
          <w:rFonts w:eastAsia="Times New Roman"/>
        </w:rPr>
      </w:pPr>
      <w:r>
        <w:rPr>
          <w:rFonts w:eastAsia="Times New Roman"/>
        </w:rPr>
        <w:t xml:space="preserve">Department of Health Western Australia. WACIC Biobank COVID-19 Immunity Study. [Webpage.] Perth: Government of Western Australia, Department of Health; 22 August 2022. Available from: https://pathwest.health.wa.gov.au/Our-Services/Clinical-Trials-and-Research/WACIC. </w:t>
      </w:r>
    </w:p>
    <w:p w14:paraId="20010FE7" w14:textId="77777777" w:rsidR="00E94B59" w:rsidRDefault="00E94B59" w:rsidP="00E94B59">
      <w:pPr>
        <w:numPr>
          <w:ilvl w:val="0"/>
          <w:numId w:val="8"/>
        </w:numPr>
        <w:spacing w:before="100" w:beforeAutospacing="1" w:after="100" w:afterAutospacing="1" w:line="240" w:lineRule="auto"/>
        <w:divId w:val="689065193"/>
        <w:rPr>
          <w:rFonts w:eastAsia="Times New Roman"/>
        </w:rPr>
      </w:pPr>
      <w:r>
        <w:rPr>
          <w:rFonts w:eastAsia="Times New Roman"/>
        </w:rPr>
        <w:lastRenderedPageBreak/>
        <w:t xml:space="preserve">Darley DR, Dore GJ, </w:t>
      </w:r>
      <w:proofErr w:type="spellStart"/>
      <w:r>
        <w:rPr>
          <w:rFonts w:eastAsia="Times New Roman"/>
        </w:rPr>
        <w:t>Cysique</w:t>
      </w:r>
      <w:proofErr w:type="spellEnd"/>
      <w:r>
        <w:rPr>
          <w:rFonts w:eastAsia="Times New Roman"/>
        </w:rPr>
        <w:t xml:space="preserve"> L, Wilhelm KA, Andresen D, Tonga K et al. Persistent symptoms up to four months after community and hospital-managed SARS-CoV-2 infection. </w:t>
      </w:r>
      <w:r w:rsidRPr="00E92A7A">
        <w:rPr>
          <w:rStyle w:val="Emphasis"/>
          <w:rFonts w:eastAsia="Times New Roman"/>
          <w:b w:val="0"/>
          <w:bCs w:val="0"/>
        </w:rPr>
        <w:t>Med J Aust</w:t>
      </w:r>
      <w:r>
        <w:rPr>
          <w:rFonts w:eastAsia="Times New Roman"/>
        </w:rPr>
        <w:t xml:space="preserve">. 2021;214(6):279–80. </w:t>
      </w:r>
      <w:proofErr w:type="spellStart"/>
      <w:r>
        <w:rPr>
          <w:rFonts w:eastAsia="Times New Roman"/>
        </w:rPr>
        <w:t>doi</w:t>
      </w:r>
      <w:proofErr w:type="spellEnd"/>
      <w:r>
        <w:rPr>
          <w:rFonts w:eastAsia="Times New Roman"/>
        </w:rPr>
        <w:t xml:space="preserve">: https://doi.org/10.5694/mja2.50963. </w:t>
      </w:r>
    </w:p>
    <w:p w14:paraId="63CBD121" w14:textId="77777777" w:rsidR="00E94B59" w:rsidRDefault="00E94B59" w:rsidP="00E94B59">
      <w:pPr>
        <w:numPr>
          <w:ilvl w:val="0"/>
          <w:numId w:val="8"/>
        </w:numPr>
        <w:spacing w:before="100" w:beforeAutospacing="1" w:after="100" w:afterAutospacing="1" w:line="240" w:lineRule="auto"/>
        <w:divId w:val="689065193"/>
        <w:rPr>
          <w:rFonts w:eastAsia="Times New Roman"/>
        </w:rPr>
      </w:pPr>
      <w:r>
        <w:rPr>
          <w:rFonts w:eastAsia="Times New Roman"/>
        </w:rPr>
        <w:t xml:space="preserve">Griffin DWJ, Coldham A, Lau JSY, Roney J, O’Bryan J, Rogers BA et al. Prospective COVID-19 Biobank of Clinical and Biological Data from Hospitalised and Community Settings. [Conference presentation.] Public Health Association Australia: </w:t>
      </w:r>
      <w:r w:rsidRPr="00E92A7A">
        <w:rPr>
          <w:rStyle w:val="Emphasis"/>
          <w:rFonts w:eastAsia="Times New Roman"/>
          <w:b w:val="0"/>
          <w:bCs w:val="0"/>
        </w:rPr>
        <w:t xml:space="preserve">Australasian COVID-19 Virtual Conference: preventing, detecting, </w:t>
      </w:r>
      <w:proofErr w:type="gramStart"/>
      <w:r w:rsidRPr="00E92A7A">
        <w:rPr>
          <w:rStyle w:val="Emphasis"/>
          <w:rFonts w:eastAsia="Times New Roman"/>
          <w:b w:val="0"/>
          <w:bCs w:val="0"/>
        </w:rPr>
        <w:t>controlling</w:t>
      </w:r>
      <w:proofErr w:type="gramEnd"/>
      <w:r w:rsidRPr="00E92A7A">
        <w:rPr>
          <w:rStyle w:val="Emphasis"/>
          <w:rFonts w:eastAsia="Times New Roman"/>
          <w:b w:val="0"/>
          <w:bCs w:val="0"/>
        </w:rPr>
        <w:t xml:space="preserve"> and managing COVID-19 – reflections on 2020 and future challenges</w:t>
      </w:r>
      <w:r>
        <w:rPr>
          <w:rFonts w:eastAsia="Times New Roman"/>
        </w:rPr>
        <w:t xml:space="preserve">; 8-10 December 2020. </w:t>
      </w:r>
    </w:p>
    <w:p w14:paraId="1D22D261" w14:textId="77777777" w:rsidR="00E94B59" w:rsidRDefault="00E94B59" w:rsidP="00E94B59">
      <w:pPr>
        <w:numPr>
          <w:ilvl w:val="0"/>
          <w:numId w:val="8"/>
        </w:numPr>
        <w:spacing w:before="100" w:beforeAutospacing="1" w:after="100" w:afterAutospacing="1" w:line="240" w:lineRule="auto"/>
        <w:divId w:val="689065193"/>
        <w:rPr>
          <w:rFonts w:eastAsia="Times New Roman"/>
        </w:rPr>
      </w:pPr>
      <w:proofErr w:type="spellStart"/>
      <w:r>
        <w:rPr>
          <w:rFonts w:eastAsia="Times New Roman"/>
        </w:rPr>
        <w:t>Abayasingam</w:t>
      </w:r>
      <w:proofErr w:type="spellEnd"/>
      <w:r>
        <w:rPr>
          <w:rFonts w:eastAsia="Times New Roman"/>
        </w:rPr>
        <w:t xml:space="preserve"> A, Balachandran H, </w:t>
      </w:r>
      <w:proofErr w:type="spellStart"/>
      <w:r>
        <w:rPr>
          <w:rFonts w:eastAsia="Times New Roman"/>
        </w:rPr>
        <w:t>Agapiou</w:t>
      </w:r>
      <w:proofErr w:type="spellEnd"/>
      <w:r>
        <w:rPr>
          <w:rFonts w:eastAsia="Times New Roman"/>
        </w:rPr>
        <w:t xml:space="preserve"> D, Hammoud M, Rodrigo C, </w:t>
      </w:r>
      <w:proofErr w:type="spellStart"/>
      <w:r>
        <w:rPr>
          <w:rFonts w:eastAsia="Times New Roman"/>
        </w:rPr>
        <w:t>Keoshkerian</w:t>
      </w:r>
      <w:proofErr w:type="spellEnd"/>
      <w:r>
        <w:rPr>
          <w:rFonts w:eastAsia="Times New Roman"/>
        </w:rPr>
        <w:t xml:space="preserve"> E et al. Long-term persistence of RBD+ memory B cells encoding neutralizing antibodies in SARS-CoV-2 infection. </w:t>
      </w:r>
      <w:r w:rsidRPr="00E92A7A">
        <w:rPr>
          <w:rStyle w:val="Emphasis"/>
          <w:rFonts w:eastAsia="Times New Roman"/>
          <w:b w:val="0"/>
          <w:bCs w:val="0"/>
        </w:rPr>
        <w:t>Cell Rep Med</w:t>
      </w:r>
      <w:r>
        <w:rPr>
          <w:rFonts w:eastAsia="Times New Roman"/>
        </w:rPr>
        <w:t xml:space="preserve">. 2021;2(4):100228. </w:t>
      </w:r>
      <w:proofErr w:type="spellStart"/>
      <w:r>
        <w:rPr>
          <w:rFonts w:eastAsia="Times New Roman"/>
        </w:rPr>
        <w:t>doi</w:t>
      </w:r>
      <w:proofErr w:type="spellEnd"/>
      <w:r>
        <w:rPr>
          <w:rFonts w:eastAsia="Times New Roman"/>
        </w:rPr>
        <w:t>: https://doi.org/10.1016/j.xcrm.2021.100228.</w:t>
      </w:r>
    </w:p>
    <w:p w14:paraId="23BA3DE2" w14:textId="5505D578" w:rsidR="008B5348" w:rsidRDefault="008B5348">
      <w:pPr>
        <w:rPr>
          <w:rStyle w:val="A10"/>
        </w:rPr>
      </w:pPr>
    </w:p>
    <w:p w14:paraId="3AE4D45A" w14:textId="77777777" w:rsidR="008B5348" w:rsidRDefault="008B5348">
      <w:pPr>
        <w:rPr>
          <w:rStyle w:val="A10"/>
        </w:rPr>
        <w:sectPr w:rsidR="008B5348" w:rsidSect="00A30C37">
          <w:headerReference w:type="default" r:id="rId10"/>
          <w:footerReference w:type="default" r:id="rId11"/>
          <w:footerReference w:type="first" r:id="rId12"/>
          <w:footnotePr>
            <w:numFmt w:val="lowerRoman"/>
          </w:footnotePr>
          <w:pgSz w:w="11906" w:h="16838"/>
          <w:pgMar w:top="720" w:right="720" w:bottom="1134" w:left="720" w:header="709" w:footer="284" w:gutter="0"/>
          <w:cols w:space="708"/>
          <w:titlePg/>
          <w:docGrid w:linePitch="360"/>
        </w:sectPr>
      </w:pPr>
    </w:p>
    <w:p w14:paraId="77B364F2"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8349977"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4F04651" w14:textId="77777777" w:rsidR="000A5F42" w:rsidRPr="000606CC" w:rsidRDefault="000A5F42" w:rsidP="000A5F42">
      <w:pPr>
        <w:pStyle w:val="NoSpacing"/>
        <w:rPr>
          <w:rStyle w:val="URI"/>
          <w:rFonts w:cstheme="minorHAnsi"/>
          <w:sz w:val="20"/>
          <w:szCs w:val="18"/>
        </w:rPr>
      </w:pPr>
    </w:p>
    <w:p w14:paraId="20C67455"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7869B1B9" w14:textId="77777777" w:rsidR="000A5F42" w:rsidRPr="000606CC" w:rsidRDefault="000A5F42" w:rsidP="000A5F42">
      <w:pPr>
        <w:pStyle w:val="NoSpacing"/>
        <w:rPr>
          <w:rStyle w:val="Strong"/>
          <w:rFonts w:cstheme="minorHAnsi"/>
          <w:sz w:val="20"/>
          <w:szCs w:val="18"/>
        </w:rPr>
      </w:pPr>
    </w:p>
    <w:p w14:paraId="09D4060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25F85C9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405C89A"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CEDA66B"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Durrheim,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341634FB" w14:textId="77777777" w:rsidR="000A5F42" w:rsidRPr="000606CC" w:rsidRDefault="000A5F42" w:rsidP="000A5F42">
      <w:pPr>
        <w:pStyle w:val="NoSpacing"/>
        <w:rPr>
          <w:rStyle w:val="Strong"/>
          <w:rFonts w:cstheme="minorHAnsi"/>
          <w:sz w:val="20"/>
          <w:szCs w:val="18"/>
        </w:rPr>
      </w:pPr>
    </w:p>
    <w:p w14:paraId="52FB606B" w14:textId="1FAA4BB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0AEBD8B" w14:textId="77777777" w:rsidR="000A5F42" w:rsidRPr="000606CC" w:rsidRDefault="000A5F42" w:rsidP="000A5F42">
      <w:pPr>
        <w:pStyle w:val="NoSpacing"/>
        <w:rPr>
          <w:rStyle w:val="Strong"/>
          <w:rFonts w:cstheme="minorHAnsi"/>
          <w:sz w:val="20"/>
          <w:szCs w:val="18"/>
        </w:rPr>
      </w:pPr>
    </w:p>
    <w:p w14:paraId="1AAA3AB7"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0F9B4152" w14:textId="77777777" w:rsidR="000A5F42" w:rsidRPr="000606CC" w:rsidRDefault="000A5F42" w:rsidP="000A5F42">
      <w:pPr>
        <w:pStyle w:val="NoSpacing"/>
        <w:rPr>
          <w:rStyle w:val="Strong"/>
          <w:rFonts w:cstheme="minorHAnsi"/>
          <w:sz w:val="20"/>
          <w:szCs w:val="18"/>
        </w:rPr>
      </w:pPr>
    </w:p>
    <w:p w14:paraId="52259B2A" w14:textId="5E078C6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7BE72D4" w14:textId="77777777" w:rsidR="000A5F42" w:rsidRPr="000606CC" w:rsidRDefault="000A5F42" w:rsidP="000A5F42">
      <w:pPr>
        <w:pStyle w:val="NoSpacing"/>
        <w:rPr>
          <w:rStyle w:val="Strong"/>
          <w:rFonts w:cstheme="minorHAnsi"/>
          <w:sz w:val="20"/>
          <w:szCs w:val="18"/>
        </w:rPr>
      </w:pPr>
    </w:p>
    <w:p w14:paraId="3047D6F4" w14:textId="2EDB5032"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F0E215C" w14:textId="2B0A0F8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6C22B4A4" w14:textId="77777777" w:rsidR="000A5F42" w:rsidRPr="000606CC" w:rsidRDefault="000A5F42" w:rsidP="000A5F42">
      <w:pPr>
        <w:pStyle w:val="NoSpacing"/>
        <w:pBdr>
          <w:bottom w:val="single" w:sz="6" w:space="1" w:color="auto"/>
        </w:pBdr>
        <w:rPr>
          <w:rStyle w:val="Strong"/>
          <w:rFonts w:cstheme="minorHAnsi"/>
          <w:sz w:val="12"/>
          <w:szCs w:val="18"/>
        </w:rPr>
      </w:pPr>
    </w:p>
    <w:p w14:paraId="0A78D8D7" w14:textId="77777777" w:rsidR="000A5F42" w:rsidRPr="000606CC" w:rsidRDefault="000A5F42" w:rsidP="000A5F42">
      <w:pPr>
        <w:pStyle w:val="NoSpacing"/>
        <w:rPr>
          <w:rFonts w:cstheme="minorHAnsi"/>
          <w:sz w:val="20"/>
          <w:szCs w:val="18"/>
        </w:rPr>
      </w:pPr>
    </w:p>
    <w:p w14:paraId="59235AE3"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3C62ABCE" w14:textId="77777777" w:rsidR="000A5F42" w:rsidRPr="000606CC" w:rsidRDefault="000A5F42" w:rsidP="000A5F42">
      <w:pPr>
        <w:pStyle w:val="NoSpacing"/>
        <w:rPr>
          <w:rFonts w:cstheme="minorHAnsi"/>
          <w:sz w:val="20"/>
          <w:szCs w:val="18"/>
        </w:rPr>
      </w:pPr>
    </w:p>
    <w:p w14:paraId="3065C28C"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AE53DFD"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BF0DB3">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5787F78A" w14:textId="30254176"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63040CD" w14:textId="77777777" w:rsidR="000A5F42" w:rsidRPr="000606CC" w:rsidRDefault="000A5F42" w:rsidP="000A5F42">
      <w:pPr>
        <w:pStyle w:val="NoSpacing"/>
        <w:rPr>
          <w:rFonts w:cstheme="minorHAnsi"/>
          <w:sz w:val="20"/>
          <w:szCs w:val="18"/>
        </w:rPr>
      </w:pPr>
    </w:p>
    <w:p w14:paraId="5432BFE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9F7F88D" w14:textId="1768091A"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906FC9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1C14C54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63E13D6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2FCDDD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9D6BFD8" w14:textId="77777777" w:rsidR="000A5F42" w:rsidRPr="000606CC" w:rsidRDefault="000A5F42" w:rsidP="000A5F42">
      <w:pPr>
        <w:pStyle w:val="NoSpacing"/>
        <w:rPr>
          <w:rStyle w:val="Strong"/>
          <w:rFonts w:cstheme="minorHAnsi"/>
          <w:sz w:val="20"/>
          <w:szCs w:val="18"/>
        </w:rPr>
      </w:pPr>
    </w:p>
    <w:p w14:paraId="4E8A934A"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35416536" w14:textId="77777777" w:rsidR="000A5F42" w:rsidRPr="000606CC" w:rsidRDefault="000A5F42" w:rsidP="000A5F42">
      <w:pPr>
        <w:pStyle w:val="NoSpacing"/>
        <w:rPr>
          <w:rStyle w:val="Strong"/>
          <w:rFonts w:cstheme="minorHAnsi"/>
          <w:sz w:val="20"/>
          <w:szCs w:val="18"/>
        </w:rPr>
      </w:pPr>
    </w:p>
    <w:p w14:paraId="28D48E9A" w14:textId="0D2A653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D6F7672" w14:textId="77777777" w:rsidR="000A5F42" w:rsidRPr="000606CC" w:rsidRDefault="000A5F42" w:rsidP="000A5F42">
      <w:pPr>
        <w:pStyle w:val="NoSpacing"/>
        <w:rPr>
          <w:rStyle w:val="URI"/>
          <w:rFonts w:cstheme="minorHAnsi"/>
          <w:sz w:val="20"/>
          <w:szCs w:val="18"/>
        </w:rPr>
      </w:pPr>
    </w:p>
    <w:p w14:paraId="381FDEB6" w14:textId="2D4A1301"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1"/>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F5CFE" w14:textId="77777777" w:rsidR="00BF0DB3" w:rsidRDefault="00BF0DB3" w:rsidP="00E54DBA">
      <w:r>
        <w:separator/>
      </w:r>
    </w:p>
    <w:p w14:paraId="2B2F4448" w14:textId="77777777" w:rsidR="00BF0DB3" w:rsidRDefault="00BF0DB3"/>
    <w:p w14:paraId="4F5B46FC" w14:textId="77777777" w:rsidR="00BF0DB3" w:rsidRDefault="00BF0DB3" w:rsidP="008714B0"/>
  </w:endnote>
  <w:endnote w:type="continuationSeparator" w:id="0">
    <w:p w14:paraId="6E5501E8" w14:textId="77777777" w:rsidR="00BF0DB3" w:rsidRDefault="00BF0DB3" w:rsidP="00E54DBA">
      <w:r>
        <w:continuationSeparator/>
      </w:r>
    </w:p>
    <w:p w14:paraId="4E370DB4" w14:textId="77777777" w:rsidR="00BF0DB3" w:rsidRDefault="00BF0DB3"/>
    <w:p w14:paraId="311585F0" w14:textId="77777777" w:rsidR="00BF0DB3" w:rsidRDefault="00BF0DB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Variable Concept">
    <w:altName w:val="Myriad Variable Concep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DCDE" w14:textId="571AA1B1"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E92A7A">
      <w:rPr>
        <w:i/>
        <w:sz w:val="18"/>
      </w:rPr>
      <w:t>Commun</w:t>
    </w:r>
    <w:proofErr w:type="spellEnd"/>
    <w:r w:rsidR="00CE342B" w:rsidRPr="00E92A7A">
      <w:rPr>
        <w:i/>
        <w:sz w:val="18"/>
      </w:rPr>
      <w:t xml:space="preserve"> Dis </w:t>
    </w:r>
    <w:proofErr w:type="spellStart"/>
    <w:r w:rsidR="00CE342B" w:rsidRPr="00E92A7A">
      <w:rPr>
        <w:i/>
        <w:sz w:val="18"/>
      </w:rPr>
      <w:t>Intell</w:t>
    </w:r>
    <w:proofErr w:type="spellEnd"/>
    <w:r w:rsidR="00CE342B" w:rsidRPr="00E92A7A">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BF0DB3">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BF0DB3">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C008F2">
      <w:rPr>
        <w:sz w:val="18"/>
      </w:rPr>
      <w:t>https://doi.org/10.33321/cdi.2023.47.66</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C008F2">
      <w:rPr>
        <w:sz w:val="18"/>
      </w:rPr>
      <w:t>16/11/2023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9D08" w14:textId="31B7D6D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E92A7A">
      <w:rPr>
        <w:i/>
        <w:sz w:val="18"/>
      </w:rPr>
      <w:t>Commun</w:t>
    </w:r>
    <w:proofErr w:type="spellEnd"/>
    <w:r w:rsidR="00A164D5" w:rsidRPr="00E92A7A">
      <w:rPr>
        <w:i/>
        <w:sz w:val="18"/>
      </w:rPr>
      <w:t xml:space="preserve"> Dis </w:t>
    </w:r>
    <w:proofErr w:type="spellStart"/>
    <w:r w:rsidR="00A164D5" w:rsidRPr="00E92A7A">
      <w:rPr>
        <w:i/>
        <w:sz w:val="18"/>
      </w:rPr>
      <w:t>Intell</w:t>
    </w:r>
    <w:proofErr w:type="spellEnd"/>
    <w:r w:rsidR="00A164D5" w:rsidRPr="00E92A7A">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BF0DB3">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BF0DB3">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C008F2">
      <w:rPr>
        <w:sz w:val="18"/>
      </w:rPr>
      <w:t>https://doi.org/10.33321/cdi.2023.47.66</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C008F2">
      <w:rPr>
        <w:sz w:val="18"/>
      </w:rPr>
      <w:t>16/11/2023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FCA27" w14:textId="77777777" w:rsidR="00BF0DB3" w:rsidRPr="00B91FB5" w:rsidRDefault="00BF0DB3" w:rsidP="00B91FB5">
      <w:pPr>
        <w:spacing w:after="0" w:line="240" w:lineRule="auto"/>
        <w:rPr>
          <w:sz w:val="18"/>
          <w:szCs w:val="18"/>
        </w:rPr>
      </w:pPr>
      <w:r w:rsidRPr="00B91FB5">
        <w:rPr>
          <w:sz w:val="18"/>
          <w:szCs w:val="18"/>
        </w:rPr>
        <w:separator/>
      </w:r>
    </w:p>
  </w:footnote>
  <w:footnote w:type="continuationSeparator" w:id="0">
    <w:p w14:paraId="002F051E" w14:textId="77777777" w:rsidR="00BF0DB3" w:rsidRDefault="00BF0DB3" w:rsidP="00E54DBA">
      <w:r>
        <w:continuationSeparator/>
      </w:r>
    </w:p>
  </w:footnote>
  <w:footnote w:type="continuationNotice" w:id="1">
    <w:p w14:paraId="15C99B63" w14:textId="77777777" w:rsidR="00BF0DB3" w:rsidRPr="00224EFF" w:rsidRDefault="00BF0DB3" w:rsidP="00224EFF">
      <w:pPr>
        <w:pStyle w:val="Footer"/>
      </w:pPr>
    </w:p>
  </w:footnote>
  <w:footnote w:id="2">
    <w:p w14:paraId="530503D0" w14:textId="494BE15B" w:rsidR="007C7A74" w:rsidRPr="00D400A5" w:rsidRDefault="007C7A74" w:rsidP="00D400A5">
      <w:pPr>
        <w:pStyle w:val="CDIfootnotes"/>
      </w:pPr>
      <w:r w:rsidRPr="00D400A5">
        <w:rPr>
          <w:rStyle w:val="FootnoteReference"/>
          <w:vertAlign w:val="baseline"/>
        </w:rPr>
        <w:footnoteRef/>
      </w:r>
      <w:r w:rsidRPr="00D400A5">
        <w:t xml:space="preserve"> </w:t>
      </w:r>
      <w:r w:rsidRPr="00D400A5">
        <w:tab/>
        <w:t>Ethics approval: Melbourne Health HREC/78249/MH-2021- 292485.</w:t>
      </w:r>
    </w:p>
  </w:footnote>
  <w:footnote w:id="3">
    <w:p w14:paraId="48669B40" w14:textId="602388FD" w:rsidR="00D400A5" w:rsidRPr="00D400A5" w:rsidRDefault="00D400A5" w:rsidP="00D400A5">
      <w:pPr>
        <w:pStyle w:val="CDIfootnotes"/>
      </w:pPr>
      <w:r w:rsidRPr="00D400A5">
        <w:rPr>
          <w:rStyle w:val="FootnoteReference"/>
          <w:vertAlign w:val="baseline"/>
        </w:rPr>
        <w:footnoteRef/>
      </w:r>
      <w:r w:rsidRPr="00D400A5">
        <w:t xml:space="preserve"> </w:t>
      </w:r>
      <w:r>
        <w:tab/>
      </w:r>
      <w:r w:rsidR="00D50E91" w:rsidRPr="00D50E91">
        <w:t>https://apprise.biogrid.org.au</w:t>
      </w:r>
      <w:r w:rsidRPr="00D400A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7761" w14:textId="270CEEBC" w:rsidR="00257484" w:rsidRPr="00A153B6" w:rsidRDefault="00C008F2"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6470D1">
          <w:t>Notice to readers</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5683"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50D5841F" wp14:editId="2A3A6D19">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F07FD"/>
    <w:multiLevelType w:val="multilevel"/>
    <w:tmpl w:val="5CDE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DE54E4"/>
    <w:multiLevelType w:val="multilevel"/>
    <w:tmpl w:val="FB90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B634ED"/>
    <w:multiLevelType w:val="hybridMultilevel"/>
    <w:tmpl w:val="5066C9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47394599">
    <w:abstractNumId w:val="2"/>
  </w:num>
  <w:num w:numId="2" w16cid:durableId="1345395807">
    <w:abstractNumId w:val="3"/>
  </w:num>
  <w:num w:numId="3" w16cid:durableId="287080334">
    <w:abstractNumId w:val="4"/>
  </w:num>
  <w:num w:numId="4" w16cid:durableId="586112107">
    <w:abstractNumId w:val="1"/>
  </w:num>
  <w:num w:numId="5" w16cid:durableId="469178560">
    <w:abstractNumId w:val="5"/>
  </w:num>
  <w:num w:numId="6" w16cid:durableId="935016939">
    <w:abstractNumId w:val="7"/>
  </w:num>
  <w:num w:numId="7" w16cid:durableId="885291394">
    <w:abstractNumId w:val="6"/>
  </w:num>
  <w:num w:numId="8" w16cid:durableId="885798548">
    <w:abstractNumId w:val="0"/>
  </w:num>
  <w:num w:numId="9" w16cid:durableId="8699529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3"/>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1590"/>
    <w:rsid w:val="00171CC0"/>
    <w:rsid w:val="001723AC"/>
    <w:rsid w:val="00175494"/>
    <w:rsid w:val="00175629"/>
    <w:rsid w:val="001830EC"/>
    <w:rsid w:val="00183534"/>
    <w:rsid w:val="0018758E"/>
    <w:rsid w:val="001A4A96"/>
    <w:rsid w:val="001A5D05"/>
    <w:rsid w:val="001A796C"/>
    <w:rsid w:val="001B2614"/>
    <w:rsid w:val="001B37B8"/>
    <w:rsid w:val="001B552F"/>
    <w:rsid w:val="001C0893"/>
    <w:rsid w:val="001C1303"/>
    <w:rsid w:val="001C70B2"/>
    <w:rsid w:val="001D37C7"/>
    <w:rsid w:val="001D6888"/>
    <w:rsid w:val="001E4E1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470D1"/>
    <w:rsid w:val="00656427"/>
    <w:rsid w:val="00660255"/>
    <w:rsid w:val="00663EA5"/>
    <w:rsid w:val="006971F3"/>
    <w:rsid w:val="006C74A3"/>
    <w:rsid w:val="006D1381"/>
    <w:rsid w:val="006D31BC"/>
    <w:rsid w:val="006E7943"/>
    <w:rsid w:val="006F24EA"/>
    <w:rsid w:val="00704CA9"/>
    <w:rsid w:val="0071048D"/>
    <w:rsid w:val="00710F86"/>
    <w:rsid w:val="007111A8"/>
    <w:rsid w:val="00712BA9"/>
    <w:rsid w:val="00723B5F"/>
    <w:rsid w:val="00731BC3"/>
    <w:rsid w:val="00741192"/>
    <w:rsid w:val="00743A33"/>
    <w:rsid w:val="00746080"/>
    <w:rsid w:val="0075144A"/>
    <w:rsid w:val="00786329"/>
    <w:rsid w:val="00792C7D"/>
    <w:rsid w:val="00794A4D"/>
    <w:rsid w:val="007A520A"/>
    <w:rsid w:val="007A5234"/>
    <w:rsid w:val="007B7854"/>
    <w:rsid w:val="007C56A1"/>
    <w:rsid w:val="007C6454"/>
    <w:rsid w:val="007C7A74"/>
    <w:rsid w:val="007E01E0"/>
    <w:rsid w:val="007E5CA0"/>
    <w:rsid w:val="007F0B93"/>
    <w:rsid w:val="007F2ECA"/>
    <w:rsid w:val="00802960"/>
    <w:rsid w:val="00807051"/>
    <w:rsid w:val="00811708"/>
    <w:rsid w:val="00816B90"/>
    <w:rsid w:val="00817799"/>
    <w:rsid w:val="00822F5F"/>
    <w:rsid w:val="00824FD3"/>
    <w:rsid w:val="00826589"/>
    <w:rsid w:val="00834BCC"/>
    <w:rsid w:val="00850D54"/>
    <w:rsid w:val="00852887"/>
    <w:rsid w:val="00852E2B"/>
    <w:rsid w:val="008714B0"/>
    <w:rsid w:val="00876331"/>
    <w:rsid w:val="00880726"/>
    <w:rsid w:val="008A3544"/>
    <w:rsid w:val="008B48B8"/>
    <w:rsid w:val="008B5348"/>
    <w:rsid w:val="008B58F8"/>
    <w:rsid w:val="008B62FF"/>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2423"/>
    <w:rsid w:val="009E55D7"/>
    <w:rsid w:val="009F4150"/>
    <w:rsid w:val="009F5665"/>
    <w:rsid w:val="009F5DAD"/>
    <w:rsid w:val="00A01BCA"/>
    <w:rsid w:val="00A079A8"/>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0209"/>
    <w:rsid w:val="00AE3DCF"/>
    <w:rsid w:val="00AE4452"/>
    <w:rsid w:val="00AE7C38"/>
    <w:rsid w:val="00B01F99"/>
    <w:rsid w:val="00B02B37"/>
    <w:rsid w:val="00B05276"/>
    <w:rsid w:val="00B132DB"/>
    <w:rsid w:val="00B31427"/>
    <w:rsid w:val="00B33861"/>
    <w:rsid w:val="00B40DE2"/>
    <w:rsid w:val="00B50210"/>
    <w:rsid w:val="00B50D8D"/>
    <w:rsid w:val="00B53955"/>
    <w:rsid w:val="00B53BFC"/>
    <w:rsid w:val="00B63C79"/>
    <w:rsid w:val="00B6408A"/>
    <w:rsid w:val="00B6478A"/>
    <w:rsid w:val="00B714B8"/>
    <w:rsid w:val="00B82C2C"/>
    <w:rsid w:val="00B8720B"/>
    <w:rsid w:val="00B876EF"/>
    <w:rsid w:val="00B91FB5"/>
    <w:rsid w:val="00BA4697"/>
    <w:rsid w:val="00BB5378"/>
    <w:rsid w:val="00BC0BD3"/>
    <w:rsid w:val="00BD0107"/>
    <w:rsid w:val="00BE0C33"/>
    <w:rsid w:val="00BE262C"/>
    <w:rsid w:val="00BE4C25"/>
    <w:rsid w:val="00BE4D38"/>
    <w:rsid w:val="00BE6C3D"/>
    <w:rsid w:val="00BF0DB3"/>
    <w:rsid w:val="00C008F2"/>
    <w:rsid w:val="00C07606"/>
    <w:rsid w:val="00C12542"/>
    <w:rsid w:val="00C130EE"/>
    <w:rsid w:val="00C24725"/>
    <w:rsid w:val="00C30BA9"/>
    <w:rsid w:val="00C3541E"/>
    <w:rsid w:val="00C36A8F"/>
    <w:rsid w:val="00C42834"/>
    <w:rsid w:val="00C42FFA"/>
    <w:rsid w:val="00C507D8"/>
    <w:rsid w:val="00C51F5A"/>
    <w:rsid w:val="00C57018"/>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CF75DF"/>
    <w:rsid w:val="00D05837"/>
    <w:rsid w:val="00D12D8A"/>
    <w:rsid w:val="00D13E0C"/>
    <w:rsid w:val="00D25896"/>
    <w:rsid w:val="00D373A1"/>
    <w:rsid w:val="00D37C0F"/>
    <w:rsid w:val="00D400A5"/>
    <w:rsid w:val="00D45661"/>
    <w:rsid w:val="00D45943"/>
    <w:rsid w:val="00D47D22"/>
    <w:rsid w:val="00D50E91"/>
    <w:rsid w:val="00D51865"/>
    <w:rsid w:val="00D51D0C"/>
    <w:rsid w:val="00D74140"/>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2A7A"/>
    <w:rsid w:val="00E94B59"/>
    <w:rsid w:val="00E951EF"/>
    <w:rsid w:val="00EA3D54"/>
    <w:rsid w:val="00EA56D9"/>
    <w:rsid w:val="00EA5CE3"/>
    <w:rsid w:val="00EB51C1"/>
    <w:rsid w:val="00EB5AE1"/>
    <w:rsid w:val="00EB5E0B"/>
    <w:rsid w:val="00EC2171"/>
    <w:rsid w:val="00ED442D"/>
    <w:rsid w:val="00ED70C2"/>
    <w:rsid w:val="00EE18FF"/>
    <w:rsid w:val="00EE3E29"/>
    <w:rsid w:val="00EE489F"/>
    <w:rsid w:val="00F0647F"/>
    <w:rsid w:val="00F10CE3"/>
    <w:rsid w:val="00F12006"/>
    <w:rsid w:val="00F13443"/>
    <w:rsid w:val="00F14F3B"/>
    <w:rsid w:val="00F16362"/>
    <w:rsid w:val="00F207C7"/>
    <w:rsid w:val="00F36B6D"/>
    <w:rsid w:val="00F43FA3"/>
    <w:rsid w:val="00F55648"/>
    <w:rsid w:val="00F70046"/>
    <w:rsid w:val="00F703D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E25DA"/>
  <w15:docId w15:val="{F80D52A2-5540-4B88-B797-D2F97162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 w:type="paragraph" w:customStyle="1" w:styleId="Pa4">
    <w:name w:val="Pa4"/>
    <w:basedOn w:val="Normal"/>
    <w:next w:val="Normal"/>
    <w:uiPriority w:val="99"/>
    <w:rsid w:val="007C7A74"/>
    <w:pPr>
      <w:autoSpaceDE w:val="0"/>
      <w:autoSpaceDN w:val="0"/>
      <w:adjustRightInd w:val="0"/>
      <w:spacing w:after="0" w:line="241" w:lineRule="atLeast"/>
    </w:pPr>
    <w:rPr>
      <w:rFonts w:ascii="Myriad Variable Concept" w:hAnsi="Myriad Variable Concep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689065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6</TotalTime>
  <Pages>5</Pages>
  <Words>1597</Words>
  <Characters>11210</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Communicable Diseases Intelligence - The APPRISE Virtual Biobank for Infectious Diseases</vt:lpstr>
    </vt:vector>
  </TitlesOfParts>
  <Company>Australian Government, Department of Health</Company>
  <LinksUpToDate>false</LinksUpToDate>
  <CharactersWithSpaces>12782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The APPRISE Virtual Biobank for Infectious Diseases</dc:title>
  <dc:subject>The Australian Partnership for Preparedness Research on InfectiouS disease Emergencies (APPRISE) has developed a virtual biobank to support infectious disease research in Australia. This Notice to Readers provides a brief overview of the biobank's functions and roles.</dc:subject>
  <dc:creator>Miranda Z Smith; Maureen Turner; Javier Haurat; Irani Thevarajan; Justin Denholm; Steven YC Tong; Gail V Matthews; Rowena A Bull; Marianne Martinello; James McMahon; Allison Imrie; Priyanka E Pillai</dc:creator>
  <cp:keywords>Infectious disease; virtual biobank; biospecimens; collaboration; preparedness; COVID-19</cp:keywords>
  <dc:description>© Commonwealth of Australia CC BY-NC-ND ISSN: 2209-6051 (Online)</dc:description>
  <cp:lastModifiedBy>YOUSEFI, Kasra</cp:lastModifiedBy>
  <cp:revision>4</cp:revision>
  <cp:lastPrinted>2018-05-10T02:19:00Z</cp:lastPrinted>
  <dcterms:created xsi:type="dcterms:W3CDTF">2023-10-03T05:24:00Z</dcterms:created>
  <dcterms:modified xsi:type="dcterms:W3CDTF">2023-11-08T06:08:00Z</dcterms:modified>
  <cp:category>Notice to readers</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16/11/2023</vt:lpwstr>
  </property>
  <property fmtid="{D5CDD505-2E9C-101B-9397-08002B2CF9AE}" pid="5" name="DOI">
    <vt:lpwstr>https://doi.org/10.33321/cdi.2023.47.66</vt:lpwstr>
  </property>
</Properties>
</file>