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C645" w14:textId="77777777" w:rsidR="00B50D8D" w:rsidRPr="00B50D8D" w:rsidRDefault="00B50D8D" w:rsidP="00B50D8D">
      <w:pPr>
        <w:pStyle w:val="CDIfootnotes"/>
      </w:pPr>
      <w:r w:rsidRPr="00B50D8D">
        <w:rPr>
          <w:i/>
          <w:iCs/>
        </w:rPr>
        <w:t>Communicable Diseases Intelligence</w:t>
      </w:r>
      <w:r w:rsidRPr="00B50D8D">
        <w:t xml:space="preserve">, Year </w:t>
      </w:r>
      <w:r w:rsidR="00764E1B">
        <w:fldChar w:fldCharType="begin"/>
      </w:r>
      <w:r w:rsidR="00764E1B">
        <w:instrText xml:space="preserve"> DOCPROPERTY  Year  \* MERGEFORMAT </w:instrText>
      </w:r>
      <w:r w:rsidR="00764E1B">
        <w:fldChar w:fldCharType="separate"/>
      </w:r>
      <w:r w:rsidR="00816281">
        <w:t>2023</w:t>
      </w:r>
      <w:r w:rsidR="00764E1B">
        <w:fldChar w:fldCharType="end"/>
      </w:r>
      <w:r w:rsidRPr="00B50D8D">
        <w:t xml:space="preserve">, Volume </w:t>
      </w:r>
      <w:r w:rsidR="00764E1B">
        <w:fldChar w:fldCharType="begin"/>
      </w:r>
      <w:r w:rsidR="00764E1B">
        <w:instrText xml:space="preserve"> DOCPROPERTY  Vol  \* MERGEFORMAT </w:instrText>
      </w:r>
      <w:r w:rsidR="00764E1B">
        <w:fldChar w:fldCharType="separate"/>
      </w:r>
      <w:r w:rsidR="00816281">
        <w:t>47</w:t>
      </w:r>
      <w:r w:rsidR="00764E1B">
        <w:fldChar w:fldCharType="end"/>
      </w:r>
    </w:p>
    <w:p w14:paraId="01311611" w14:textId="164431A5" w:rsidR="00B50D8D" w:rsidRPr="00B50D8D" w:rsidRDefault="00764E1B" w:rsidP="00B50D8D">
      <w:pPr>
        <w:pStyle w:val="CDIfootnotes"/>
      </w:pPr>
      <w:r>
        <w:fldChar w:fldCharType="begin"/>
      </w:r>
      <w:r>
        <w:instrText xml:space="preserve"> DOCPROPERTY  DOI  \* MERGEFORMAT </w:instrText>
      </w:r>
      <w:r>
        <w:fldChar w:fldCharType="separate"/>
      </w:r>
      <w:r w:rsidR="00C20105">
        <w:t>https://doi.org/10.33321/cdi.2023.47.71</w:t>
      </w:r>
      <w:r>
        <w:fldChar w:fldCharType="end"/>
      </w:r>
    </w:p>
    <w:p w14:paraId="53284B36" w14:textId="68E2C94F" w:rsidR="00B50D8D" w:rsidRPr="00B50D8D" w:rsidRDefault="00B50D8D" w:rsidP="00B50D8D">
      <w:pPr>
        <w:pStyle w:val="CDIfootnotes"/>
      </w:pPr>
      <w:r w:rsidRPr="00B50D8D">
        <w:t xml:space="preserve">Publication date: </w:t>
      </w:r>
      <w:r w:rsidR="00764E1B">
        <w:fldChar w:fldCharType="begin"/>
      </w:r>
      <w:r w:rsidR="00764E1B">
        <w:instrText xml:space="preserve"> DOCPROPERTY  ePubDate  \* MERGEFORMAT </w:instrText>
      </w:r>
      <w:r w:rsidR="00764E1B">
        <w:fldChar w:fldCharType="separate"/>
      </w:r>
      <w:r w:rsidR="00C20105">
        <w:t>16/11/2023</w:t>
      </w:r>
      <w:r w:rsidR="00764E1B">
        <w:fldChar w:fldCharType="end"/>
      </w:r>
    </w:p>
    <w:p w14:paraId="4BDA49EF" w14:textId="4B36D4F3" w:rsidR="00B50D8D" w:rsidRPr="00B50D8D" w:rsidRDefault="00764E1B" w:rsidP="00B50D8D">
      <w:pPr>
        <w:pStyle w:val="CDIfootnotes"/>
      </w:pPr>
      <w:hyperlink r:id="rId9" w:history="1">
        <w:r w:rsidR="00B50D8D" w:rsidRPr="00B50D8D">
          <w:rPr>
            <w:rStyle w:val="Hyperlink"/>
          </w:rPr>
          <w:t>http://health.gov.au/cdi</w:t>
        </w:r>
      </w:hyperlink>
      <w:r w:rsidR="00B50D8D" w:rsidRPr="00B50D8D">
        <w:t xml:space="preserve"> </w:t>
      </w:r>
    </w:p>
    <w:p w14:paraId="0CF52AE0" w14:textId="77777777" w:rsidR="00051973" w:rsidRDefault="00051973" w:rsidP="00051973">
      <w:pPr>
        <w:pStyle w:val="Title"/>
        <w:divId w:val="1330868351"/>
        <w:rPr>
          <w:rFonts w:eastAsia="Times New Roman"/>
          <w:sz w:val="48"/>
          <w:szCs w:val="48"/>
        </w:rPr>
      </w:pPr>
      <w:r>
        <w:rPr>
          <w:rFonts w:eastAsia="Times New Roman"/>
        </w:rPr>
        <w:t xml:space="preserve">A five-year analysis of latent tuberculosis infection in Queensland, 2016–2020 </w:t>
      </w:r>
    </w:p>
    <w:p w14:paraId="4D6A75C9" w14:textId="4FA1B812" w:rsidR="009C013B" w:rsidRDefault="00051973" w:rsidP="009C013B">
      <w:pPr>
        <w:divId w:val="1330868351"/>
      </w:pPr>
      <w:r>
        <w:t xml:space="preserve">Marguerite Dalmau, Chris Coulter, Bridget O’Connor, Jennifer Robson, Emma Field, Stephen Lambert </w:t>
      </w:r>
    </w:p>
    <w:p w14:paraId="5BCDA847" w14:textId="54A808E7" w:rsidR="00051973" w:rsidRPr="00051973" w:rsidRDefault="00051973" w:rsidP="00051973">
      <w:pPr>
        <w:pStyle w:val="Heading1"/>
        <w:divId w:val="1330868351"/>
      </w:pPr>
      <w:r w:rsidRPr="00051973">
        <w:t xml:space="preserve">Abstract </w:t>
      </w:r>
    </w:p>
    <w:p w14:paraId="7BBDA5D9" w14:textId="77777777" w:rsidR="00051973" w:rsidRPr="00051973" w:rsidRDefault="00051973" w:rsidP="00051973">
      <w:pPr>
        <w:pStyle w:val="Heading2"/>
        <w:divId w:val="1330868351"/>
      </w:pPr>
      <w:r w:rsidRPr="00051973">
        <w:t xml:space="preserve">Background </w:t>
      </w:r>
    </w:p>
    <w:p w14:paraId="359071EA" w14:textId="77777777" w:rsidR="00051973" w:rsidRDefault="00051973" w:rsidP="00051973">
      <w:pPr>
        <w:divId w:val="1330868351"/>
      </w:pPr>
      <w:r>
        <w:t xml:space="preserve">Australia is aiming to reach tuberculosis pre-elimination targets by 2035. As a </w:t>
      </w:r>
      <w:proofErr w:type="gramStart"/>
      <w:r>
        <w:t>low-incidence</w:t>
      </w:r>
      <w:proofErr w:type="gramEnd"/>
      <w:r>
        <w:t xml:space="preserve"> setting, control efforts will increasingly rely on the management of latent tuberculosis infection (LTBI). We undertook this descriptive analysis to assess the </w:t>
      </w:r>
      <w:proofErr w:type="gramStart"/>
      <w:r>
        <w:t>recent trends</w:t>
      </w:r>
      <w:proofErr w:type="gramEnd"/>
      <w:r>
        <w:t xml:space="preserve"> of LTBI testing in Queensland. </w:t>
      </w:r>
    </w:p>
    <w:p w14:paraId="016EF00F" w14:textId="77777777" w:rsidR="00051973" w:rsidRPr="00051973" w:rsidRDefault="00051973" w:rsidP="00051973">
      <w:pPr>
        <w:pStyle w:val="Heading2"/>
        <w:divId w:val="1330868351"/>
      </w:pPr>
      <w:r w:rsidRPr="00051973">
        <w:t xml:space="preserve">Methods </w:t>
      </w:r>
    </w:p>
    <w:p w14:paraId="17FC1EF5" w14:textId="77777777" w:rsidR="00051973" w:rsidRDefault="00051973" w:rsidP="00051973">
      <w:pPr>
        <w:divId w:val="1330868351"/>
      </w:pPr>
      <w:r>
        <w:t xml:space="preserve">Our </w:t>
      </w:r>
      <w:proofErr w:type="gramStart"/>
      <w:r>
        <w:t>objective</w:t>
      </w:r>
      <w:proofErr w:type="gramEnd"/>
      <w:r>
        <w:t xml:space="preserve"> was to describe the features of LTBI testing in Queensland, and to estimate the range of possible annual notifications were it to be made a notifiable condition. We collated both state-wide and region-specific data on tuberculin skin testing (TST) and interferon gamma release assays (IGRA) conducted in Queensland during the five-year period 1 January 2016 – 31 December 2020. We used reports on Medicare-funded TST and IGRA testing in Queensland, as well as tuberculosis notification data, to understand the representativeness of our data and to derive state-wide estimates. </w:t>
      </w:r>
    </w:p>
    <w:p w14:paraId="3E3C56A0" w14:textId="77777777" w:rsidR="00051973" w:rsidRPr="00051973" w:rsidRDefault="00051973" w:rsidP="00051973">
      <w:pPr>
        <w:pStyle w:val="Heading2"/>
        <w:divId w:val="1330868351"/>
      </w:pPr>
      <w:r w:rsidRPr="00051973">
        <w:t xml:space="preserve">Results </w:t>
      </w:r>
    </w:p>
    <w:p w14:paraId="2BD41141" w14:textId="77777777" w:rsidR="00051973" w:rsidRDefault="00051973" w:rsidP="00051973">
      <w:pPr>
        <w:divId w:val="1330868351"/>
      </w:pPr>
      <w:r>
        <w:t xml:space="preserve">We analysed 3,899 public TST, 5,463 private TST, 37,802 public pathology IGRA, and 31,656 private pathology IGRA results. The median age of people </w:t>
      </w:r>
      <w:proofErr w:type="gramStart"/>
      <w:r>
        <w:t>tested</w:t>
      </w:r>
      <w:proofErr w:type="gramEnd"/>
      <w:r>
        <w:t xml:space="preserve"> was 31 years; 57% of those tested were female. From our data sources, an annual average of 1,067 positive IGRA and 354 positive TST results occurred in Queensland. Building on this minimum value, we estimate possible latent tuberculosis notifications in Queensland could range from 2,901 to 6,995 per annum. Private laboratory TSTs </w:t>
      </w:r>
      <w:proofErr w:type="gramStart"/>
      <w:r>
        <w:t>are estimated</w:t>
      </w:r>
      <w:proofErr w:type="gramEnd"/>
      <w:r>
        <w:t xml:space="preserve"> to contribute the lowest number of potential notifications (range: 170–340), followed by private laboratory IGRA testing (range: 354–922), public laboratory IGRA testing (range: 706–1,138), and public setting TSTs (range: 1,671–4,595). </w:t>
      </w:r>
    </w:p>
    <w:p w14:paraId="01A6B399" w14:textId="77777777" w:rsidR="00051973" w:rsidRPr="00051973" w:rsidRDefault="00051973" w:rsidP="00051973">
      <w:pPr>
        <w:pStyle w:val="Heading2"/>
        <w:divId w:val="1330868351"/>
      </w:pPr>
      <w:r w:rsidRPr="00051973">
        <w:t xml:space="preserve">Conclusion </w:t>
      </w:r>
    </w:p>
    <w:p w14:paraId="7344A4E8" w14:textId="77777777" w:rsidR="00051973" w:rsidRDefault="00051973" w:rsidP="00051973">
      <w:pPr>
        <w:divId w:val="1330868351"/>
      </w:pPr>
      <w:r>
        <w:t xml:space="preserve">If LTBI were to </w:t>
      </w:r>
      <w:proofErr w:type="gramStart"/>
      <w:r>
        <w:t>be made</w:t>
      </w:r>
      <w:proofErr w:type="gramEnd"/>
      <w:r>
        <w:t xml:space="preserve"> notifiable, these estimates would place it among the ten most notified conditions in Queensland. This has implications for potential surveillance methods and goals, and their associated system and resource requirements. </w:t>
      </w:r>
    </w:p>
    <w:p w14:paraId="2B775E8E" w14:textId="1F3F4458" w:rsidR="00051973" w:rsidRDefault="00051973" w:rsidP="00051973">
      <w:pPr>
        <w:divId w:val="1330868351"/>
      </w:pPr>
      <w:r>
        <w:t>Keywords: latent tuberculosis infection</w:t>
      </w:r>
      <w:r w:rsidR="009502F5">
        <w:t>;</w:t>
      </w:r>
      <w:r>
        <w:t xml:space="preserve"> tuberculin skin testing</w:t>
      </w:r>
      <w:r w:rsidR="009502F5">
        <w:t>;</w:t>
      </w:r>
      <w:r>
        <w:t xml:space="preserve"> interferon gamma release assay</w:t>
      </w:r>
    </w:p>
    <w:p w14:paraId="1D733FC9" w14:textId="77777777" w:rsidR="00051973" w:rsidRPr="00051973" w:rsidRDefault="00051973" w:rsidP="00051973">
      <w:pPr>
        <w:pStyle w:val="Heading1"/>
        <w:divId w:val="1330868351"/>
      </w:pPr>
      <w:r w:rsidRPr="00051973">
        <w:t xml:space="preserve">Introduction </w:t>
      </w:r>
    </w:p>
    <w:p w14:paraId="6962BF75" w14:textId="77777777" w:rsidR="00051973" w:rsidRDefault="00051973" w:rsidP="00051973">
      <w:pPr>
        <w:divId w:val="1330868351"/>
      </w:pPr>
      <w:r>
        <w:t xml:space="preserve">In 2015, the World Health Organization (WHO) initiated the </w:t>
      </w:r>
      <w:proofErr w:type="spellStart"/>
      <w:r>
        <w:t>EndTB</w:t>
      </w:r>
      <w:proofErr w:type="spellEnd"/>
      <w:r>
        <w:t xml:space="preserve"> Strategy, with targets to reduce global tuberculosis related deaths by 95% and tuberculosis incidence rates by 90% between 2015–2035.</w:t>
      </w:r>
      <w:r>
        <w:rPr>
          <w:vertAlign w:val="superscript"/>
        </w:rPr>
        <w:t>1</w:t>
      </w:r>
      <w:r>
        <w:t xml:space="preserve"> In recognition of differing disease contexts, WHO provided an adaptation to the global strategy: a framework for low-incidence countries.</w:t>
      </w:r>
      <w:r>
        <w:rPr>
          <w:vertAlign w:val="superscript"/>
        </w:rPr>
        <w:t>2</w:t>
      </w:r>
      <w:r>
        <w:t xml:space="preserve"> The framework outlines eight priority areas across the political and health sectors and includes a focus on </w:t>
      </w:r>
      <w:r>
        <w:lastRenderedPageBreak/>
        <w:t>screening for latent tuberculosis infection (LTBI).</w:t>
      </w:r>
      <w:r>
        <w:rPr>
          <w:vertAlign w:val="superscript"/>
        </w:rPr>
        <w:t>2</w:t>
      </w:r>
      <w:r>
        <w:t xml:space="preserve"> As tuberculosis (TB) incidence declines, the progress and ultimate success of TB control efforts will increasingly rely on the epidemiology and control of LTBI.</w:t>
      </w:r>
      <w:r>
        <w:rPr>
          <w:vertAlign w:val="superscript"/>
        </w:rPr>
        <w:t>3</w:t>
      </w:r>
      <w:r>
        <w:t xml:space="preserve"> </w:t>
      </w:r>
    </w:p>
    <w:p w14:paraId="0C57E99D" w14:textId="77777777" w:rsidR="00051973" w:rsidRDefault="00051973" w:rsidP="00051973">
      <w:pPr>
        <w:divId w:val="1330868351"/>
      </w:pPr>
      <w:r>
        <w:t xml:space="preserve">LTBI is defined as ‘a state of persistent immune response to prior acquired </w:t>
      </w:r>
      <w:r w:rsidRPr="002F77AF">
        <w:rPr>
          <w:rStyle w:val="Emphasis"/>
          <w:b w:val="0"/>
          <w:bCs w:val="0"/>
        </w:rPr>
        <w:t>Mycobacterium tuberculosis</w:t>
      </w:r>
      <w:r>
        <w:t xml:space="preserve"> (</w:t>
      </w:r>
      <w:proofErr w:type="spellStart"/>
      <w:r>
        <w:t>Mtb</w:t>
      </w:r>
      <w:proofErr w:type="spellEnd"/>
      <w:r>
        <w:t>) antigens without evidence of clinically manifested active tuberculosis’.</w:t>
      </w:r>
      <w:r>
        <w:rPr>
          <w:vertAlign w:val="superscript"/>
        </w:rPr>
        <w:t>4</w:t>
      </w:r>
      <w:r>
        <w:t xml:space="preserve"> LTBI represents part of a dynamic spectrum, rather than a specific entity, and is clinically undetectable.</w:t>
      </w:r>
      <w:r>
        <w:rPr>
          <w:vertAlign w:val="superscript"/>
        </w:rPr>
        <w:t>5</w:t>
      </w:r>
      <w:r>
        <w:t xml:space="preserve"> Routine tests for investigating latent tuberculosis are in fact tests to measure immunoreactivity to </w:t>
      </w:r>
      <w:r w:rsidRPr="002F77AF">
        <w:rPr>
          <w:rStyle w:val="Emphasis"/>
          <w:b w:val="0"/>
          <w:bCs w:val="0"/>
        </w:rPr>
        <w:t>Mycobacterium tuberculosis</w:t>
      </w:r>
      <w:r>
        <w:t xml:space="preserve"> antigens and these tests cannot distinguish whether dormant viable infection is present or not. Nonetheless, the term LTBI is firmly </w:t>
      </w:r>
      <w:proofErr w:type="gramStart"/>
      <w:r>
        <w:t>established</w:t>
      </w:r>
      <w:proofErr w:type="gramEnd"/>
      <w:r>
        <w:t xml:space="preserve"> in the global literature and has accepted meaning. Recent studies estimate a quarter of the global population to be latently infected with TB.</w:t>
      </w:r>
      <w:r>
        <w:rPr>
          <w:vertAlign w:val="superscript"/>
        </w:rPr>
        <w:t>3,6</w:t>
      </w:r>
      <w:r>
        <w:t xml:space="preserve"> Estimates on the lifetime risk of TB following latent infection vary, with the greatest risk occurring in the first five years following infection.</w:t>
      </w:r>
      <w:r>
        <w:rPr>
          <w:vertAlign w:val="superscript"/>
        </w:rPr>
        <w:t>7</w:t>
      </w:r>
      <w:r>
        <w:t xml:space="preserve"> In Australia, risk of disease progression has been estimated to be as high as 14.5% in close contacts of individuals with active pulmonary TB.</w:t>
      </w:r>
      <w:r>
        <w:rPr>
          <w:vertAlign w:val="superscript"/>
        </w:rPr>
        <w:t>8</w:t>
      </w:r>
      <w:r>
        <w:t xml:space="preserve"> </w:t>
      </w:r>
    </w:p>
    <w:p w14:paraId="23A9D40D" w14:textId="77777777" w:rsidR="00051973" w:rsidRDefault="00051973" w:rsidP="00051973">
      <w:pPr>
        <w:divId w:val="1330868351"/>
      </w:pPr>
      <w:r>
        <w:t>As a low-incidence country for TB, Australia is moving towards pre-elimination targets (&lt; 1 case of TB per 100,000 population per year) by 2035.</w:t>
      </w:r>
      <w:r>
        <w:rPr>
          <w:vertAlign w:val="superscript"/>
        </w:rPr>
        <w:t>9</w:t>
      </w:r>
      <w:r>
        <w:t xml:space="preserve"> In line with the WHO framework for low-incidence settings, Australian states and territories follow systematic LTBI testing and treatment regimens for individuals at the highest risk for developing TB.</w:t>
      </w:r>
      <w:r>
        <w:rPr>
          <w:vertAlign w:val="superscript"/>
        </w:rPr>
        <w:t>5</w:t>
      </w:r>
      <w:r>
        <w:t xml:space="preserve"> The National Tuberculosis Advisory Committee (NTAC) recommends LTBI testing in the following groups:</w:t>
      </w:r>
      <w:r>
        <w:rPr>
          <w:vertAlign w:val="superscript"/>
        </w:rPr>
        <w:t xml:space="preserve">5 </w:t>
      </w:r>
    </w:p>
    <w:p w14:paraId="4538AA0C"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 xml:space="preserve">people identified by contact </w:t>
      </w:r>
      <w:proofErr w:type="gramStart"/>
      <w:r w:rsidRPr="00051973">
        <w:rPr>
          <w:rFonts w:eastAsia="Times New Roman"/>
        </w:rPr>
        <w:t>tracing;</w:t>
      </w:r>
      <w:proofErr w:type="gramEnd"/>
      <w:r w:rsidRPr="00051973">
        <w:rPr>
          <w:rFonts w:eastAsia="Times New Roman"/>
        </w:rPr>
        <w:t xml:space="preserve"> </w:t>
      </w:r>
    </w:p>
    <w:p w14:paraId="29E07876"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 xml:space="preserve">migrants with a history of TB contact in the last two </w:t>
      </w:r>
      <w:proofErr w:type="gramStart"/>
      <w:r w:rsidRPr="00051973">
        <w:rPr>
          <w:rFonts w:eastAsia="Times New Roman"/>
        </w:rPr>
        <w:t>years;</w:t>
      </w:r>
      <w:proofErr w:type="gramEnd"/>
      <w:r w:rsidRPr="00051973">
        <w:rPr>
          <w:rFonts w:eastAsia="Times New Roman"/>
        </w:rPr>
        <w:t xml:space="preserve"> </w:t>
      </w:r>
    </w:p>
    <w:p w14:paraId="237A0223"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migrants from high-incidence countries younger than 35 years of age (or 35 years and older with one or more risk factors</w:t>
      </w:r>
      <w:proofErr w:type="gramStart"/>
      <w:r w:rsidRPr="00051973">
        <w:rPr>
          <w:rFonts w:eastAsia="Times New Roman"/>
        </w:rPr>
        <w:t>);</w:t>
      </w:r>
      <w:proofErr w:type="gramEnd"/>
      <w:r w:rsidRPr="00051973">
        <w:rPr>
          <w:rFonts w:eastAsia="Times New Roman"/>
        </w:rPr>
        <w:t xml:space="preserve"> </w:t>
      </w:r>
    </w:p>
    <w:p w14:paraId="1AB0C631"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people living with human immunodeficiency virus (HIV</w:t>
      </w:r>
      <w:proofErr w:type="gramStart"/>
      <w:r w:rsidRPr="00051973">
        <w:rPr>
          <w:rFonts w:eastAsia="Times New Roman"/>
        </w:rPr>
        <w:t>);</w:t>
      </w:r>
      <w:proofErr w:type="gramEnd"/>
      <w:r w:rsidRPr="00051973">
        <w:rPr>
          <w:rFonts w:eastAsia="Times New Roman"/>
        </w:rPr>
        <w:t xml:space="preserve"> </w:t>
      </w:r>
    </w:p>
    <w:p w14:paraId="0AB0189A"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 xml:space="preserve">patients initiating anti-tumour necrosis factor-α (anti-TNFα) </w:t>
      </w:r>
      <w:proofErr w:type="gramStart"/>
      <w:r w:rsidRPr="00051973">
        <w:rPr>
          <w:rFonts w:eastAsia="Times New Roman"/>
        </w:rPr>
        <w:t>treatment;</w:t>
      </w:r>
      <w:proofErr w:type="gramEnd"/>
      <w:r w:rsidRPr="00051973">
        <w:rPr>
          <w:rFonts w:eastAsia="Times New Roman"/>
        </w:rPr>
        <w:t xml:space="preserve"> </w:t>
      </w:r>
    </w:p>
    <w:p w14:paraId="20AC7469"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 xml:space="preserve">patients preparing for organ transplantation; and </w:t>
      </w:r>
    </w:p>
    <w:p w14:paraId="12FA96EC" w14:textId="77777777" w:rsidR="00051973" w:rsidRPr="00051973" w:rsidRDefault="00051973" w:rsidP="00051973">
      <w:pPr>
        <w:pStyle w:val="ListParagraph"/>
        <w:numPr>
          <w:ilvl w:val="0"/>
          <w:numId w:val="10"/>
        </w:numPr>
        <w:divId w:val="1330868351"/>
        <w:rPr>
          <w:rFonts w:eastAsia="Times New Roman"/>
        </w:rPr>
      </w:pPr>
      <w:r w:rsidRPr="00051973">
        <w:rPr>
          <w:rFonts w:eastAsia="Times New Roman"/>
        </w:rPr>
        <w:t xml:space="preserve">people who worked for a prolonged period in a healthcare setting in a high-incidence country. </w:t>
      </w:r>
    </w:p>
    <w:p w14:paraId="327C86BF" w14:textId="77777777" w:rsidR="00051973" w:rsidRDefault="00051973" w:rsidP="00051973">
      <w:pPr>
        <w:divId w:val="1330868351"/>
      </w:pPr>
      <w:r>
        <w:t xml:space="preserve">Tuberculin skin tests (TST) or interferon gamma release assays (IGRA) </w:t>
      </w:r>
      <w:proofErr w:type="gramStart"/>
      <w:r>
        <w:t>are used</w:t>
      </w:r>
      <w:proofErr w:type="gramEnd"/>
      <w:r>
        <w:t xml:space="preserve"> to screen for LTBI in Australia. Both tests demonstrate immune sensitisation to </w:t>
      </w:r>
      <w:proofErr w:type="spellStart"/>
      <w:proofErr w:type="gramStart"/>
      <w:r>
        <w:t>Mtb</w:t>
      </w:r>
      <w:proofErr w:type="spellEnd"/>
      <w:proofErr w:type="gramEnd"/>
      <w:r w:rsidRPr="002F77AF">
        <w:rPr>
          <w:rStyle w:val="Emphasis"/>
          <w:b w:val="0"/>
          <w:bCs w:val="0"/>
        </w:rPr>
        <w:t xml:space="preserve"> </w:t>
      </w:r>
      <w:r>
        <w:t>and diagnosis requires medical review to exclude active TB.</w:t>
      </w:r>
      <w:r>
        <w:rPr>
          <w:vertAlign w:val="superscript"/>
        </w:rPr>
        <w:t>5</w:t>
      </w:r>
      <w:r>
        <w:t xml:space="preserve"> </w:t>
      </w:r>
    </w:p>
    <w:p w14:paraId="6E4A0AE6" w14:textId="77777777" w:rsidR="00051973" w:rsidRDefault="00051973" w:rsidP="00051973">
      <w:pPr>
        <w:divId w:val="1330868351"/>
      </w:pPr>
      <w:r>
        <w:t xml:space="preserve">While systematic testing plays </w:t>
      </w:r>
      <w:proofErr w:type="gramStart"/>
      <w:r>
        <w:t>an important role</w:t>
      </w:r>
      <w:proofErr w:type="gramEnd"/>
      <w:r>
        <w:t xml:space="preserve">, there is currently no centralised national surveillance process to monitor LTBI testing patterns and results, treatment outcomes, or trends in progression to active disease. LTBI </w:t>
      </w:r>
      <w:proofErr w:type="gramStart"/>
      <w:r>
        <w:t>is not currently listed</w:t>
      </w:r>
      <w:proofErr w:type="gramEnd"/>
      <w:r>
        <w:t xml:space="preserve"> on the National Notifiable Disease List (NNDL). This study </w:t>
      </w:r>
      <w:proofErr w:type="gramStart"/>
      <w:r>
        <w:t>sought</w:t>
      </w:r>
      <w:proofErr w:type="gramEnd"/>
      <w:r>
        <w:t xml:space="preserve"> to quantify the impact of LTBI being made a notifiable condition in the state of Queensland. </w:t>
      </w:r>
    </w:p>
    <w:p w14:paraId="29911EA1" w14:textId="77777777" w:rsidR="00051973" w:rsidRDefault="00051973" w:rsidP="00051973">
      <w:pPr>
        <w:divId w:val="1330868351"/>
      </w:pPr>
      <w:r>
        <w:t xml:space="preserve">Improving our understanding of local LTBI testing trends will support discussions on adding the condition to jurisdictional notifications lists and the NNDL. We undertook this descriptive analysis to assess the recent (five-year) trends of LTBI testing in Queensland. Our </w:t>
      </w:r>
      <w:proofErr w:type="gramStart"/>
      <w:r>
        <w:t>objective</w:t>
      </w:r>
      <w:proofErr w:type="gramEnd"/>
      <w:r>
        <w:t xml:space="preserve"> was to describe the features of LTBI testing in Queensland, and to estimate the range of possible annual notifications were it to be made a notifiable condition. </w:t>
      </w:r>
    </w:p>
    <w:p w14:paraId="3F50D0BE" w14:textId="77777777" w:rsidR="00051973" w:rsidRPr="00051973" w:rsidRDefault="00051973" w:rsidP="00051973">
      <w:pPr>
        <w:pStyle w:val="Heading1"/>
        <w:divId w:val="1330868351"/>
      </w:pPr>
      <w:r w:rsidRPr="00051973">
        <w:t xml:space="preserve">Methods </w:t>
      </w:r>
    </w:p>
    <w:p w14:paraId="1A64E317" w14:textId="77777777" w:rsidR="00051973" w:rsidRDefault="00051973" w:rsidP="00051973">
      <w:pPr>
        <w:divId w:val="1330868351"/>
      </w:pPr>
      <w:r>
        <w:t xml:space="preserve">In Queensland, the public health management of people with, or people suspected to have, </w:t>
      </w:r>
      <w:proofErr w:type="gramStart"/>
      <w:r>
        <w:t>tuberculosis is performed by regional tuberculosis control units (TBCU)</w:t>
      </w:r>
      <w:proofErr w:type="gramEnd"/>
      <w:r>
        <w:t>.</w:t>
      </w:r>
      <w:r>
        <w:rPr>
          <w:vertAlign w:val="superscript"/>
        </w:rPr>
        <w:t>10</w:t>
      </w:r>
      <w:r>
        <w:t xml:space="preserve"> TBCUs and some private pathology providers administer TSTs, and IGRAs are performed by both private and public pathology providers. Both tests incur a fee which may be eligible for a Medicare rebate when aligned with NTAC indications for screening. Medicare Benefits Schedule (MBS) item numbers 69471 and 73811 represent </w:t>
      </w:r>
      <w:proofErr w:type="gramStart"/>
      <w:r>
        <w:t>clinician-requested</w:t>
      </w:r>
      <w:proofErr w:type="gramEnd"/>
      <w:r>
        <w:t xml:space="preserve"> IGRA tests and TST respectively.</w:t>
      </w:r>
      <w:r>
        <w:rPr>
          <w:vertAlign w:val="superscript"/>
        </w:rPr>
        <w:t>11,12</w:t>
      </w:r>
      <w:r>
        <w:t xml:space="preserve"> Neither test alone </w:t>
      </w:r>
      <w:r>
        <w:lastRenderedPageBreak/>
        <w:t xml:space="preserve">can definitively diagnose LTBI, however, positive tests provide a reference for the purpose of predicting possible LTBI notifications. </w:t>
      </w:r>
    </w:p>
    <w:p w14:paraId="2B68A992" w14:textId="77777777" w:rsidR="00051973" w:rsidRPr="00051973" w:rsidRDefault="00051973" w:rsidP="00051973">
      <w:pPr>
        <w:pStyle w:val="Heading2"/>
        <w:divId w:val="1330868351"/>
      </w:pPr>
      <w:r w:rsidRPr="00051973">
        <w:t xml:space="preserve">Study population and data sources </w:t>
      </w:r>
    </w:p>
    <w:p w14:paraId="693E1310" w14:textId="71C310ED" w:rsidR="00051973" w:rsidRDefault="00051973" w:rsidP="00051973">
      <w:pPr>
        <w:divId w:val="1330868351"/>
      </w:pPr>
      <w:r>
        <w:t xml:space="preserve">Our descriptive analysis drew on multiple data sources to build a representative summary of LTBI in Queensland (Table 1). We collated both state-wide and region-specific data that collectively included: people with a recorded TST or IGRA test; people with a positive </w:t>
      </w:r>
      <w:proofErr w:type="spellStart"/>
      <w:r>
        <w:t>Mtb</w:t>
      </w:r>
      <w:proofErr w:type="spellEnd"/>
      <w:r>
        <w:t xml:space="preserve"> nucleic </w:t>
      </w:r>
      <w:proofErr w:type="gramStart"/>
      <w:r>
        <w:t>acid test</w:t>
      </w:r>
      <w:proofErr w:type="gramEnd"/>
      <w:r>
        <w:t xml:space="preserve"> or culture isolate; people notified with laboratory confirmed or clinically confirmed TB; and aggregated reports of Medicare-funded TST and IGRA tests in Queensland in the study period.</w:t>
      </w:r>
      <w:r>
        <w:rPr>
          <w:vertAlign w:val="superscript"/>
        </w:rPr>
        <w:t>13</w:t>
      </w:r>
      <w:r>
        <w:t xml:space="preserve"> </w:t>
      </w:r>
    </w:p>
    <w:p w14:paraId="74228179" w14:textId="77777777" w:rsidR="00CD47D0" w:rsidRPr="00AF4B03" w:rsidRDefault="00CD47D0" w:rsidP="00CD47D0">
      <w:pPr>
        <w:pStyle w:val="CDIFigures"/>
        <w:divId w:val="1330868351"/>
      </w:pPr>
      <w:r w:rsidRPr="00AF4B03">
        <w:rPr>
          <w:rStyle w:val="Strong"/>
          <w:b/>
          <w:bCs w:val="0"/>
        </w:rPr>
        <w:t xml:space="preserve">Table 1: Summary of study data by source and population </w:t>
      </w:r>
    </w:p>
    <w:tbl>
      <w:tblPr>
        <w:tblStyle w:val="CDI-StandardTable"/>
        <w:tblW w:w="0" w:type="auto"/>
        <w:tblLook w:val="04A0" w:firstRow="1" w:lastRow="0" w:firstColumn="1" w:lastColumn="0" w:noHBand="0" w:noVBand="1"/>
        <w:tblDescription w:val="Table 1 lists the data sources, a brief description of the source, and associated study population used for the descriptive analysis. &#10;"/>
      </w:tblPr>
      <w:tblGrid>
        <w:gridCol w:w="1947"/>
        <w:gridCol w:w="3998"/>
        <w:gridCol w:w="4521"/>
      </w:tblGrid>
      <w:tr w:rsidR="00CD47D0" w14:paraId="497188F9" w14:textId="77777777" w:rsidTr="00CD47D0">
        <w:trPr>
          <w:cnfStyle w:val="100000000000" w:firstRow="1" w:lastRow="0" w:firstColumn="0" w:lastColumn="0" w:oddVBand="0" w:evenVBand="0" w:oddHBand="0" w:evenHBand="0" w:firstRowFirstColumn="0" w:firstRowLastColumn="0" w:lastRowFirstColumn="0" w:lastRowLastColumn="0"/>
          <w:divId w:val="1330868351"/>
          <w:tblHeader/>
        </w:trPr>
        <w:tc>
          <w:tcPr>
            <w:tcW w:w="0" w:type="auto"/>
            <w:hideMark/>
          </w:tcPr>
          <w:p w14:paraId="6ACDF57E" w14:textId="77777777" w:rsidR="00CD47D0" w:rsidRDefault="00CD47D0" w:rsidP="00180503">
            <w:pPr>
              <w:pStyle w:val="NormalWeb"/>
              <w:jc w:val="left"/>
            </w:pPr>
            <w:r>
              <w:t>Source</w:t>
            </w:r>
          </w:p>
        </w:tc>
        <w:tc>
          <w:tcPr>
            <w:tcW w:w="0" w:type="auto"/>
            <w:hideMark/>
          </w:tcPr>
          <w:p w14:paraId="7A4FCA65" w14:textId="77777777" w:rsidR="00CD47D0" w:rsidRDefault="00CD47D0" w:rsidP="00180503">
            <w:pPr>
              <w:pStyle w:val="NormalWeb"/>
              <w:jc w:val="left"/>
            </w:pPr>
            <w:r>
              <w:t>Description</w:t>
            </w:r>
          </w:p>
        </w:tc>
        <w:tc>
          <w:tcPr>
            <w:tcW w:w="0" w:type="auto"/>
            <w:hideMark/>
          </w:tcPr>
          <w:p w14:paraId="62148CFC" w14:textId="77777777" w:rsidR="00CD47D0" w:rsidRDefault="00CD47D0" w:rsidP="00180503">
            <w:pPr>
              <w:pStyle w:val="NormalWeb"/>
              <w:jc w:val="left"/>
            </w:pPr>
            <w:r>
              <w:t xml:space="preserve">Population/data </w:t>
            </w:r>
            <w:r w:rsidRPr="00D77F77">
              <w:rPr>
                <w:vertAlign w:val="superscript"/>
              </w:rPr>
              <w:t>a</w:t>
            </w:r>
          </w:p>
        </w:tc>
      </w:tr>
      <w:tr w:rsidR="00CD47D0" w14:paraId="27EE6633" w14:textId="77777777" w:rsidTr="00CD47D0">
        <w:trPr>
          <w:divId w:val="1330868351"/>
        </w:trPr>
        <w:tc>
          <w:tcPr>
            <w:tcW w:w="0" w:type="auto"/>
            <w:vAlign w:val="top"/>
            <w:hideMark/>
          </w:tcPr>
          <w:p w14:paraId="23A081BD" w14:textId="77777777" w:rsidR="00CD47D0" w:rsidRDefault="00CD47D0" w:rsidP="00CD47D0">
            <w:pPr>
              <w:pStyle w:val="NormalWeb"/>
              <w:jc w:val="left"/>
            </w:pPr>
            <w:r>
              <w:t>Public laboratory service</w:t>
            </w:r>
          </w:p>
        </w:tc>
        <w:tc>
          <w:tcPr>
            <w:tcW w:w="0" w:type="auto"/>
            <w:vAlign w:val="top"/>
            <w:hideMark/>
          </w:tcPr>
          <w:p w14:paraId="5F9DFBDC" w14:textId="77777777" w:rsidR="00CD47D0" w:rsidRDefault="00CD47D0" w:rsidP="00CD47D0">
            <w:pPr>
              <w:pStyle w:val="NormalWeb"/>
              <w:jc w:val="left"/>
            </w:pPr>
            <w:r>
              <w:t>Pathology Queensland’s integrated laboratory information system</w:t>
            </w:r>
          </w:p>
        </w:tc>
        <w:tc>
          <w:tcPr>
            <w:tcW w:w="0" w:type="auto"/>
            <w:vAlign w:val="top"/>
            <w:hideMark/>
          </w:tcPr>
          <w:p w14:paraId="4AD41CB5" w14:textId="77777777" w:rsidR="00CD47D0" w:rsidRDefault="00CD47D0" w:rsidP="00CD47D0">
            <w:pPr>
              <w:pStyle w:val="NormalWeb"/>
              <w:jc w:val="left"/>
            </w:pPr>
            <w:r>
              <w:t>People with a recorded IGRA test</w:t>
            </w:r>
          </w:p>
          <w:p w14:paraId="465E3A46" w14:textId="77777777" w:rsidR="00CD47D0" w:rsidRDefault="00CD47D0" w:rsidP="00CD47D0">
            <w:pPr>
              <w:pStyle w:val="NormalWeb"/>
              <w:jc w:val="left"/>
            </w:pPr>
            <w:r>
              <w:t xml:space="preserve">People with a positive Mycobacterium tuberculosis nucleic </w:t>
            </w:r>
            <w:proofErr w:type="gramStart"/>
            <w:r>
              <w:t>acid test</w:t>
            </w:r>
            <w:proofErr w:type="gramEnd"/>
            <w:r>
              <w:t xml:space="preserve"> or culture isolate</w:t>
            </w:r>
          </w:p>
        </w:tc>
      </w:tr>
      <w:tr w:rsidR="00CD47D0" w14:paraId="63EA3E97" w14:textId="77777777" w:rsidTr="00CD47D0">
        <w:trPr>
          <w:cnfStyle w:val="000000010000" w:firstRow="0" w:lastRow="0" w:firstColumn="0" w:lastColumn="0" w:oddVBand="0" w:evenVBand="0" w:oddHBand="0" w:evenHBand="1" w:firstRowFirstColumn="0" w:firstRowLastColumn="0" w:lastRowFirstColumn="0" w:lastRowLastColumn="0"/>
          <w:divId w:val="1330868351"/>
        </w:trPr>
        <w:tc>
          <w:tcPr>
            <w:tcW w:w="0" w:type="auto"/>
            <w:vAlign w:val="top"/>
            <w:hideMark/>
          </w:tcPr>
          <w:p w14:paraId="7FD37309" w14:textId="77777777" w:rsidR="00CD47D0" w:rsidRDefault="00CD47D0" w:rsidP="00CD47D0">
            <w:pPr>
              <w:pStyle w:val="NormalWeb"/>
              <w:jc w:val="left"/>
            </w:pPr>
            <w:r>
              <w:t>Private laboratory</w:t>
            </w:r>
          </w:p>
        </w:tc>
        <w:tc>
          <w:tcPr>
            <w:tcW w:w="0" w:type="auto"/>
            <w:vAlign w:val="top"/>
            <w:hideMark/>
          </w:tcPr>
          <w:p w14:paraId="6DF12F88" w14:textId="77777777" w:rsidR="00CD47D0" w:rsidRDefault="00CD47D0" w:rsidP="00CD47D0">
            <w:pPr>
              <w:pStyle w:val="NormalWeb"/>
              <w:jc w:val="left"/>
            </w:pPr>
            <w:r>
              <w:t>Large private pathology provider in Queensland</w:t>
            </w:r>
          </w:p>
        </w:tc>
        <w:tc>
          <w:tcPr>
            <w:tcW w:w="0" w:type="auto"/>
            <w:vAlign w:val="top"/>
            <w:hideMark/>
          </w:tcPr>
          <w:p w14:paraId="58B959A2" w14:textId="77777777" w:rsidR="00CD47D0" w:rsidRDefault="00CD47D0" w:rsidP="00CD47D0">
            <w:pPr>
              <w:pStyle w:val="NormalWeb"/>
              <w:jc w:val="left"/>
            </w:pPr>
            <w:r>
              <w:t>People with a recorded IGRA test</w:t>
            </w:r>
          </w:p>
          <w:p w14:paraId="59B084FA" w14:textId="77777777" w:rsidR="00CD47D0" w:rsidRDefault="00CD47D0" w:rsidP="00CD47D0">
            <w:pPr>
              <w:pStyle w:val="NormalWeb"/>
              <w:jc w:val="left"/>
            </w:pPr>
            <w:r>
              <w:t>People with a recorded TST</w:t>
            </w:r>
          </w:p>
        </w:tc>
      </w:tr>
      <w:tr w:rsidR="00CD47D0" w14:paraId="1CF236C9" w14:textId="77777777" w:rsidTr="00CD47D0">
        <w:trPr>
          <w:divId w:val="1330868351"/>
        </w:trPr>
        <w:tc>
          <w:tcPr>
            <w:tcW w:w="0" w:type="auto"/>
            <w:vAlign w:val="top"/>
            <w:hideMark/>
          </w:tcPr>
          <w:p w14:paraId="2C70038B" w14:textId="77777777" w:rsidR="00CD47D0" w:rsidRDefault="00CD47D0" w:rsidP="00CD47D0">
            <w:pPr>
              <w:pStyle w:val="NormalWeb"/>
              <w:jc w:val="left"/>
            </w:pPr>
            <w:r>
              <w:t>Tuberculosis control unit (TBCU)</w:t>
            </w:r>
          </w:p>
        </w:tc>
        <w:tc>
          <w:tcPr>
            <w:tcW w:w="0" w:type="auto"/>
            <w:vAlign w:val="top"/>
            <w:hideMark/>
          </w:tcPr>
          <w:p w14:paraId="6044B96B" w14:textId="77777777" w:rsidR="00CD47D0" w:rsidRDefault="00CD47D0" w:rsidP="00CD47D0">
            <w:pPr>
              <w:pStyle w:val="NormalWeb"/>
              <w:jc w:val="left"/>
            </w:pPr>
            <w:r>
              <w:t>Participating TBCU from Northern Queensland</w:t>
            </w:r>
          </w:p>
        </w:tc>
        <w:tc>
          <w:tcPr>
            <w:tcW w:w="0" w:type="auto"/>
            <w:vAlign w:val="top"/>
            <w:hideMark/>
          </w:tcPr>
          <w:p w14:paraId="478A3A7A" w14:textId="77777777" w:rsidR="00CD47D0" w:rsidRDefault="00CD47D0" w:rsidP="00CD47D0">
            <w:pPr>
              <w:pStyle w:val="NormalWeb"/>
              <w:jc w:val="left"/>
            </w:pPr>
            <w:r>
              <w:t>People with a recorded TST</w:t>
            </w:r>
          </w:p>
        </w:tc>
      </w:tr>
      <w:tr w:rsidR="00CD47D0" w14:paraId="0EAAD517" w14:textId="77777777" w:rsidTr="00CD47D0">
        <w:trPr>
          <w:cnfStyle w:val="000000010000" w:firstRow="0" w:lastRow="0" w:firstColumn="0" w:lastColumn="0" w:oddVBand="0" w:evenVBand="0" w:oddHBand="0" w:evenHBand="1" w:firstRowFirstColumn="0" w:firstRowLastColumn="0" w:lastRowFirstColumn="0" w:lastRowLastColumn="0"/>
          <w:divId w:val="1330868351"/>
        </w:trPr>
        <w:tc>
          <w:tcPr>
            <w:tcW w:w="0" w:type="auto"/>
            <w:vAlign w:val="top"/>
            <w:hideMark/>
          </w:tcPr>
          <w:p w14:paraId="132C760B" w14:textId="77777777" w:rsidR="00CD47D0" w:rsidRDefault="00CD47D0" w:rsidP="00CD47D0">
            <w:pPr>
              <w:pStyle w:val="NormalWeb"/>
              <w:jc w:val="left"/>
            </w:pPr>
            <w:r>
              <w:t>Medicare</w:t>
            </w:r>
          </w:p>
        </w:tc>
        <w:tc>
          <w:tcPr>
            <w:tcW w:w="0" w:type="auto"/>
            <w:vAlign w:val="top"/>
            <w:hideMark/>
          </w:tcPr>
          <w:p w14:paraId="2BB9403D" w14:textId="77777777" w:rsidR="00CD47D0" w:rsidRDefault="00CD47D0" w:rsidP="00CD47D0">
            <w:pPr>
              <w:pStyle w:val="NormalWeb"/>
              <w:jc w:val="left"/>
            </w:pPr>
            <w:r>
              <w:t>Clinician-requested tests funded by the Australian Government</w:t>
            </w:r>
          </w:p>
        </w:tc>
        <w:tc>
          <w:tcPr>
            <w:tcW w:w="0" w:type="auto"/>
            <w:vAlign w:val="top"/>
            <w:hideMark/>
          </w:tcPr>
          <w:p w14:paraId="7CE23F7F" w14:textId="77777777" w:rsidR="00CD47D0" w:rsidRDefault="00CD47D0" w:rsidP="00CD47D0">
            <w:pPr>
              <w:pStyle w:val="NormalWeb"/>
              <w:jc w:val="left"/>
            </w:pPr>
            <w:r>
              <w:t>Publicly available aggregated reports for Medicare Benefits Schedule item numbers 69471 (IGRA) and 73811 (TST)</w:t>
            </w:r>
          </w:p>
        </w:tc>
      </w:tr>
      <w:tr w:rsidR="00CD47D0" w14:paraId="72ED3589" w14:textId="77777777" w:rsidTr="00CD47D0">
        <w:trPr>
          <w:divId w:val="1330868351"/>
        </w:trPr>
        <w:tc>
          <w:tcPr>
            <w:tcW w:w="0" w:type="auto"/>
            <w:tcBorders>
              <w:bottom w:val="single" w:sz="2" w:space="0" w:color="808080" w:themeColor="background1" w:themeShade="80"/>
            </w:tcBorders>
            <w:vAlign w:val="top"/>
            <w:hideMark/>
          </w:tcPr>
          <w:p w14:paraId="4ABD80D6" w14:textId="77777777" w:rsidR="00CD47D0" w:rsidRDefault="00CD47D0" w:rsidP="00CD47D0">
            <w:pPr>
              <w:pStyle w:val="NormalWeb"/>
              <w:jc w:val="left"/>
            </w:pPr>
            <w:r>
              <w:t>Notifiable Conditions System (</w:t>
            </w:r>
            <w:proofErr w:type="spellStart"/>
            <w:r>
              <w:t>NoCS</w:t>
            </w:r>
            <w:proofErr w:type="spellEnd"/>
            <w:r>
              <w:t>)</w:t>
            </w:r>
          </w:p>
        </w:tc>
        <w:tc>
          <w:tcPr>
            <w:tcW w:w="0" w:type="auto"/>
            <w:tcBorders>
              <w:bottom w:val="single" w:sz="2" w:space="0" w:color="808080" w:themeColor="background1" w:themeShade="80"/>
            </w:tcBorders>
            <w:vAlign w:val="top"/>
            <w:hideMark/>
          </w:tcPr>
          <w:p w14:paraId="63047565" w14:textId="592DA71A" w:rsidR="00CD47D0" w:rsidRDefault="00CD47D0" w:rsidP="00CD47D0">
            <w:pPr>
              <w:pStyle w:val="NormalWeb"/>
              <w:jc w:val="left"/>
            </w:pPr>
            <w:r>
              <w:t xml:space="preserve">Queensland’s database to store notifiable disease case information under the </w:t>
            </w:r>
            <w:r w:rsidRPr="009502F5">
              <w:rPr>
                <w:i/>
                <w:iCs/>
              </w:rPr>
              <w:t>Public Health Act 2005</w:t>
            </w:r>
            <w:r w:rsidR="009502F5">
              <w:t xml:space="preserve"> </w:t>
            </w:r>
            <w:r w:rsidRPr="009502F5">
              <w:rPr>
                <w:vertAlign w:val="superscript"/>
              </w:rPr>
              <w:t>14</w:t>
            </w:r>
          </w:p>
        </w:tc>
        <w:tc>
          <w:tcPr>
            <w:tcW w:w="0" w:type="auto"/>
            <w:tcBorders>
              <w:bottom w:val="single" w:sz="2" w:space="0" w:color="808080" w:themeColor="background1" w:themeShade="80"/>
            </w:tcBorders>
            <w:vAlign w:val="top"/>
            <w:hideMark/>
          </w:tcPr>
          <w:p w14:paraId="3D1893DC" w14:textId="77777777" w:rsidR="00CD47D0" w:rsidRDefault="00CD47D0" w:rsidP="00CD47D0">
            <w:pPr>
              <w:pStyle w:val="NormalWeb"/>
              <w:jc w:val="left"/>
            </w:pPr>
            <w:r>
              <w:t>People notified with laboratory confirmed or clinically confirmed tuberculosis</w:t>
            </w:r>
          </w:p>
        </w:tc>
      </w:tr>
    </w:tbl>
    <w:p w14:paraId="636D5353" w14:textId="7CEFE0EB" w:rsidR="00CD47D0" w:rsidRPr="00391BE3" w:rsidRDefault="00CD47D0" w:rsidP="00391BE3">
      <w:pPr>
        <w:pStyle w:val="CDIfootnotes"/>
        <w:divId w:val="1330868351"/>
        <w:rPr>
          <w:lang w:val="en-GB"/>
        </w:rPr>
      </w:pPr>
      <w:proofErr w:type="gramStart"/>
      <w:r>
        <w:rPr>
          <w:lang w:val="en-GB"/>
        </w:rPr>
        <w:t>a</w:t>
      </w:r>
      <w:proofErr w:type="gramEnd"/>
      <w:r>
        <w:rPr>
          <w:lang w:val="en-GB"/>
        </w:rPr>
        <w:tab/>
        <w:t>IGRA: interferon gamma release assay; TST: tuberculin skin test.</w:t>
      </w:r>
    </w:p>
    <w:p w14:paraId="0D6E4287" w14:textId="77777777" w:rsidR="00051973" w:rsidRDefault="00051973" w:rsidP="00051973">
      <w:pPr>
        <w:divId w:val="1330868351"/>
      </w:pPr>
      <w:r>
        <w:t xml:space="preserve">We used TST and IGRA testing data to describe the characteristics of latent tuberculosis testing in Queensland and remaining data sources to inform estimations of annual counts were the condition to be notifiable. Data </w:t>
      </w:r>
      <w:proofErr w:type="gramStart"/>
      <w:r>
        <w:t>were supplied</w:t>
      </w:r>
      <w:proofErr w:type="gramEnd"/>
      <w:r>
        <w:t xml:space="preserve"> for the study period of 1 January 2016 – 31 December 2020. Data supplied by Pathology Queensland, the only public diagnostic laboratory service in Queensland, represent all publicly performed tests, </w:t>
      </w:r>
      <w:proofErr w:type="gramStart"/>
      <w:r>
        <w:t>whereas</w:t>
      </w:r>
      <w:proofErr w:type="gramEnd"/>
      <w:r>
        <w:t xml:space="preserve"> data supplied by the private laboratory likely represent 50% of privately performed testing in Queensland. </w:t>
      </w:r>
    </w:p>
    <w:p w14:paraId="59FAF63B" w14:textId="77777777" w:rsidR="00051973" w:rsidRPr="00051973" w:rsidRDefault="00051973" w:rsidP="00051973">
      <w:pPr>
        <w:pStyle w:val="Heading2"/>
        <w:divId w:val="1330868351"/>
      </w:pPr>
      <w:r w:rsidRPr="00051973">
        <w:t xml:space="preserve">Variables </w:t>
      </w:r>
    </w:p>
    <w:p w14:paraId="0BC51053" w14:textId="77777777" w:rsidR="00051973" w:rsidRDefault="00051973" w:rsidP="00051973">
      <w:pPr>
        <w:divId w:val="1330868351"/>
      </w:pPr>
      <w:r>
        <w:t xml:space="preserve">Data variables include unique person identifier codes; key demographic variables; test or notification date; and test result and/or interpretation. Age (years) and age group variables </w:t>
      </w:r>
      <w:proofErr w:type="gramStart"/>
      <w:r>
        <w:t>were derived</w:t>
      </w:r>
      <w:proofErr w:type="gramEnd"/>
      <w:r>
        <w:t xml:space="preserve"> from date of birth and date of test collection fields. Sex was categorised as a dichotomous variable of male or female, based on the data supplied. Geographic identifiers (of either postcode or suburb, or a combination of both when available) were aligned to an internal list of Hospital and Health Services (HHS) and were used to </w:t>
      </w:r>
      <w:proofErr w:type="gramStart"/>
      <w:r>
        <w:t>allocate</w:t>
      </w:r>
      <w:proofErr w:type="gramEnd"/>
      <w:r>
        <w:t xml:space="preserve"> individuals to an associated TBCU. </w:t>
      </w:r>
    </w:p>
    <w:p w14:paraId="2210004B" w14:textId="77777777" w:rsidR="00051973" w:rsidRDefault="00051973" w:rsidP="00051973">
      <w:pPr>
        <w:divId w:val="1330868351"/>
      </w:pPr>
      <w:r>
        <w:t xml:space="preserve">IGRA test interpretations were </w:t>
      </w:r>
      <w:proofErr w:type="gramStart"/>
      <w:r>
        <w:t>provided</w:t>
      </w:r>
      <w:proofErr w:type="gramEnd"/>
      <w:r>
        <w:t xml:space="preserve"> and categorised as positive, negative, and indeterminate. An indeterminate result </w:t>
      </w:r>
      <w:proofErr w:type="gramStart"/>
      <w:r>
        <w:t>is given</w:t>
      </w:r>
      <w:proofErr w:type="gramEnd"/>
      <w:r>
        <w:t xml:space="preserve"> when the response to the specific mycobacterial antigens cannot be interpreted. This is due to an inadequate mitogen response or when the </w:t>
      </w:r>
      <w:proofErr w:type="gramStart"/>
      <w:r>
        <w:t>nil</w:t>
      </w:r>
      <w:proofErr w:type="gramEnd"/>
      <w:r>
        <w:t xml:space="preserve"> response is high. TST results </w:t>
      </w:r>
      <w:proofErr w:type="gramStart"/>
      <w:r>
        <w:t>were provided</w:t>
      </w:r>
      <w:proofErr w:type="gramEnd"/>
      <w:r>
        <w:t xml:space="preserve"> as a measurement of induration in mm and an interpretation. The cut-off values of induration to classify TST results depend on a person’s </w:t>
      </w:r>
      <w:r>
        <w:lastRenderedPageBreak/>
        <w:t xml:space="preserve">indications for screening or associated health status, and the interpretations </w:t>
      </w:r>
      <w:proofErr w:type="gramStart"/>
      <w:r>
        <w:t>were therefore used</w:t>
      </w:r>
      <w:proofErr w:type="gramEnd"/>
      <w:r>
        <w:t xml:space="preserve"> for analysis. For public TST data, the interpretations of ‘sent for medical review’ or ‘not sent for medical review’ </w:t>
      </w:r>
      <w:proofErr w:type="gramStart"/>
      <w:r>
        <w:t>were re-classified</w:t>
      </w:r>
      <w:proofErr w:type="gramEnd"/>
      <w:r>
        <w:t xml:space="preserve"> as positive and negative to align with IGRA results. For private TST data, the outcomes of ‘weak’, ‘intermediate’, and ‘strong’ positives </w:t>
      </w:r>
      <w:proofErr w:type="gramStart"/>
      <w:r>
        <w:t>were re-classified</w:t>
      </w:r>
      <w:proofErr w:type="gramEnd"/>
      <w:r>
        <w:t xml:space="preserve"> as positive for the same purpose. TST data </w:t>
      </w:r>
      <w:proofErr w:type="gramStart"/>
      <w:r>
        <w:t>were analysed</w:t>
      </w:r>
      <w:proofErr w:type="gramEnd"/>
      <w:r>
        <w:t xml:space="preserve"> by reason for screening where available. </w:t>
      </w:r>
    </w:p>
    <w:p w14:paraId="5AE8034D" w14:textId="77777777" w:rsidR="00051973" w:rsidRDefault="00051973" w:rsidP="00051973">
      <w:pPr>
        <w:divId w:val="1330868351"/>
      </w:pPr>
      <w:r>
        <w:t xml:space="preserve">Duplicate records and records with incomplete sex, date of birth, collection date, test result, or interpretation fields </w:t>
      </w:r>
      <w:proofErr w:type="gramStart"/>
      <w:r>
        <w:t>were excluded</w:t>
      </w:r>
      <w:proofErr w:type="gramEnd"/>
      <w:r>
        <w:t xml:space="preserve">. Repeat IGRA tests for the same individual, with the same result, where these could be </w:t>
      </w:r>
      <w:proofErr w:type="gramStart"/>
      <w:r>
        <w:t>identified</w:t>
      </w:r>
      <w:proofErr w:type="gramEnd"/>
      <w:r>
        <w:t xml:space="preserve">, were excluded and only the earliest test retained. TSTs administered by the TBCU were </w:t>
      </w:r>
      <w:proofErr w:type="gramStart"/>
      <w:r>
        <w:t>provided</w:t>
      </w:r>
      <w:proofErr w:type="gramEnd"/>
      <w:r>
        <w:t xml:space="preserve"> as multiple data points for one individual. Data </w:t>
      </w:r>
      <w:proofErr w:type="gramStart"/>
      <w:r>
        <w:t>were therefore limited</w:t>
      </w:r>
      <w:proofErr w:type="gramEnd"/>
      <w:r>
        <w:t xml:space="preserve"> to the final TST read and interpretation. We could not account for duplicate testing of individuals across public and private facilities, although this would be possible were LTBI made a notifiable condition. Where available within Pathology Queensland data, people with a positive </w:t>
      </w:r>
      <w:proofErr w:type="spellStart"/>
      <w:r>
        <w:t>Mtb</w:t>
      </w:r>
      <w:proofErr w:type="spellEnd"/>
      <w:r>
        <w:t xml:space="preserve"> nucleic </w:t>
      </w:r>
      <w:proofErr w:type="gramStart"/>
      <w:r>
        <w:t>acid test</w:t>
      </w:r>
      <w:proofErr w:type="gramEnd"/>
      <w:r>
        <w:t xml:space="preserve"> result or culture isolate prior to IGRA testing, or within three months post-IGRA testing, were excluded from the analysis. We could not make the same exclusions for private laboratory or TST results as we did not have the required data to match individuals with notifiable cases of active TB. </w:t>
      </w:r>
    </w:p>
    <w:p w14:paraId="11D39ACF" w14:textId="77777777" w:rsidR="00051973" w:rsidRPr="00051973" w:rsidRDefault="00051973" w:rsidP="00051973">
      <w:pPr>
        <w:pStyle w:val="Heading2"/>
        <w:divId w:val="1330868351"/>
      </w:pPr>
      <w:r w:rsidRPr="00051973">
        <w:t xml:space="preserve">Descriptive analysis </w:t>
      </w:r>
    </w:p>
    <w:p w14:paraId="7DE6B802" w14:textId="77777777" w:rsidR="00051973" w:rsidRDefault="00051973" w:rsidP="00051973">
      <w:pPr>
        <w:divId w:val="1330868351"/>
      </w:pPr>
      <w:r>
        <w:t xml:space="preserve">We calculated descriptive statistics for all TST and IGRA results. Counts, proportion by sex, proportion by result, and median age </w:t>
      </w:r>
      <w:proofErr w:type="gramStart"/>
      <w:r>
        <w:t>were calculated</w:t>
      </w:r>
      <w:proofErr w:type="gramEnd"/>
      <w:r>
        <w:t xml:space="preserve">. Age and sex distribution of positive results </w:t>
      </w:r>
      <w:proofErr w:type="gramStart"/>
      <w:r>
        <w:t>were calculated</w:t>
      </w:r>
      <w:proofErr w:type="gramEnd"/>
      <w:r>
        <w:t xml:space="preserve"> and visualised. Where available, results were further analysed by </w:t>
      </w:r>
      <w:proofErr w:type="gramStart"/>
      <w:r>
        <w:t>indication</w:t>
      </w:r>
      <w:proofErr w:type="gramEnd"/>
      <w:r>
        <w:t xml:space="preserve"> for screening. </w:t>
      </w:r>
    </w:p>
    <w:p w14:paraId="172E2981" w14:textId="77777777" w:rsidR="00051973" w:rsidRPr="00051973" w:rsidRDefault="00051973" w:rsidP="00051973">
      <w:pPr>
        <w:pStyle w:val="Heading2"/>
        <w:divId w:val="1330868351"/>
      </w:pPr>
      <w:r w:rsidRPr="00051973">
        <w:t xml:space="preserve">State-wide annual estimates </w:t>
      </w:r>
    </w:p>
    <w:p w14:paraId="60FAE83E" w14:textId="1149D7F2" w:rsidR="00051973" w:rsidRDefault="00051973" w:rsidP="00051973">
      <w:pPr>
        <w:divId w:val="1330868351"/>
      </w:pPr>
      <w:r>
        <w:t>We used multiple methods to estimate annual possible LTBI notifications in Queensland (Table 2). Upper range estimates included all positive and indeterminate IGRA or TST results. Lower range estimates excluded indeterminate IGRAs and those used for screening children under five years of age as test sensitivity and specificity is unknown in this age group.</w:t>
      </w:r>
      <w:r>
        <w:rPr>
          <w:vertAlign w:val="superscript"/>
        </w:rPr>
        <w:t>15</w:t>
      </w:r>
      <w:r>
        <w:t xml:space="preserve"> The proportion of Pathology Queensland results that </w:t>
      </w:r>
      <w:proofErr w:type="gramStart"/>
      <w:r>
        <w:t>were excluded</w:t>
      </w:r>
      <w:proofErr w:type="gramEnd"/>
      <w:r>
        <w:t xml:space="preserve"> as TB disease was applied to the private laboratory IGRA lower estimate. </w:t>
      </w:r>
    </w:p>
    <w:p w14:paraId="196101A6" w14:textId="77777777" w:rsidR="00E84370" w:rsidRDefault="00E84370">
      <w:pPr>
        <w:rPr>
          <w:rStyle w:val="Strong"/>
          <w:bCs w:val="0"/>
        </w:rPr>
      </w:pPr>
      <w:r>
        <w:rPr>
          <w:rStyle w:val="Strong"/>
          <w:b w:val="0"/>
          <w:bCs w:val="0"/>
        </w:rPr>
        <w:br w:type="page"/>
      </w:r>
    </w:p>
    <w:p w14:paraId="4374B346" w14:textId="6ECBBEBB" w:rsidR="000325F0" w:rsidRPr="00AF4B03" w:rsidRDefault="000325F0" w:rsidP="000325F0">
      <w:pPr>
        <w:pStyle w:val="CDIFigures"/>
        <w:divId w:val="1330868351"/>
      </w:pPr>
      <w:r w:rsidRPr="00AF4B03">
        <w:rPr>
          <w:rStyle w:val="Strong"/>
          <w:b/>
          <w:bCs w:val="0"/>
        </w:rPr>
        <w:lastRenderedPageBreak/>
        <w:t xml:space="preserve">Table 2: Overview of calculations made to derive state-wide </w:t>
      </w:r>
      <w:proofErr w:type="gramStart"/>
      <w:r w:rsidRPr="00AF4B03">
        <w:rPr>
          <w:rStyle w:val="Strong"/>
          <w:b/>
          <w:bCs w:val="0"/>
        </w:rPr>
        <w:t>estimates</w:t>
      </w:r>
      <w:proofErr w:type="gramEnd"/>
      <w:r w:rsidRPr="00AF4B03">
        <w:rPr>
          <w:rStyle w:val="Strong"/>
          <w:b/>
          <w:bCs w:val="0"/>
        </w:rPr>
        <w:t xml:space="preserve"> </w:t>
      </w:r>
    </w:p>
    <w:tbl>
      <w:tblPr>
        <w:tblStyle w:val="CDI-StandardTable"/>
        <w:tblW w:w="0" w:type="auto"/>
        <w:tblLook w:val="04A0" w:firstRow="1" w:lastRow="0" w:firstColumn="1" w:lastColumn="0" w:noHBand="0" w:noVBand="1"/>
        <w:tblDescription w:val="Table 2 provides an overview of the methods by which upper and lower state-wide estimates are determined for each of public and private TST and IGRA testing processes.&#10;"/>
      </w:tblPr>
      <w:tblGrid>
        <w:gridCol w:w="1104"/>
        <w:gridCol w:w="769"/>
        <w:gridCol w:w="8567"/>
      </w:tblGrid>
      <w:tr w:rsidR="000325F0" w:rsidRPr="005E77B9" w14:paraId="3CAEA503" w14:textId="77777777" w:rsidTr="000325F0">
        <w:trPr>
          <w:cnfStyle w:val="100000000000" w:firstRow="1" w:lastRow="0" w:firstColumn="0" w:lastColumn="0" w:oddVBand="0" w:evenVBand="0" w:oddHBand="0" w:evenHBand="0" w:firstRowFirstColumn="0" w:firstRowLastColumn="0" w:lastRowFirstColumn="0" w:lastRowLastColumn="0"/>
          <w:divId w:val="1330868351"/>
          <w:tblHeader/>
        </w:trPr>
        <w:tc>
          <w:tcPr>
            <w:tcW w:w="0" w:type="auto"/>
            <w:tcBorders>
              <w:bottom w:val="single" w:sz="2" w:space="0" w:color="808080" w:themeColor="background1" w:themeShade="80"/>
            </w:tcBorders>
            <w:vAlign w:val="top"/>
            <w:hideMark/>
          </w:tcPr>
          <w:p w14:paraId="6F0E4A56" w14:textId="77777777" w:rsidR="000325F0" w:rsidRPr="005E77B9" w:rsidRDefault="000325F0" w:rsidP="000325F0">
            <w:pPr>
              <w:pStyle w:val="NormalWeb"/>
              <w:jc w:val="left"/>
              <w:rPr>
                <w:sz w:val="18"/>
                <w:szCs w:val="18"/>
              </w:rPr>
            </w:pPr>
            <w:r w:rsidRPr="005E77B9">
              <w:rPr>
                <w:sz w:val="18"/>
                <w:szCs w:val="18"/>
              </w:rPr>
              <w:t xml:space="preserve">Data source </w:t>
            </w:r>
            <w:r w:rsidRPr="005E77B9">
              <w:rPr>
                <w:sz w:val="18"/>
                <w:szCs w:val="18"/>
                <w:vertAlign w:val="superscript"/>
              </w:rPr>
              <w:t>a</w:t>
            </w:r>
          </w:p>
        </w:tc>
        <w:tc>
          <w:tcPr>
            <w:tcW w:w="0" w:type="auto"/>
            <w:tcBorders>
              <w:bottom w:val="single" w:sz="2" w:space="0" w:color="808080" w:themeColor="background1" w:themeShade="80"/>
            </w:tcBorders>
            <w:vAlign w:val="top"/>
            <w:hideMark/>
          </w:tcPr>
          <w:p w14:paraId="1246B124" w14:textId="77777777" w:rsidR="000325F0" w:rsidRPr="005E77B9" w:rsidRDefault="000325F0" w:rsidP="000325F0">
            <w:pPr>
              <w:pStyle w:val="NormalWeb"/>
              <w:jc w:val="left"/>
              <w:rPr>
                <w:sz w:val="18"/>
                <w:szCs w:val="18"/>
              </w:rPr>
            </w:pPr>
            <w:r w:rsidRPr="005E77B9">
              <w:rPr>
                <w:sz w:val="18"/>
                <w:szCs w:val="18"/>
              </w:rPr>
              <w:t>Estimate</w:t>
            </w:r>
          </w:p>
        </w:tc>
        <w:tc>
          <w:tcPr>
            <w:tcW w:w="8567" w:type="dxa"/>
            <w:tcBorders>
              <w:bottom w:val="single" w:sz="2" w:space="0" w:color="808080" w:themeColor="background1" w:themeShade="80"/>
            </w:tcBorders>
            <w:vAlign w:val="top"/>
            <w:hideMark/>
          </w:tcPr>
          <w:p w14:paraId="3D067B22" w14:textId="77777777" w:rsidR="000325F0" w:rsidRPr="005E77B9" w:rsidRDefault="000325F0" w:rsidP="000325F0">
            <w:pPr>
              <w:pStyle w:val="NormalWeb"/>
              <w:jc w:val="left"/>
              <w:rPr>
                <w:sz w:val="18"/>
                <w:szCs w:val="18"/>
              </w:rPr>
            </w:pPr>
            <w:r w:rsidRPr="005E77B9">
              <w:rPr>
                <w:sz w:val="18"/>
                <w:szCs w:val="18"/>
              </w:rPr>
              <w:t xml:space="preserve">Summary of calculations made to reach estimates </w:t>
            </w:r>
            <w:r w:rsidRPr="005E77B9">
              <w:rPr>
                <w:sz w:val="18"/>
                <w:szCs w:val="18"/>
                <w:vertAlign w:val="superscript"/>
              </w:rPr>
              <w:t>a</w:t>
            </w:r>
          </w:p>
        </w:tc>
      </w:tr>
      <w:tr w:rsidR="000325F0" w:rsidRPr="005E77B9" w14:paraId="36147F99" w14:textId="77777777" w:rsidTr="000325F0">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FD3FE1" w14:textId="77777777" w:rsidR="000325F0" w:rsidRPr="005E77B9" w:rsidRDefault="000325F0" w:rsidP="000325F0">
            <w:pPr>
              <w:pStyle w:val="NormalWeb"/>
              <w:jc w:val="left"/>
              <w:rPr>
                <w:sz w:val="18"/>
                <w:szCs w:val="18"/>
              </w:rPr>
            </w:pPr>
            <w:r w:rsidRPr="005E77B9">
              <w:rPr>
                <w:sz w:val="18"/>
                <w:szCs w:val="18"/>
              </w:rPr>
              <w:t>Public TST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88861C6" w14:textId="77777777" w:rsidR="000325F0" w:rsidRPr="005E77B9" w:rsidRDefault="000325F0" w:rsidP="000325F0">
            <w:pPr>
              <w:pStyle w:val="NormalWeb"/>
              <w:jc w:val="left"/>
              <w:rPr>
                <w:sz w:val="18"/>
                <w:szCs w:val="18"/>
              </w:rPr>
            </w:pPr>
            <w:r w:rsidRPr="005E77B9">
              <w:rPr>
                <w:sz w:val="18"/>
                <w:szCs w:val="18"/>
              </w:rPr>
              <w:t>Upper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1BA3E6" w14:textId="77777777" w:rsidR="000325F0" w:rsidRPr="005E77B9" w:rsidRDefault="000325F0" w:rsidP="000325F0">
            <w:pPr>
              <w:pStyle w:val="NormalWeb"/>
              <w:jc w:val="left"/>
              <w:rPr>
                <w:sz w:val="18"/>
                <w:szCs w:val="18"/>
              </w:rPr>
            </w:pPr>
            <w:r w:rsidRPr="005E77B9">
              <w:rPr>
                <w:sz w:val="18"/>
                <w:szCs w:val="18"/>
              </w:rPr>
              <w:t xml:space="preserve">Average annual TSTs sent for medical review by participating </w:t>
            </w:r>
            <w:proofErr w:type="gramStart"/>
            <w:r w:rsidRPr="005E77B9">
              <w:rPr>
                <w:sz w:val="18"/>
                <w:szCs w:val="18"/>
              </w:rPr>
              <w:t>TBCU</w:t>
            </w:r>
            <w:proofErr w:type="gramEnd"/>
          </w:p>
          <w:p w14:paraId="166B8686" w14:textId="77777777" w:rsidR="000325F0" w:rsidRPr="005E77B9" w:rsidRDefault="000325F0" w:rsidP="000325F0">
            <w:pPr>
              <w:pStyle w:val="NormalWeb"/>
              <w:jc w:val="left"/>
              <w:rPr>
                <w:sz w:val="18"/>
                <w:szCs w:val="18"/>
              </w:rPr>
            </w:pPr>
            <w:r w:rsidRPr="005E77B9">
              <w:rPr>
                <w:sz w:val="18"/>
                <w:szCs w:val="18"/>
              </w:rPr>
              <w:t>Applied proportion of positive/indeterminate IGRA results (4% = x25)</w:t>
            </w:r>
          </w:p>
        </w:tc>
      </w:tr>
      <w:tr w:rsidR="000325F0" w:rsidRPr="005E77B9" w14:paraId="0E97A640" w14:textId="77777777" w:rsidTr="000325F0">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B6FDDE8" w14:textId="77777777" w:rsidR="000325F0" w:rsidRPr="005E77B9" w:rsidRDefault="000325F0" w:rsidP="000325F0">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DA0F882" w14:textId="77777777" w:rsidR="000325F0" w:rsidRPr="005E77B9" w:rsidRDefault="000325F0" w:rsidP="000325F0">
            <w:pPr>
              <w:pStyle w:val="NormalWeb"/>
              <w:jc w:val="left"/>
              <w:rPr>
                <w:sz w:val="18"/>
                <w:szCs w:val="18"/>
              </w:rPr>
            </w:pPr>
            <w:r w:rsidRPr="005E77B9">
              <w:rPr>
                <w:sz w:val="18"/>
                <w:szCs w:val="18"/>
              </w:rPr>
              <w:t>Lower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6A43EE" w14:textId="77777777" w:rsidR="000325F0" w:rsidRPr="005E77B9" w:rsidRDefault="000325F0" w:rsidP="000325F0">
            <w:pPr>
              <w:pStyle w:val="NormalWeb"/>
              <w:jc w:val="left"/>
              <w:rPr>
                <w:sz w:val="18"/>
                <w:szCs w:val="18"/>
              </w:rPr>
            </w:pPr>
            <w:r w:rsidRPr="005E77B9">
              <w:rPr>
                <w:sz w:val="18"/>
                <w:szCs w:val="18"/>
              </w:rPr>
              <w:t xml:space="preserve">Average annual TSTs sent for medical review by participating </w:t>
            </w:r>
            <w:proofErr w:type="gramStart"/>
            <w:r w:rsidRPr="005E77B9">
              <w:rPr>
                <w:sz w:val="18"/>
                <w:szCs w:val="18"/>
              </w:rPr>
              <w:t>TBCU</w:t>
            </w:r>
            <w:proofErr w:type="gramEnd"/>
          </w:p>
          <w:p w14:paraId="5EBCDDD9" w14:textId="77777777" w:rsidR="000325F0" w:rsidRPr="005E77B9" w:rsidRDefault="000325F0" w:rsidP="000325F0">
            <w:pPr>
              <w:pStyle w:val="NormalWeb"/>
              <w:jc w:val="left"/>
              <w:rPr>
                <w:sz w:val="18"/>
                <w:szCs w:val="18"/>
              </w:rPr>
            </w:pPr>
            <w:r w:rsidRPr="005E77B9">
              <w:rPr>
                <w:sz w:val="18"/>
                <w:szCs w:val="18"/>
              </w:rPr>
              <w:t>Applied proportion of tuberculosis notifications (11% = x9.09)</w:t>
            </w:r>
          </w:p>
        </w:tc>
      </w:tr>
      <w:tr w:rsidR="000325F0" w:rsidRPr="005E77B9" w14:paraId="5EC25BCC" w14:textId="77777777" w:rsidTr="000325F0">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AD1A59C" w14:textId="77777777" w:rsidR="000325F0" w:rsidRPr="005E77B9" w:rsidRDefault="000325F0" w:rsidP="000325F0">
            <w:pPr>
              <w:pStyle w:val="NormalWeb"/>
              <w:jc w:val="left"/>
              <w:rPr>
                <w:sz w:val="18"/>
                <w:szCs w:val="18"/>
              </w:rPr>
            </w:pPr>
            <w:r w:rsidRPr="005E77B9">
              <w:rPr>
                <w:sz w:val="18"/>
                <w:szCs w:val="18"/>
              </w:rPr>
              <w:t>Private TST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7CB5300" w14:textId="77777777" w:rsidR="000325F0" w:rsidRPr="005E77B9" w:rsidRDefault="000325F0" w:rsidP="000325F0">
            <w:pPr>
              <w:pStyle w:val="NormalWeb"/>
              <w:jc w:val="left"/>
              <w:rPr>
                <w:sz w:val="18"/>
                <w:szCs w:val="18"/>
              </w:rPr>
            </w:pPr>
            <w:r w:rsidRPr="005E77B9">
              <w:rPr>
                <w:sz w:val="18"/>
                <w:szCs w:val="18"/>
              </w:rPr>
              <w:t>Upper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E3BEE42" w14:textId="77777777" w:rsidR="000325F0" w:rsidRPr="005E77B9" w:rsidRDefault="000325F0" w:rsidP="000325F0">
            <w:pPr>
              <w:pStyle w:val="NormalWeb"/>
              <w:jc w:val="left"/>
              <w:rPr>
                <w:sz w:val="18"/>
                <w:szCs w:val="18"/>
              </w:rPr>
            </w:pPr>
            <w:r w:rsidRPr="005E77B9">
              <w:rPr>
                <w:sz w:val="18"/>
                <w:szCs w:val="18"/>
              </w:rPr>
              <w:t xml:space="preserve">Average annual TSTs sent for medical review by participating </w:t>
            </w:r>
            <w:proofErr w:type="gramStart"/>
            <w:r w:rsidRPr="005E77B9">
              <w:rPr>
                <w:sz w:val="18"/>
                <w:szCs w:val="18"/>
              </w:rPr>
              <w:t>laboratory</w:t>
            </w:r>
            <w:proofErr w:type="gramEnd"/>
          </w:p>
          <w:p w14:paraId="7C3029D9" w14:textId="77777777" w:rsidR="000325F0" w:rsidRPr="005E77B9" w:rsidRDefault="000325F0" w:rsidP="000325F0">
            <w:pPr>
              <w:pStyle w:val="NormalWeb"/>
              <w:jc w:val="left"/>
              <w:rPr>
                <w:sz w:val="18"/>
                <w:szCs w:val="18"/>
              </w:rPr>
            </w:pPr>
            <w:r w:rsidRPr="005E77B9">
              <w:rPr>
                <w:sz w:val="18"/>
                <w:szCs w:val="18"/>
              </w:rPr>
              <w:t>Applied likely representation of state-wide private laboratory data (50% = x</w:t>
            </w:r>
            <w:proofErr w:type="gramStart"/>
            <w:r w:rsidRPr="005E77B9">
              <w:rPr>
                <w:sz w:val="18"/>
                <w:szCs w:val="18"/>
              </w:rPr>
              <w:t>2)</w:t>
            </w:r>
            <w:r w:rsidRPr="009502F5">
              <w:rPr>
                <w:sz w:val="18"/>
                <w:szCs w:val="18"/>
                <w:vertAlign w:val="superscript"/>
              </w:rPr>
              <w:t>b</w:t>
            </w:r>
            <w:proofErr w:type="gramEnd"/>
          </w:p>
        </w:tc>
      </w:tr>
      <w:tr w:rsidR="000325F0" w:rsidRPr="005E77B9" w14:paraId="6B42F723" w14:textId="77777777" w:rsidTr="000325F0">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1488596" w14:textId="77777777" w:rsidR="000325F0" w:rsidRPr="005E77B9" w:rsidRDefault="000325F0" w:rsidP="000325F0">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639BB96" w14:textId="77777777" w:rsidR="000325F0" w:rsidRPr="005E77B9" w:rsidRDefault="000325F0" w:rsidP="000325F0">
            <w:pPr>
              <w:pStyle w:val="NormalWeb"/>
              <w:jc w:val="left"/>
              <w:rPr>
                <w:sz w:val="18"/>
                <w:szCs w:val="18"/>
              </w:rPr>
            </w:pPr>
            <w:r w:rsidRPr="005E77B9">
              <w:rPr>
                <w:sz w:val="18"/>
                <w:szCs w:val="18"/>
              </w:rPr>
              <w:t>Lower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FDE3924" w14:textId="77777777" w:rsidR="000325F0" w:rsidRPr="005E77B9" w:rsidRDefault="000325F0" w:rsidP="000325F0">
            <w:pPr>
              <w:pStyle w:val="NormalWeb"/>
              <w:jc w:val="left"/>
              <w:rPr>
                <w:sz w:val="18"/>
                <w:szCs w:val="18"/>
              </w:rPr>
            </w:pPr>
            <w:r w:rsidRPr="005E77B9">
              <w:rPr>
                <w:sz w:val="18"/>
                <w:szCs w:val="18"/>
              </w:rPr>
              <w:t xml:space="preserve">Average annual TSTs sent for medical review by </w:t>
            </w:r>
            <w:proofErr w:type="gramStart"/>
            <w:r w:rsidRPr="005E77B9">
              <w:rPr>
                <w:sz w:val="18"/>
                <w:szCs w:val="18"/>
              </w:rPr>
              <w:t>participating</w:t>
            </w:r>
            <w:proofErr w:type="gramEnd"/>
            <w:r w:rsidRPr="005E77B9">
              <w:rPr>
                <w:sz w:val="18"/>
                <w:szCs w:val="18"/>
              </w:rPr>
              <w:t xml:space="preserve"> laboratory</w:t>
            </w:r>
          </w:p>
        </w:tc>
      </w:tr>
      <w:tr w:rsidR="000325F0" w:rsidRPr="005E77B9" w14:paraId="284BAC51" w14:textId="77777777" w:rsidTr="000325F0">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30FEA7C" w14:textId="77777777" w:rsidR="000325F0" w:rsidRPr="005E77B9" w:rsidRDefault="000325F0" w:rsidP="000325F0">
            <w:pPr>
              <w:pStyle w:val="NormalWeb"/>
              <w:jc w:val="left"/>
              <w:rPr>
                <w:sz w:val="18"/>
                <w:szCs w:val="18"/>
              </w:rPr>
            </w:pPr>
            <w:r w:rsidRPr="005E77B9">
              <w:rPr>
                <w:sz w:val="18"/>
                <w:szCs w:val="18"/>
              </w:rPr>
              <w:t>Public IGRA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4A358C3" w14:textId="77777777" w:rsidR="000325F0" w:rsidRPr="005E77B9" w:rsidRDefault="000325F0" w:rsidP="000325F0">
            <w:pPr>
              <w:pStyle w:val="NormalWeb"/>
              <w:jc w:val="left"/>
              <w:rPr>
                <w:sz w:val="18"/>
                <w:szCs w:val="18"/>
              </w:rPr>
            </w:pPr>
            <w:r w:rsidRPr="005E77B9">
              <w:rPr>
                <w:sz w:val="18"/>
                <w:szCs w:val="18"/>
              </w:rPr>
              <w:t>Upper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990EFC8" w14:textId="77777777" w:rsidR="000325F0" w:rsidRPr="005E77B9" w:rsidRDefault="000325F0" w:rsidP="000325F0">
            <w:pPr>
              <w:pStyle w:val="NormalWeb"/>
              <w:jc w:val="left"/>
              <w:rPr>
                <w:sz w:val="18"/>
                <w:szCs w:val="18"/>
              </w:rPr>
            </w:pPr>
            <w:r w:rsidRPr="005E77B9">
              <w:rPr>
                <w:sz w:val="18"/>
                <w:szCs w:val="18"/>
              </w:rPr>
              <w:t>Average annual Pathology Queensland positive and indeterminate results</w:t>
            </w:r>
          </w:p>
        </w:tc>
      </w:tr>
      <w:tr w:rsidR="000325F0" w:rsidRPr="005E77B9" w14:paraId="309C17F0" w14:textId="77777777" w:rsidTr="000325F0">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1E5F09" w14:textId="77777777" w:rsidR="000325F0" w:rsidRPr="005E77B9" w:rsidRDefault="000325F0" w:rsidP="000325F0">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A30E4A3" w14:textId="77777777" w:rsidR="000325F0" w:rsidRPr="005E77B9" w:rsidRDefault="000325F0" w:rsidP="000325F0">
            <w:pPr>
              <w:pStyle w:val="NormalWeb"/>
              <w:jc w:val="left"/>
              <w:rPr>
                <w:sz w:val="18"/>
                <w:szCs w:val="18"/>
              </w:rPr>
            </w:pPr>
            <w:r w:rsidRPr="005E77B9">
              <w:rPr>
                <w:sz w:val="18"/>
                <w:szCs w:val="18"/>
              </w:rPr>
              <w:t>Lower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0C03188" w14:textId="77777777" w:rsidR="000325F0" w:rsidRPr="005E77B9" w:rsidRDefault="000325F0" w:rsidP="000325F0">
            <w:pPr>
              <w:pStyle w:val="NormalWeb"/>
              <w:jc w:val="left"/>
              <w:rPr>
                <w:sz w:val="18"/>
                <w:szCs w:val="18"/>
              </w:rPr>
            </w:pPr>
            <w:r w:rsidRPr="005E77B9">
              <w:rPr>
                <w:sz w:val="18"/>
                <w:szCs w:val="18"/>
              </w:rPr>
              <w:t>Average annual Pathology Queensland positive results only (excluded indeterminate)</w:t>
            </w:r>
          </w:p>
          <w:p w14:paraId="28391309" w14:textId="77777777" w:rsidR="000325F0" w:rsidRPr="005E77B9" w:rsidRDefault="000325F0" w:rsidP="000325F0">
            <w:pPr>
              <w:pStyle w:val="NormalWeb"/>
              <w:jc w:val="left"/>
              <w:rPr>
                <w:sz w:val="18"/>
                <w:szCs w:val="18"/>
              </w:rPr>
            </w:pPr>
            <w:r w:rsidRPr="005E77B9">
              <w:rPr>
                <w:sz w:val="18"/>
                <w:szCs w:val="18"/>
              </w:rPr>
              <w:t>Excluded children &lt; 5 years of age</w:t>
            </w:r>
          </w:p>
        </w:tc>
      </w:tr>
      <w:tr w:rsidR="000325F0" w:rsidRPr="005E77B9" w14:paraId="287F1CA4" w14:textId="77777777" w:rsidTr="000325F0">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4F1997" w14:textId="77777777" w:rsidR="000325F0" w:rsidRPr="005E77B9" w:rsidRDefault="000325F0" w:rsidP="000325F0">
            <w:pPr>
              <w:pStyle w:val="NormalWeb"/>
              <w:jc w:val="left"/>
              <w:rPr>
                <w:sz w:val="18"/>
                <w:szCs w:val="18"/>
              </w:rPr>
            </w:pPr>
            <w:r w:rsidRPr="005E77B9">
              <w:rPr>
                <w:sz w:val="18"/>
                <w:szCs w:val="18"/>
              </w:rPr>
              <w:t>Private IGRA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95BA07" w14:textId="77777777" w:rsidR="000325F0" w:rsidRPr="005E77B9" w:rsidRDefault="000325F0" w:rsidP="000325F0">
            <w:pPr>
              <w:pStyle w:val="NormalWeb"/>
              <w:jc w:val="left"/>
              <w:rPr>
                <w:sz w:val="18"/>
                <w:szCs w:val="18"/>
              </w:rPr>
            </w:pPr>
            <w:r w:rsidRPr="005E77B9">
              <w:rPr>
                <w:sz w:val="18"/>
                <w:szCs w:val="18"/>
              </w:rPr>
              <w:t>Upper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30E8845" w14:textId="77777777" w:rsidR="000325F0" w:rsidRPr="005E77B9" w:rsidRDefault="000325F0" w:rsidP="000325F0">
            <w:pPr>
              <w:pStyle w:val="NormalWeb"/>
              <w:jc w:val="left"/>
              <w:rPr>
                <w:sz w:val="18"/>
                <w:szCs w:val="18"/>
              </w:rPr>
            </w:pPr>
            <w:r w:rsidRPr="005E77B9">
              <w:rPr>
                <w:sz w:val="18"/>
                <w:szCs w:val="18"/>
              </w:rPr>
              <w:t>Average annual positive and indeterminate results</w:t>
            </w:r>
          </w:p>
          <w:p w14:paraId="4F8E7DDB" w14:textId="77777777" w:rsidR="000325F0" w:rsidRPr="005E77B9" w:rsidRDefault="000325F0" w:rsidP="000325F0">
            <w:pPr>
              <w:pStyle w:val="NormalWeb"/>
              <w:jc w:val="left"/>
              <w:rPr>
                <w:sz w:val="18"/>
                <w:szCs w:val="18"/>
              </w:rPr>
            </w:pPr>
            <w:r w:rsidRPr="005E77B9">
              <w:rPr>
                <w:sz w:val="18"/>
                <w:szCs w:val="18"/>
              </w:rPr>
              <w:t>Applied likely representation of state-wide private laboratory data (50% = x</w:t>
            </w:r>
            <w:proofErr w:type="gramStart"/>
            <w:r w:rsidRPr="005E77B9">
              <w:rPr>
                <w:sz w:val="18"/>
                <w:szCs w:val="18"/>
              </w:rPr>
              <w:t>2)</w:t>
            </w:r>
            <w:r w:rsidRPr="009502F5">
              <w:rPr>
                <w:sz w:val="18"/>
                <w:szCs w:val="18"/>
                <w:vertAlign w:val="superscript"/>
              </w:rPr>
              <w:t>b</w:t>
            </w:r>
            <w:proofErr w:type="gramEnd"/>
          </w:p>
        </w:tc>
      </w:tr>
      <w:tr w:rsidR="000325F0" w:rsidRPr="005E77B9" w14:paraId="24BA5725" w14:textId="77777777" w:rsidTr="000325F0">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F7A9081" w14:textId="77777777" w:rsidR="000325F0" w:rsidRPr="005E77B9" w:rsidRDefault="000325F0" w:rsidP="000325F0">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065EF0" w14:textId="77777777" w:rsidR="000325F0" w:rsidRPr="005E77B9" w:rsidRDefault="000325F0" w:rsidP="000325F0">
            <w:pPr>
              <w:pStyle w:val="NormalWeb"/>
              <w:jc w:val="left"/>
              <w:rPr>
                <w:sz w:val="18"/>
                <w:szCs w:val="18"/>
              </w:rPr>
            </w:pPr>
            <w:r w:rsidRPr="005E77B9">
              <w:rPr>
                <w:sz w:val="18"/>
                <w:szCs w:val="18"/>
              </w:rPr>
              <w:t>Lower</w:t>
            </w:r>
          </w:p>
        </w:tc>
        <w:tc>
          <w:tcPr>
            <w:tcW w:w="8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B74C7E5" w14:textId="77777777" w:rsidR="000325F0" w:rsidRPr="005E77B9" w:rsidRDefault="000325F0" w:rsidP="000325F0">
            <w:pPr>
              <w:pStyle w:val="NormalWeb"/>
              <w:jc w:val="left"/>
              <w:rPr>
                <w:sz w:val="18"/>
                <w:szCs w:val="18"/>
              </w:rPr>
            </w:pPr>
            <w:r w:rsidRPr="005E77B9">
              <w:rPr>
                <w:sz w:val="18"/>
                <w:szCs w:val="18"/>
              </w:rPr>
              <w:t>Average annual positive results only (excluded indeterminate)</w:t>
            </w:r>
          </w:p>
          <w:p w14:paraId="7A258A8F" w14:textId="77777777" w:rsidR="000325F0" w:rsidRPr="005E77B9" w:rsidRDefault="000325F0" w:rsidP="000325F0">
            <w:pPr>
              <w:pStyle w:val="NormalWeb"/>
              <w:jc w:val="left"/>
              <w:rPr>
                <w:sz w:val="18"/>
                <w:szCs w:val="18"/>
              </w:rPr>
            </w:pPr>
            <w:r w:rsidRPr="005E77B9">
              <w:rPr>
                <w:sz w:val="18"/>
                <w:szCs w:val="18"/>
              </w:rPr>
              <w:t xml:space="preserve">Applied 0.4% results representing </w:t>
            </w:r>
            <w:proofErr w:type="spellStart"/>
            <w:r w:rsidRPr="005E77B9">
              <w:rPr>
                <w:sz w:val="18"/>
                <w:szCs w:val="18"/>
              </w:rPr>
              <w:t>Mtb</w:t>
            </w:r>
            <w:proofErr w:type="spellEnd"/>
            <w:r w:rsidRPr="005E77B9">
              <w:rPr>
                <w:sz w:val="18"/>
                <w:szCs w:val="18"/>
              </w:rPr>
              <w:t xml:space="preserve"> as per Pathology Queensland data (x0.996)</w:t>
            </w:r>
          </w:p>
          <w:p w14:paraId="0D417F39" w14:textId="77777777" w:rsidR="000325F0" w:rsidRPr="005E77B9" w:rsidRDefault="000325F0" w:rsidP="000325F0">
            <w:pPr>
              <w:pStyle w:val="NormalWeb"/>
              <w:jc w:val="left"/>
              <w:rPr>
                <w:sz w:val="18"/>
                <w:szCs w:val="18"/>
              </w:rPr>
            </w:pPr>
            <w:r w:rsidRPr="005E77B9">
              <w:rPr>
                <w:sz w:val="18"/>
                <w:szCs w:val="18"/>
              </w:rPr>
              <w:t>Excluded children &lt; 5 years of age</w:t>
            </w:r>
          </w:p>
        </w:tc>
      </w:tr>
    </w:tbl>
    <w:p w14:paraId="1BADEB14" w14:textId="77777777" w:rsidR="000325F0" w:rsidRDefault="000325F0" w:rsidP="000325F0">
      <w:pPr>
        <w:pStyle w:val="CDIfootnotes"/>
        <w:divId w:val="1330868351"/>
        <w:rPr>
          <w:lang w:val="en-GB"/>
        </w:rPr>
      </w:pPr>
      <w:r>
        <w:rPr>
          <w:lang w:val="en-GB"/>
        </w:rPr>
        <w:t>a</w:t>
      </w:r>
      <w:r>
        <w:rPr>
          <w:lang w:val="en-GB"/>
        </w:rPr>
        <w:tab/>
        <w:t xml:space="preserve">TST: tuberculin skin test; TBCU: tuberculosis control unit; IGRA: interferon gamma release assay; </w:t>
      </w:r>
      <w:proofErr w:type="spellStart"/>
      <w:r>
        <w:rPr>
          <w:lang w:val="en-GB"/>
        </w:rPr>
        <w:t>Mtb</w:t>
      </w:r>
      <w:proofErr w:type="spellEnd"/>
      <w:r>
        <w:rPr>
          <w:lang w:val="en-GB"/>
        </w:rPr>
        <w:t xml:space="preserve">: </w:t>
      </w:r>
      <w:r w:rsidRPr="009502F5">
        <w:rPr>
          <w:i/>
          <w:iCs/>
          <w:lang w:val="en-GB"/>
        </w:rPr>
        <w:t>Mycobacterium tuberculosis</w:t>
      </w:r>
      <w:r>
        <w:rPr>
          <w:lang w:val="en-GB"/>
        </w:rPr>
        <w:t>.</w:t>
      </w:r>
    </w:p>
    <w:p w14:paraId="58EE27AB" w14:textId="199492A1" w:rsidR="000325F0" w:rsidRPr="00391BE3" w:rsidRDefault="000325F0" w:rsidP="00391BE3">
      <w:pPr>
        <w:pStyle w:val="CDIfootnotes"/>
        <w:divId w:val="1330868351"/>
        <w:rPr>
          <w:lang w:val="en-GB"/>
        </w:rPr>
      </w:pPr>
      <w:r>
        <w:rPr>
          <w:lang w:val="en-GB"/>
        </w:rPr>
        <w:t>b</w:t>
      </w:r>
      <w:r>
        <w:rPr>
          <w:lang w:val="en-GB"/>
        </w:rPr>
        <w:tab/>
      </w:r>
      <w:proofErr w:type="gramStart"/>
      <w:r>
        <w:rPr>
          <w:lang w:val="en-GB"/>
        </w:rPr>
        <w:t>The</w:t>
      </w:r>
      <w:proofErr w:type="gramEnd"/>
      <w:r>
        <w:rPr>
          <w:lang w:val="en-GB"/>
        </w:rPr>
        <w:t xml:space="preserve"> estimate that our data likely represent 50% of private pathology tests in Queensland is due to the context of private laboratory testing in Queensland. Two main laboratory services provide testing for LTBI. The limitations of this approach are acknowledged in the Discussion.</w:t>
      </w:r>
    </w:p>
    <w:p w14:paraId="14AC7D13" w14:textId="77777777" w:rsidR="00051973" w:rsidRDefault="00051973" w:rsidP="00051973">
      <w:pPr>
        <w:divId w:val="1330868351"/>
      </w:pPr>
      <w:r>
        <w:t xml:space="preserve">We compared the number of tests in our private laboratory data with those </w:t>
      </w:r>
      <w:proofErr w:type="gramStart"/>
      <w:r>
        <w:t>identified</w:t>
      </w:r>
      <w:proofErr w:type="gramEnd"/>
      <w:r>
        <w:t xml:space="preserve"> through Medicare reporting. To estimate the proportion of state-wide tests represented by the private laboratory, we applied </w:t>
      </w:r>
      <w:proofErr w:type="gramStart"/>
      <w:r>
        <w:t>a likely estimate</w:t>
      </w:r>
      <w:proofErr w:type="gramEnd"/>
      <w:r>
        <w:t xml:space="preserve"> that our study data represents 50% of all private pathology IGRA and TSTs performed in Queensland. This </w:t>
      </w:r>
      <w:proofErr w:type="gramStart"/>
      <w:r>
        <w:t>was applied</w:t>
      </w:r>
      <w:proofErr w:type="gramEnd"/>
      <w:r>
        <w:t xml:space="preserve"> to the upper estimates of private IGRA and TST data. Our public TST data represented one TBCU. We used a breakdown of TB notifications by TBCU as well as a breakdown of positive and indeterminate IGRA results by TBCU to reach upper and lower estimates for public TST data. </w:t>
      </w:r>
    </w:p>
    <w:p w14:paraId="3847009E" w14:textId="77777777" w:rsidR="00051973" w:rsidRDefault="00051973" w:rsidP="00051973">
      <w:pPr>
        <w:divId w:val="1330868351"/>
      </w:pPr>
      <w:r>
        <w:t xml:space="preserve">All analyses </w:t>
      </w:r>
      <w:proofErr w:type="gramStart"/>
      <w:r>
        <w:t>were performed</w:t>
      </w:r>
      <w:proofErr w:type="gramEnd"/>
      <w:r>
        <w:t xml:space="preserve"> in the statistical software package R, version 4.0.0 (2020-04-24). </w:t>
      </w:r>
    </w:p>
    <w:p w14:paraId="16EF8884" w14:textId="77777777" w:rsidR="00051973" w:rsidRDefault="00051973" w:rsidP="00051973">
      <w:pPr>
        <w:divId w:val="1330868351"/>
      </w:pPr>
      <w:r>
        <w:t xml:space="preserve">This study </w:t>
      </w:r>
      <w:proofErr w:type="gramStart"/>
      <w:r>
        <w:t>was approved</w:t>
      </w:r>
      <w:proofErr w:type="gramEnd"/>
      <w:r>
        <w:t xml:space="preserve"> by the Prince Charles Hospital Research Ethics Committee (TPCH HREC Reference Number: 75998) with acceptance of prior approval by the Australian National University Human Research Ethics Committee. Approvals to release and use study data, with relevant site-specific assessments, </w:t>
      </w:r>
      <w:proofErr w:type="gramStart"/>
      <w:r>
        <w:t>were granted</w:t>
      </w:r>
      <w:proofErr w:type="gramEnd"/>
      <w:r>
        <w:t xml:space="preserve"> according to the Queensland </w:t>
      </w:r>
      <w:r w:rsidRPr="002F77AF">
        <w:rPr>
          <w:rStyle w:val="Emphasis"/>
          <w:b w:val="0"/>
          <w:bCs w:val="0"/>
        </w:rPr>
        <w:t>Public Health Act 2005</w:t>
      </w:r>
      <w:r>
        <w:t>.</w:t>
      </w:r>
      <w:r>
        <w:rPr>
          <w:vertAlign w:val="superscript"/>
        </w:rPr>
        <w:t>14</w:t>
      </w:r>
      <w:r>
        <w:t xml:space="preserve"> </w:t>
      </w:r>
    </w:p>
    <w:p w14:paraId="7E54DEA1" w14:textId="77777777" w:rsidR="00051973" w:rsidRPr="00051973" w:rsidRDefault="00051973" w:rsidP="00051973">
      <w:pPr>
        <w:pStyle w:val="Heading1"/>
        <w:divId w:val="1330868351"/>
      </w:pPr>
      <w:r w:rsidRPr="00051973">
        <w:t xml:space="preserve">Results </w:t>
      </w:r>
    </w:p>
    <w:p w14:paraId="18EDCCEA" w14:textId="77777777" w:rsidR="00051973" w:rsidRDefault="00051973" w:rsidP="00051973">
      <w:pPr>
        <w:divId w:val="1330868351"/>
      </w:pPr>
      <w:r>
        <w:t xml:space="preserve">After all ineligible records (n = 15,779) </w:t>
      </w:r>
      <w:proofErr w:type="gramStart"/>
      <w:r>
        <w:t>were excluded</w:t>
      </w:r>
      <w:proofErr w:type="gramEnd"/>
      <w:r>
        <w:t xml:space="preserve"> (Appendix A), a total of 78,820 results were available for analysis: 3,899 public TST; 5,463 private TST; 37,802 public pathology IGRA; and 31,656 private pathology IGRA results. The number of tests recorded each study year were 12,355 (2016); 13,329 (2017); 15,119 (2018); 15,906 </w:t>
      </w:r>
      <w:r>
        <w:lastRenderedPageBreak/>
        <w:t xml:space="preserve">(2019); and 22,111 (2020). The number of recorded IGRA tests in 2020 (n = 21,175) was approximately 1.5 times greater than IGRA tests recorded in 2019 (n = 14,034). Tuberculin skin tests in 2020 (n = 936) halved compared with 2019 (n = 1,872). </w:t>
      </w:r>
    </w:p>
    <w:p w14:paraId="75DADB63" w14:textId="77777777" w:rsidR="00051973" w:rsidRPr="00051973" w:rsidRDefault="00051973" w:rsidP="00051973">
      <w:pPr>
        <w:pStyle w:val="Heading2"/>
        <w:divId w:val="1330868351"/>
      </w:pPr>
      <w:r w:rsidRPr="00051973">
        <w:t xml:space="preserve">Descriptive analysis of LBTI </w:t>
      </w:r>
    </w:p>
    <w:p w14:paraId="681F4F83" w14:textId="77777777" w:rsidR="00051973" w:rsidRDefault="00051973" w:rsidP="00051973">
      <w:pPr>
        <w:divId w:val="1330868351"/>
      </w:pPr>
      <w:r>
        <w:t xml:space="preserve">The median age of people </w:t>
      </w:r>
      <w:proofErr w:type="gramStart"/>
      <w:r>
        <w:t>tested</w:t>
      </w:r>
      <w:proofErr w:type="gramEnd"/>
      <w:r>
        <w:t xml:space="preserve"> was 31 years; 57% were female (Table 3). The proportion of positive tests ranged from 6% to 9% for private and public IGRA tests respectively, and 16% to 24% for private and public </w:t>
      </w:r>
      <w:proofErr w:type="gramStart"/>
      <w:r>
        <w:t>TST</w:t>
      </w:r>
      <w:proofErr w:type="gramEnd"/>
      <w:r>
        <w:t xml:space="preserve"> respectively. </w:t>
      </w:r>
    </w:p>
    <w:p w14:paraId="143A39D2" w14:textId="77777777" w:rsidR="00051973" w:rsidRDefault="00051973" w:rsidP="00051973">
      <w:pPr>
        <w:divId w:val="1330868351"/>
      </w:pPr>
      <w:r>
        <w:t xml:space="preserve">Females accounted for 55% (n = 3,874) of positive IGRA and TST results (n = 7,105; Figure 1). Positive results </w:t>
      </w:r>
      <w:proofErr w:type="gramStart"/>
      <w:r>
        <w:t>were reported</w:t>
      </w:r>
      <w:proofErr w:type="gramEnd"/>
      <w:r>
        <w:t xml:space="preserve"> across the lifespan; people aged 30–34 years accounted for the highest proportion of positive tests by age group (n = 762; 11%). </w:t>
      </w:r>
    </w:p>
    <w:p w14:paraId="18C8EFFA" w14:textId="72D0C517" w:rsidR="00051973" w:rsidRDefault="00051973" w:rsidP="00051973">
      <w:pPr>
        <w:divId w:val="1330868351"/>
      </w:pPr>
      <w:r>
        <w:t xml:space="preserve">Data on reason for screening were available for 3,897 public TST results (Table 4). The most common reason for screening was as a part of TB contact tracing measures (n = 1,707), followed by health care worker screening (n = 1,153). For these screening categories, the proportion of positive tests was 22% (n = 373) and 17% (n = 195), respectively. The proportion of positive tests were highest for refugee screening (53%, n = 311) and rheumatology review (33%, n = 7). </w:t>
      </w:r>
    </w:p>
    <w:p w14:paraId="20163CB8" w14:textId="77777777" w:rsidR="00DC4DE5" w:rsidRPr="00AF4B03" w:rsidRDefault="00DC4DE5" w:rsidP="00DC4DE5">
      <w:pPr>
        <w:pStyle w:val="CDIFigures"/>
        <w:divId w:val="1330868351"/>
      </w:pPr>
      <w:r w:rsidRPr="00AF4B03">
        <w:rPr>
          <w:rStyle w:val="Strong"/>
          <w:b/>
          <w:bCs w:val="0"/>
        </w:rPr>
        <w:t xml:space="preserve">Figure 1: Age and sex distribution of positive tuberculin skin test (TST) and interferon gamma release assay (IGRA) tests in Queensland, 2016–2020 (n = 7,105) </w:t>
      </w:r>
      <w:r w:rsidRPr="00AF4B03">
        <w:rPr>
          <w:rStyle w:val="Strong"/>
          <w:b/>
          <w:bCs w:val="0"/>
          <w:vertAlign w:val="superscript"/>
        </w:rPr>
        <w:t>a</w:t>
      </w:r>
    </w:p>
    <w:p w14:paraId="10242F2C" w14:textId="77777777" w:rsidR="00DC4DE5" w:rsidRDefault="00DC4DE5" w:rsidP="00DC4DE5">
      <w:pPr>
        <w:divId w:val="1330868351"/>
        <w:rPr>
          <w:rFonts w:eastAsia="Times New Roman"/>
          <w:lang w:val="en-GB"/>
        </w:rPr>
      </w:pPr>
      <w:r>
        <w:rPr>
          <w:rFonts w:eastAsia="Times New Roman"/>
          <w:noProof/>
          <w:lang w:val="en-GB"/>
        </w:rPr>
        <w:drawing>
          <wp:inline distT="0" distB="0" distL="0" distR="0" wp14:anchorId="40C0B92A" wp14:editId="0F8BA18A">
            <wp:extent cx="6625424" cy="4482972"/>
            <wp:effectExtent l="0" t="0" r="4445" b="0"/>
            <wp:docPr id="3" name="Picture 3" descr="Figure 1 is an age and sex pyramid of people with positive tests recorded in the study period (n=7,105). The y axis represents age group, and the x axis represents proportion of all positive tests. Females accounted for 55% (n=3,874) of positive results. Positive results were reported across the lifespan and people aged 30–34 years accounted for the highest proportion of positive tests by age group (n=762,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n age and sex pyramid of people with positive tests recorded in the study period (n=7,105). The y axis represents age group, and the x axis represents proportion of all positive tests. Females accounted for 55% (n=3,874) of positive results. Positive results were reported across the lifespan and people aged 30–34 years accounted for the highest proportion of positive tests by age group (n=762, 11%).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7525" cy="4491160"/>
                    </a:xfrm>
                    <a:prstGeom prst="rect">
                      <a:avLst/>
                    </a:prstGeom>
                  </pic:spPr>
                </pic:pic>
              </a:graphicData>
            </a:graphic>
          </wp:inline>
        </w:drawing>
      </w:r>
    </w:p>
    <w:p w14:paraId="4E25ED87" w14:textId="6E61DE90" w:rsidR="00DC4DE5" w:rsidRPr="00DC4DE5" w:rsidRDefault="00DC4DE5" w:rsidP="00DC4DE5">
      <w:pPr>
        <w:pStyle w:val="CDIfootnotes"/>
        <w:divId w:val="1330868351"/>
        <w:rPr>
          <w:lang w:val="en-GB"/>
        </w:rPr>
      </w:pPr>
      <w:r>
        <w:rPr>
          <w:lang w:val="en-GB"/>
        </w:rPr>
        <w:t>a</w:t>
      </w:r>
      <w:r>
        <w:rPr>
          <w:lang w:val="en-GB"/>
        </w:rPr>
        <w:tab/>
        <w:t>TBCU: tuberculosis control unit.</w:t>
      </w:r>
    </w:p>
    <w:p w14:paraId="73E9AAC0" w14:textId="77777777" w:rsidR="00542208" w:rsidRPr="00AF4B03" w:rsidRDefault="00542208" w:rsidP="00542208">
      <w:pPr>
        <w:pStyle w:val="CDIFigures"/>
        <w:divId w:val="1330868351"/>
      </w:pPr>
      <w:r w:rsidRPr="00AF4B03">
        <w:rPr>
          <w:rStyle w:val="Strong"/>
          <w:b/>
          <w:bCs w:val="0"/>
        </w:rPr>
        <w:lastRenderedPageBreak/>
        <w:t>Table 3: Descriptive analysis of available tuberculin skin test (TST) and interferon gamma release assay (IGRA) test results in Queensland, 2016–2020</w:t>
      </w:r>
    </w:p>
    <w:tbl>
      <w:tblPr>
        <w:tblStyle w:val="CDI-StandardTable"/>
        <w:tblW w:w="0" w:type="auto"/>
        <w:tblLayout w:type="fixed"/>
        <w:tblLook w:val="04A0" w:firstRow="1" w:lastRow="0" w:firstColumn="1" w:lastColumn="0" w:noHBand="0" w:noVBand="1"/>
        <w:tblDescription w:val="Table 3 provides a summary of the descriptive analysis results. This includes the number of analysed tests per data source, the median age and sex of people tested, and a breakdown (count and proportion) of positive, intermediate, and negative results. "/>
      </w:tblPr>
      <w:tblGrid>
        <w:gridCol w:w="1276"/>
        <w:gridCol w:w="709"/>
        <w:gridCol w:w="1134"/>
        <w:gridCol w:w="709"/>
        <w:gridCol w:w="663"/>
        <w:gridCol w:w="664"/>
        <w:gridCol w:w="664"/>
        <w:gridCol w:w="664"/>
        <w:gridCol w:w="664"/>
        <w:gridCol w:w="663"/>
        <w:gridCol w:w="664"/>
        <w:gridCol w:w="664"/>
        <w:gridCol w:w="664"/>
        <w:gridCol w:w="664"/>
      </w:tblGrid>
      <w:tr w:rsidR="00542208" w:rsidRPr="00B425CC" w14:paraId="502C6409" w14:textId="77777777" w:rsidTr="00542208">
        <w:trPr>
          <w:cnfStyle w:val="100000000000" w:firstRow="1" w:lastRow="0" w:firstColumn="0" w:lastColumn="0" w:oddVBand="0" w:evenVBand="0" w:oddHBand="0" w:evenHBand="0" w:firstRowFirstColumn="0" w:firstRowLastColumn="0" w:lastRowFirstColumn="0" w:lastRowLastColumn="0"/>
          <w:divId w:val="1330868351"/>
          <w:tblHeader/>
        </w:trPr>
        <w:tc>
          <w:tcPr>
            <w:tcW w:w="1276" w:type="dxa"/>
            <w:vMerge w:val="restart"/>
            <w:hideMark/>
          </w:tcPr>
          <w:p w14:paraId="66488793" w14:textId="77777777" w:rsidR="00542208" w:rsidRPr="00B425CC" w:rsidRDefault="00542208" w:rsidP="00542208">
            <w:pPr>
              <w:pStyle w:val="NormalWeb"/>
              <w:jc w:val="left"/>
              <w:rPr>
                <w:sz w:val="18"/>
                <w:szCs w:val="18"/>
              </w:rPr>
            </w:pPr>
            <w:r w:rsidRPr="00B425CC">
              <w:rPr>
                <w:sz w:val="18"/>
                <w:szCs w:val="18"/>
              </w:rPr>
              <w:t>Data source</w:t>
            </w:r>
          </w:p>
        </w:tc>
        <w:tc>
          <w:tcPr>
            <w:tcW w:w="709" w:type="dxa"/>
            <w:vMerge w:val="restart"/>
            <w:hideMark/>
          </w:tcPr>
          <w:p w14:paraId="07860E1D" w14:textId="77777777" w:rsidR="00542208" w:rsidRPr="00B425CC" w:rsidRDefault="00542208" w:rsidP="00180503">
            <w:pPr>
              <w:pStyle w:val="NormalWeb"/>
              <w:rPr>
                <w:sz w:val="18"/>
                <w:szCs w:val="18"/>
              </w:rPr>
            </w:pPr>
            <w:r w:rsidRPr="00B425CC">
              <w:rPr>
                <w:sz w:val="18"/>
                <w:szCs w:val="18"/>
              </w:rPr>
              <w:t>Tests (n)</w:t>
            </w:r>
          </w:p>
        </w:tc>
        <w:tc>
          <w:tcPr>
            <w:tcW w:w="1134" w:type="dxa"/>
            <w:vMerge w:val="restart"/>
            <w:hideMark/>
          </w:tcPr>
          <w:p w14:paraId="3CD81DBE" w14:textId="77777777" w:rsidR="00542208" w:rsidRPr="00B425CC" w:rsidRDefault="00542208" w:rsidP="00180503">
            <w:pPr>
              <w:pStyle w:val="NormalWeb"/>
              <w:rPr>
                <w:sz w:val="18"/>
                <w:szCs w:val="18"/>
              </w:rPr>
            </w:pPr>
            <w:r w:rsidRPr="00B425CC">
              <w:rPr>
                <w:sz w:val="18"/>
                <w:szCs w:val="18"/>
              </w:rPr>
              <w:t>Average annual tests (n)</w:t>
            </w:r>
          </w:p>
        </w:tc>
        <w:tc>
          <w:tcPr>
            <w:tcW w:w="709" w:type="dxa"/>
            <w:vMerge w:val="restart"/>
            <w:hideMark/>
          </w:tcPr>
          <w:p w14:paraId="49F9C622" w14:textId="77777777" w:rsidR="00542208" w:rsidRPr="00B425CC" w:rsidRDefault="00542208" w:rsidP="00180503">
            <w:pPr>
              <w:pStyle w:val="NormalWeb"/>
              <w:rPr>
                <w:sz w:val="18"/>
                <w:szCs w:val="18"/>
              </w:rPr>
            </w:pPr>
            <w:r w:rsidRPr="00B425CC">
              <w:rPr>
                <w:sz w:val="18"/>
                <w:szCs w:val="18"/>
              </w:rPr>
              <w:t>Median age (years)</w:t>
            </w:r>
          </w:p>
        </w:tc>
        <w:tc>
          <w:tcPr>
            <w:tcW w:w="1327" w:type="dxa"/>
            <w:gridSpan w:val="2"/>
            <w:hideMark/>
          </w:tcPr>
          <w:p w14:paraId="0E32E477" w14:textId="77777777" w:rsidR="00542208" w:rsidRPr="00B425CC" w:rsidRDefault="00542208" w:rsidP="00180503">
            <w:pPr>
              <w:pStyle w:val="NormalWeb"/>
              <w:rPr>
                <w:sz w:val="18"/>
                <w:szCs w:val="18"/>
              </w:rPr>
            </w:pPr>
            <w:r w:rsidRPr="00B425CC">
              <w:rPr>
                <w:sz w:val="18"/>
                <w:szCs w:val="18"/>
              </w:rPr>
              <w:t>Male</w:t>
            </w:r>
          </w:p>
        </w:tc>
        <w:tc>
          <w:tcPr>
            <w:tcW w:w="1328" w:type="dxa"/>
            <w:gridSpan w:val="2"/>
            <w:hideMark/>
          </w:tcPr>
          <w:p w14:paraId="5173621A" w14:textId="77777777" w:rsidR="00542208" w:rsidRPr="00B425CC" w:rsidRDefault="00542208" w:rsidP="00180503">
            <w:pPr>
              <w:pStyle w:val="NormalWeb"/>
              <w:rPr>
                <w:sz w:val="18"/>
                <w:szCs w:val="18"/>
              </w:rPr>
            </w:pPr>
            <w:r w:rsidRPr="00B425CC">
              <w:rPr>
                <w:sz w:val="18"/>
                <w:szCs w:val="18"/>
              </w:rPr>
              <w:t>Female</w:t>
            </w:r>
          </w:p>
        </w:tc>
        <w:tc>
          <w:tcPr>
            <w:tcW w:w="1327" w:type="dxa"/>
            <w:gridSpan w:val="2"/>
            <w:hideMark/>
          </w:tcPr>
          <w:p w14:paraId="5287541D" w14:textId="77777777" w:rsidR="00542208" w:rsidRPr="00B425CC" w:rsidRDefault="00542208" w:rsidP="00180503">
            <w:pPr>
              <w:pStyle w:val="NormalWeb"/>
              <w:rPr>
                <w:sz w:val="18"/>
                <w:szCs w:val="18"/>
              </w:rPr>
            </w:pPr>
            <w:r w:rsidRPr="00B425CC">
              <w:rPr>
                <w:sz w:val="18"/>
                <w:szCs w:val="18"/>
              </w:rPr>
              <w:t>Positive result</w:t>
            </w:r>
          </w:p>
        </w:tc>
        <w:tc>
          <w:tcPr>
            <w:tcW w:w="1328" w:type="dxa"/>
            <w:gridSpan w:val="2"/>
            <w:hideMark/>
          </w:tcPr>
          <w:p w14:paraId="2CB2C01E" w14:textId="77777777" w:rsidR="00542208" w:rsidRPr="00B425CC" w:rsidRDefault="00542208" w:rsidP="00180503">
            <w:pPr>
              <w:pStyle w:val="NormalWeb"/>
              <w:rPr>
                <w:sz w:val="18"/>
                <w:szCs w:val="18"/>
              </w:rPr>
            </w:pPr>
            <w:r w:rsidRPr="00B425CC">
              <w:rPr>
                <w:sz w:val="18"/>
                <w:szCs w:val="18"/>
              </w:rPr>
              <w:t>Indeterminate result</w:t>
            </w:r>
          </w:p>
        </w:tc>
        <w:tc>
          <w:tcPr>
            <w:tcW w:w="1328" w:type="dxa"/>
            <w:gridSpan w:val="2"/>
            <w:hideMark/>
          </w:tcPr>
          <w:p w14:paraId="608101BC" w14:textId="77777777" w:rsidR="00542208" w:rsidRPr="00B425CC" w:rsidRDefault="00542208" w:rsidP="00180503">
            <w:pPr>
              <w:pStyle w:val="NormalWeb"/>
              <w:rPr>
                <w:sz w:val="18"/>
                <w:szCs w:val="18"/>
              </w:rPr>
            </w:pPr>
            <w:r w:rsidRPr="00B425CC">
              <w:rPr>
                <w:sz w:val="18"/>
                <w:szCs w:val="18"/>
              </w:rPr>
              <w:t>Negative result</w:t>
            </w:r>
          </w:p>
        </w:tc>
      </w:tr>
      <w:tr w:rsidR="00542208" w:rsidRPr="00B425CC" w14:paraId="14ABADBC" w14:textId="77777777" w:rsidTr="00542208">
        <w:trPr>
          <w:cnfStyle w:val="100000000000" w:firstRow="1" w:lastRow="0" w:firstColumn="0" w:lastColumn="0" w:oddVBand="0" w:evenVBand="0" w:oddHBand="0" w:evenHBand="0" w:firstRowFirstColumn="0" w:firstRowLastColumn="0" w:lastRowFirstColumn="0" w:lastRowLastColumn="0"/>
          <w:divId w:val="1330868351"/>
          <w:tblHeader/>
        </w:trPr>
        <w:tc>
          <w:tcPr>
            <w:tcW w:w="1276" w:type="dxa"/>
            <w:vMerge/>
            <w:hideMark/>
          </w:tcPr>
          <w:p w14:paraId="520685D6" w14:textId="77777777" w:rsidR="00542208" w:rsidRPr="00B425CC" w:rsidRDefault="00542208" w:rsidP="00542208">
            <w:pPr>
              <w:rPr>
                <w:sz w:val="18"/>
                <w:szCs w:val="18"/>
              </w:rPr>
            </w:pPr>
          </w:p>
        </w:tc>
        <w:tc>
          <w:tcPr>
            <w:tcW w:w="709" w:type="dxa"/>
            <w:vMerge/>
            <w:hideMark/>
          </w:tcPr>
          <w:p w14:paraId="5F49310A" w14:textId="77777777" w:rsidR="00542208" w:rsidRPr="00B425CC" w:rsidRDefault="00542208" w:rsidP="00180503">
            <w:pPr>
              <w:rPr>
                <w:sz w:val="18"/>
                <w:szCs w:val="18"/>
              </w:rPr>
            </w:pPr>
          </w:p>
        </w:tc>
        <w:tc>
          <w:tcPr>
            <w:tcW w:w="1134" w:type="dxa"/>
            <w:vMerge/>
            <w:hideMark/>
          </w:tcPr>
          <w:p w14:paraId="15EB45B8" w14:textId="77777777" w:rsidR="00542208" w:rsidRPr="00B425CC" w:rsidRDefault="00542208" w:rsidP="00180503">
            <w:pPr>
              <w:rPr>
                <w:sz w:val="18"/>
                <w:szCs w:val="18"/>
              </w:rPr>
            </w:pPr>
          </w:p>
        </w:tc>
        <w:tc>
          <w:tcPr>
            <w:tcW w:w="709" w:type="dxa"/>
            <w:vMerge/>
            <w:hideMark/>
          </w:tcPr>
          <w:p w14:paraId="7DDE6BB2" w14:textId="77777777" w:rsidR="00542208" w:rsidRPr="00B425CC" w:rsidRDefault="00542208" w:rsidP="00180503">
            <w:pPr>
              <w:rPr>
                <w:sz w:val="18"/>
                <w:szCs w:val="18"/>
              </w:rPr>
            </w:pPr>
          </w:p>
        </w:tc>
        <w:tc>
          <w:tcPr>
            <w:tcW w:w="663" w:type="dxa"/>
            <w:hideMark/>
          </w:tcPr>
          <w:p w14:paraId="58D69348" w14:textId="77777777" w:rsidR="00542208" w:rsidRPr="00B425CC" w:rsidRDefault="00542208" w:rsidP="00180503">
            <w:pPr>
              <w:pStyle w:val="NormalWeb"/>
              <w:rPr>
                <w:sz w:val="18"/>
                <w:szCs w:val="18"/>
              </w:rPr>
            </w:pPr>
            <w:r w:rsidRPr="00B425CC">
              <w:rPr>
                <w:sz w:val="18"/>
                <w:szCs w:val="18"/>
              </w:rPr>
              <w:t>(n)</w:t>
            </w:r>
          </w:p>
        </w:tc>
        <w:tc>
          <w:tcPr>
            <w:tcW w:w="664" w:type="dxa"/>
            <w:hideMark/>
          </w:tcPr>
          <w:p w14:paraId="3ADD28AB" w14:textId="77777777" w:rsidR="00542208" w:rsidRPr="00B425CC" w:rsidRDefault="00542208" w:rsidP="00180503">
            <w:pPr>
              <w:pStyle w:val="NormalWeb"/>
              <w:rPr>
                <w:sz w:val="18"/>
                <w:szCs w:val="18"/>
              </w:rPr>
            </w:pPr>
            <w:r w:rsidRPr="00B425CC">
              <w:rPr>
                <w:sz w:val="18"/>
                <w:szCs w:val="18"/>
              </w:rPr>
              <w:t>(%)</w:t>
            </w:r>
          </w:p>
        </w:tc>
        <w:tc>
          <w:tcPr>
            <w:tcW w:w="664" w:type="dxa"/>
            <w:hideMark/>
          </w:tcPr>
          <w:p w14:paraId="516DF718" w14:textId="77777777" w:rsidR="00542208" w:rsidRPr="00B425CC" w:rsidRDefault="00542208" w:rsidP="00180503">
            <w:pPr>
              <w:pStyle w:val="NormalWeb"/>
              <w:rPr>
                <w:sz w:val="18"/>
                <w:szCs w:val="18"/>
              </w:rPr>
            </w:pPr>
            <w:r w:rsidRPr="00B425CC">
              <w:rPr>
                <w:sz w:val="18"/>
                <w:szCs w:val="18"/>
              </w:rPr>
              <w:t>(n)</w:t>
            </w:r>
          </w:p>
        </w:tc>
        <w:tc>
          <w:tcPr>
            <w:tcW w:w="664" w:type="dxa"/>
            <w:hideMark/>
          </w:tcPr>
          <w:p w14:paraId="02AD3ECC" w14:textId="77777777" w:rsidR="00542208" w:rsidRPr="00B425CC" w:rsidRDefault="00542208" w:rsidP="00180503">
            <w:pPr>
              <w:pStyle w:val="NormalWeb"/>
              <w:rPr>
                <w:sz w:val="18"/>
                <w:szCs w:val="18"/>
              </w:rPr>
            </w:pPr>
            <w:r w:rsidRPr="00B425CC">
              <w:rPr>
                <w:sz w:val="18"/>
                <w:szCs w:val="18"/>
              </w:rPr>
              <w:t>(%)</w:t>
            </w:r>
          </w:p>
        </w:tc>
        <w:tc>
          <w:tcPr>
            <w:tcW w:w="664" w:type="dxa"/>
            <w:hideMark/>
          </w:tcPr>
          <w:p w14:paraId="4B4EBAE0" w14:textId="77777777" w:rsidR="00542208" w:rsidRPr="00B425CC" w:rsidRDefault="00542208" w:rsidP="00180503">
            <w:pPr>
              <w:pStyle w:val="NormalWeb"/>
              <w:rPr>
                <w:sz w:val="18"/>
                <w:szCs w:val="18"/>
              </w:rPr>
            </w:pPr>
            <w:r w:rsidRPr="00B425CC">
              <w:rPr>
                <w:sz w:val="18"/>
                <w:szCs w:val="18"/>
              </w:rPr>
              <w:t>(n)</w:t>
            </w:r>
          </w:p>
        </w:tc>
        <w:tc>
          <w:tcPr>
            <w:tcW w:w="663" w:type="dxa"/>
            <w:hideMark/>
          </w:tcPr>
          <w:p w14:paraId="26640802" w14:textId="77777777" w:rsidR="00542208" w:rsidRPr="00B425CC" w:rsidRDefault="00542208" w:rsidP="00180503">
            <w:pPr>
              <w:pStyle w:val="NormalWeb"/>
              <w:rPr>
                <w:sz w:val="18"/>
                <w:szCs w:val="18"/>
              </w:rPr>
            </w:pPr>
            <w:r w:rsidRPr="00B425CC">
              <w:rPr>
                <w:sz w:val="18"/>
                <w:szCs w:val="18"/>
              </w:rPr>
              <w:t>(%)</w:t>
            </w:r>
          </w:p>
        </w:tc>
        <w:tc>
          <w:tcPr>
            <w:tcW w:w="664" w:type="dxa"/>
            <w:hideMark/>
          </w:tcPr>
          <w:p w14:paraId="6693FD08" w14:textId="77777777" w:rsidR="00542208" w:rsidRPr="00B425CC" w:rsidRDefault="00542208" w:rsidP="00180503">
            <w:pPr>
              <w:pStyle w:val="NormalWeb"/>
              <w:rPr>
                <w:sz w:val="18"/>
                <w:szCs w:val="18"/>
              </w:rPr>
            </w:pPr>
            <w:r w:rsidRPr="00B425CC">
              <w:rPr>
                <w:sz w:val="18"/>
                <w:szCs w:val="18"/>
              </w:rPr>
              <w:t>(n)</w:t>
            </w:r>
          </w:p>
        </w:tc>
        <w:tc>
          <w:tcPr>
            <w:tcW w:w="664" w:type="dxa"/>
            <w:hideMark/>
          </w:tcPr>
          <w:p w14:paraId="565F009C" w14:textId="77777777" w:rsidR="00542208" w:rsidRPr="00B425CC" w:rsidRDefault="00542208" w:rsidP="00180503">
            <w:pPr>
              <w:pStyle w:val="NormalWeb"/>
              <w:rPr>
                <w:sz w:val="18"/>
                <w:szCs w:val="18"/>
              </w:rPr>
            </w:pPr>
            <w:r w:rsidRPr="00B425CC">
              <w:rPr>
                <w:sz w:val="18"/>
                <w:szCs w:val="18"/>
              </w:rPr>
              <w:t>(%)</w:t>
            </w:r>
          </w:p>
        </w:tc>
        <w:tc>
          <w:tcPr>
            <w:tcW w:w="664" w:type="dxa"/>
            <w:hideMark/>
          </w:tcPr>
          <w:p w14:paraId="15A73F4F" w14:textId="77777777" w:rsidR="00542208" w:rsidRPr="00B425CC" w:rsidRDefault="00542208" w:rsidP="00180503">
            <w:pPr>
              <w:pStyle w:val="NormalWeb"/>
              <w:rPr>
                <w:sz w:val="18"/>
                <w:szCs w:val="18"/>
              </w:rPr>
            </w:pPr>
            <w:r w:rsidRPr="00B425CC">
              <w:rPr>
                <w:sz w:val="18"/>
                <w:szCs w:val="18"/>
              </w:rPr>
              <w:t>(n)</w:t>
            </w:r>
          </w:p>
        </w:tc>
        <w:tc>
          <w:tcPr>
            <w:tcW w:w="664" w:type="dxa"/>
            <w:hideMark/>
          </w:tcPr>
          <w:p w14:paraId="4C347CFC" w14:textId="77777777" w:rsidR="00542208" w:rsidRPr="00B425CC" w:rsidRDefault="00542208" w:rsidP="00180503">
            <w:pPr>
              <w:pStyle w:val="NormalWeb"/>
              <w:rPr>
                <w:sz w:val="18"/>
                <w:szCs w:val="18"/>
              </w:rPr>
            </w:pPr>
            <w:r w:rsidRPr="00B425CC">
              <w:rPr>
                <w:sz w:val="18"/>
                <w:szCs w:val="18"/>
              </w:rPr>
              <w:t>(%)</w:t>
            </w:r>
          </w:p>
        </w:tc>
      </w:tr>
      <w:tr w:rsidR="00542208" w:rsidRPr="00B425CC" w14:paraId="6D08A381" w14:textId="77777777" w:rsidTr="00542208">
        <w:trPr>
          <w:divId w:val="1330868351"/>
        </w:trPr>
        <w:tc>
          <w:tcPr>
            <w:tcW w:w="1276" w:type="dxa"/>
            <w:hideMark/>
          </w:tcPr>
          <w:p w14:paraId="1934C523" w14:textId="4461623A" w:rsidR="00542208" w:rsidRPr="00B425CC" w:rsidRDefault="00542208" w:rsidP="00542208">
            <w:pPr>
              <w:pStyle w:val="NormalWeb"/>
              <w:jc w:val="left"/>
              <w:rPr>
                <w:sz w:val="18"/>
                <w:szCs w:val="18"/>
              </w:rPr>
            </w:pPr>
            <w:r w:rsidRPr="00B425CC">
              <w:rPr>
                <w:sz w:val="18"/>
                <w:szCs w:val="18"/>
              </w:rPr>
              <w:t>Public TSTs</w:t>
            </w:r>
            <w:r>
              <w:rPr>
                <w:sz w:val="18"/>
                <w:szCs w:val="18"/>
              </w:rPr>
              <w:t xml:space="preserve"> </w:t>
            </w:r>
            <w:r w:rsidRPr="00542208">
              <w:rPr>
                <w:sz w:val="18"/>
                <w:szCs w:val="18"/>
                <w:vertAlign w:val="superscript"/>
              </w:rPr>
              <w:t>a</w:t>
            </w:r>
          </w:p>
        </w:tc>
        <w:tc>
          <w:tcPr>
            <w:tcW w:w="709" w:type="dxa"/>
            <w:hideMark/>
          </w:tcPr>
          <w:p w14:paraId="187BA044" w14:textId="77777777" w:rsidR="00542208" w:rsidRPr="00B425CC" w:rsidRDefault="00542208" w:rsidP="00180503">
            <w:pPr>
              <w:pStyle w:val="NormalWeb"/>
              <w:rPr>
                <w:sz w:val="18"/>
                <w:szCs w:val="18"/>
              </w:rPr>
            </w:pPr>
            <w:r w:rsidRPr="00B425CC">
              <w:rPr>
                <w:sz w:val="18"/>
                <w:szCs w:val="18"/>
              </w:rPr>
              <w:t>3,899</w:t>
            </w:r>
          </w:p>
        </w:tc>
        <w:tc>
          <w:tcPr>
            <w:tcW w:w="1134" w:type="dxa"/>
            <w:hideMark/>
          </w:tcPr>
          <w:p w14:paraId="59C00E4B" w14:textId="77777777" w:rsidR="00542208" w:rsidRPr="00B425CC" w:rsidRDefault="00542208" w:rsidP="00180503">
            <w:pPr>
              <w:pStyle w:val="NormalWeb"/>
              <w:rPr>
                <w:sz w:val="18"/>
                <w:szCs w:val="18"/>
              </w:rPr>
            </w:pPr>
            <w:r w:rsidRPr="00B425CC">
              <w:rPr>
                <w:sz w:val="18"/>
                <w:szCs w:val="18"/>
              </w:rPr>
              <w:t>780</w:t>
            </w:r>
          </w:p>
        </w:tc>
        <w:tc>
          <w:tcPr>
            <w:tcW w:w="709" w:type="dxa"/>
            <w:hideMark/>
          </w:tcPr>
          <w:p w14:paraId="37F138ED" w14:textId="77777777" w:rsidR="00542208" w:rsidRPr="00B425CC" w:rsidRDefault="00542208" w:rsidP="00180503">
            <w:pPr>
              <w:pStyle w:val="NormalWeb"/>
              <w:rPr>
                <w:sz w:val="18"/>
                <w:szCs w:val="18"/>
              </w:rPr>
            </w:pPr>
            <w:r w:rsidRPr="00B425CC">
              <w:rPr>
                <w:sz w:val="18"/>
                <w:szCs w:val="18"/>
              </w:rPr>
              <w:t>26</w:t>
            </w:r>
          </w:p>
        </w:tc>
        <w:tc>
          <w:tcPr>
            <w:tcW w:w="663" w:type="dxa"/>
            <w:hideMark/>
          </w:tcPr>
          <w:p w14:paraId="3C21A23B" w14:textId="77777777" w:rsidR="00542208" w:rsidRPr="00B425CC" w:rsidRDefault="00542208" w:rsidP="00180503">
            <w:pPr>
              <w:pStyle w:val="NormalWeb"/>
              <w:rPr>
                <w:sz w:val="18"/>
                <w:szCs w:val="18"/>
              </w:rPr>
            </w:pPr>
            <w:r w:rsidRPr="00B425CC">
              <w:rPr>
                <w:sz w:val="18"/>
                <w:szCs w:val="18"/>
              </w:rPr>
              <w:t>1,521</w:t>
            </w:r>
          </w:p>
        </w:tc>
        <w:tc>
          <w:tcPr>
            <w:tcW w:w="664" w:type="dxa"/>
            <w:hideMark/>
          </w:tcPr>
          <w:p w14:paraId="71598BDF" w14:textId="77777777" w:rsidR="00542208" w:rsidRPr="00B425CC" w:rsidRDefault="00542208" w:rsidP="00180503">
            <w:pPr>
              <w:pStyle w:val="NormalWeb"/>
              <w:rPr>
                <w:sz w:val="18"/>
                <w:szCs w:val="18"/>
              </w:rPr>
            </w:pPr>
            <w:r w:rsidRPr="00B425CC">
              <w:rPr>
                <w:sz w:val="18"/>
                <w:szCs w:val="18"/>
              </w:rPr>
              <w:t>39</w:t>
            </w:r>
          </w:p>
        </w:tc>
        <w:tc>
          <w:tcPr>
            <w:tcW w:w="664" w:type="dxa"/>
            <w:hideMark/>
          </w:tcPr>
          <w:p w14:paraId="1357CD12" w14:textId="77777777" w:rsidR="00542208" w:rsidRPr="00B425CC" w:rsidRDefault="00542208" w:rsidP="00180503">
            <w:pPr>
              <w:pStyle w:val="NormalWeb"/>
              <w:rPr>
                <w:sz w:val="18"/>
                <w:szCs w:val="18"/>
              </w:rPr>
            </w:pPr>
            <w:r w:rsidRPr="00B425CC">
              <w:rPr>
                <w:sz w:val="18"/>
                <w:szCs w:val="18"/>
              </w:rPr>
              <w:t>2,378</w:t>
            </w:r>
          </w:p>
        </w:tc>
        <w:tc>
          <w:tcPr>
            <w:tcW w:w="664" w:type="dxa"/>
            <w:hideMark/>
          </w:tcPr>
          <w:p w14:paraId="2A62E41D" w14:textId="77777777" w:rsidR="00542208" w:rsidRPr="00B425CC" w:rsidRDefault="00542208" w:rsidP="00180503">
            <w:pPr>
              <w:pStyle w:val="NormalWeb"/>
              <w:rPr>
                <w:sz w:val="18"/>
                <w:szCs w:val="18"/>
              </w:rPr>
            </w:pPr>
            <w:r w:rsidRPr="00B425CC">
              <w:rPr>
                <w:sz w:val="18"/>
                <w:szCs w:val="18"/>
              </w:rPr>
              <w:t>61</w:t>
            </w:r>
          </w:p>
        </w:tc>
        <w:tc>
          <w:tcPr>
            <w:tcW w:w="664" w:type="dxa"/>
            <w:hideMark/>
          </w:tcPr>
          <w:p w14:paraId="2ED5E555" w14:textId="77777777" w:rsidR="00542208" w:rsidRPr="00B425CC" w:rsidRDefault="00542208" w:rsidP="00180503">
            <w:pPr>
              <w:pStyle w:val="NormalWeb"/>
              <w:rPr>
                <w:sz w:val="18"/>
                <w:szCs w:val="18"/>
              </w:rPr>
            </w:pPr>
            <w:r w:rsidRPr="00B425CC">
              <w:rPr>
                <w:sz w:val="18"/>
                <w:szCs w:val="18"/>
              </w:rPr>
              <w:t>919</w:t>
            </w:r>
          </w:p>
        </w:tc>
        <w:tc>
          <w:tcPr>
            <w:tcW w:w="663" w:type="dxa"/>
            <w:hideMark/>
          </w:tcPr>
          <w:p w14:paraId="5ECBBB94" w14:textId="77777777" w:rsidR="00542208" w:rsidRPr="00B425CC" w:rsidRDefault="00542208" w:rsidP="00180503">
            <w:pPr>
              <w:pStyle w:val="NormalWeb"/>
              <w:rPr>
                <w:sz w:val="18"/>
                <w:szCs w:val="18"/>
              </w:rPr>
            </w:pPr>
            <w:r w:rsidRPr="00B425CC">
              <w:rPr>
                <w:sz w:val="18"/>
                <w:szCs w:val="18"/>
              </w:rPr>
              <w:t>24</w:t>
            </w:r>
          </w:p>
        </w:tc>
        <w:tc>
          <w:tcPr>
            <w:tcW w:w="664" w:type="dxa"/>
            <w:hideMark/>
          </w:tcPr>
          <w:p w14:paraId="48E80477" w14:textId="77777777" w:rsidR="00542208" w:rsidRPr="00B425CC" w:rsidRDefault="00542208" w:rsidP="00180503">
            <w:pPr>
              <w:pStyle w:val="NormalWeb"/>
              <w:rPr>
                <w:sz w:val="18"/>
                <w:szCs w:val="18"/>
              </w:rPr>
            </w:pPr>
            <w:r w:rsidRPr="00B425CC">
              <w:rPr>
                <w:sz w:val="18"/>
                <w:szCs w:val="18"/>
              </w:rPr>
              <w:t>N/A</w:t>
            </w:r>
          </w:p>
        </w:tc>
        <w:tc>
          <w:tcPr>
            <w:tcW w:w="664" w:type="dxa"/>
            <w:hideMark/>
          </w:tcPr>
          <w:p w14:paraId="0800320F" w14:textId="77777777" w:rsidR="00542208" w:rsidRPr="00B425CC" w:rsidRDefault="00542208" w:rsidP="00180503">
            <w:pPr>
              <w:pStyle w:val="NormalWeb"/>
              <w:rPr>
                <w:sz w:val="18"/>
                <w:szCs w:val="18"/>
              </w:rPr>
            </w:pPr>
            <w:r w:rsidRPr="00B425CC">
              <w:rPr>
                <w:sz w:val="18"/>
                <w:szCs w:val="18"/>
              </w:rPr>
              <w:t>N/A</w:t>
            </w:r>
          </w:p>
        </w:tc>
        <w:tc>
          <w:tcPr>
            <w:tcW w:w="664" w:type="dxa"/>
            <w:hideMark/>
          </w:tcPr>
          <w:p w14:paraId="0A8D2159" w14:textId="77777777" w:rsidR="00542208" w:rsidRPr="00B425CC" w:rsidRDefault="00542208" w:rsidP="00180503">
            <w:pPr>
              <w:pStyle w:val="NormalWeb"/>
              <w:rPr>
                <w:sz w:val="18"/>
                <w:szCs w:val="18"/>
              </w:rPr>
            </w:pPr>
            <w:r w:rsidRPr="00B425CC">
              <w:rPr>
                <w:sz w:val="18"/>
                <w:szCs w:val="18"/>
              </w:rPr>
              <w:t>2,980</w:t>
            </w:r>
          </w:p>
        </w:tc>
        <w:tc>
          <w:tcPr>
            <w:tcW w:w="664" w:type="dxa"/>
            <w:hideMark/>
          </w:tcPr>
          <w:p w14:paraId="63451A23" w14:textId="77777777" w:rsidR="00542208" w:rsidRPr="00B425CC" w:rsidRDefault="00542208" w:rsidP="00180503">
            <w:pPr>
              <w:pStyle w:val="NormalWeb"/>
              <w:rPr>
                <w:sz w:val="18"/>
                <w:szCs w:val="18"/>
              </w:rPr>
            </w:pPr>
            <w:r w:rsidRPr="00B425CC">
              <w:rPr>
                <w:sz w:val="18"/>
                <w:szCs w:val="18"/>
              </w:rPr>
              <w:t>76</w:t>
            </w:r>
          </w:p>
        </w:tc>
      </w:tr>
      <w:tr w:rsidR="00542208" w:rsidRPr="00B425CC" w14:paraId="2C61F1DB" w14:textId="77777777" w:rsidTr="00542208">
        <w:trPr>
          <w:cnfStyle w:val="000000010000" w:firstRow="0" w:lastRow="0" w:firstColumn="0" w:lastColumn="0" w:oddVBand="0" w:evenVBand="0" w:oddHBand="0" w:evenHBand="1" w:firstRowFirstColumn="0" w:firstRowLastColumn="0" w:lastRowFirstColumn="0" w:lastRowLastColumn="0"/>
          <w:divId w:val="1330868351"/>
        </w:trPr>
        <w:tc>
          <w:tcPr>
            <w:tcW w:w="1276" w:type="dxa"/>
            <w:hideMark/>
          </w:tcPr>
          <w:p w14:paraId="7F757030" w14:textId="6702188B" w:rsidR="00542208" w:rsidRPr="00B425CC" w:rsidRDefault="00542208" w:rsidP="00542208">
            <w:pPr>
              <w:pStyle w:val="NormalWeb"/>
              <w:jc w:val="left"/>
              <w:rPr>
                <w:sz w:val="18"/>
                <w:szCs w:val="18"/>
              </w:rPr>
            </w:pPr>
            <w:r w:rsidRPr="00B425CC">
              <w:rPr>
                <w:sz w:val="18"/>
                <w:szCs w:val="18"/>
              </w:rPr>
              <w:t>Private TSTs</w:t>
            </w:r>
            <w:r>
              <w:rPr>
                <w:sz w:val="18"/>
                <w:szCs w:val="18"/>
              </w:rPr>
              <w:t xml:space="preserve"> </w:t>
            </w:r>
            <w:r w:rsidRPr="00542208">
              <w:rPr>
                <w:sz w:val="18"/>
                <w:szCs w:val="18"/>
                <w:vertAlign w:val="superscript"/>
              </w:rPr>
              <w:t>b</w:t>
            </w:r>
          </w:p>
        </w:tc>
        <w:tc>
          <w:tcPr>
            <w:tcW w:w="709" w:type="dxa"/>
            <w:hideMark/>
          </w:tcPr>
          <w:p w14:paraId="575DEA08" w14:textId="77777777" w:rsidR="00542208" w:rsidRPr="00B425CC" w:rsidRDefault="00542208" w:rsidP="00180503">
            <w:pPr>
              <w:pStyle w:val="NormalWeb"/>
              <w:rPr>
                <w:sz w:val="18"/>
                <w:szCs w:val="18"/>
              </w:rPr>
            </w:pPr>
            <w:r w:rsidRPr="00B425CC">
              <w:rPr>
                <w:sz w:val="18"/>
                <w:szCs w:val="18"/>
              </w:rPr>
              <w:t>5,463</w:t>
            </w:r>
          </w:p>
        </w:tc>
        <w:tc>
          <w:tcPr>
            <w:tcW w:w="1134" w:type="dxa"/>
            <w:hideMark/>
          </w:tcPr>
          <w:p w14:paraId="48E813D7" w14:textId="77777777" w:rsidR="00542208" w:rsidRPr="00B425CC" w:rsidRDefault="00542208" w:rsidP="00180503">
            <w:pPr>
              <w:pStyle w:val="NormalWeb"/>
              <w:rPr>
                <w:sz w:val="18"/>
                <w:szCs w:val="18"/>
              </w:rPr>
            </w:pPr>
            <w:r w:rsidRPr="00B425CC">
              <w:rPr>
                <w:sz w:val="18"/>
                <w:szCs w:val="18"/>
              </w:rPr>
              <w:t>1,093</w:t>
            </w:r>
          </w:p>
        </w:tc>
        <w:tc>
          <w:tcPr>
            <w:tcW w:w="709" w:type="dxa"/>
            <w:hideMark/>
          </w:tcPr>
          <w:p w14:paraId="0A4DFE45" w14:textId="77777777" w:rsidR="00542208" w:rsidRPr="00B425CC" w:rsidRDefault="00542208" w:rsidP="00180503">
            <w:pPr>
              <w:pStyle w:val="NormalWeb"/>
              <w:rPr>
                <w:sz w:val="18"/>
                <w:szCs w:val="18"/>
              </w:rPr>
            </w:pPr>
            <w:r w:rsidRPr="00B425CC">
              <w:rPr>
                <w:sz w:val="18"/>
                <w:szCs w:val="18"/>
              </w:rPr>
              <w:t>24</w:t>
            </w:r>
          </w:p>
        </w:tc>
        <w:tc>
          <w:tcPr>
            <w:tcW w:w="663" w:type="dxa"/>
            <w:hideMark/>
          </w:tcPr>
          <w:p w14:paraId="6D204467" w14:textId="77777777" w:rsidR="00542208" w:rsidRPr="00B425CC" w:rsidRDefault="00542208" w:rsidP="00180503">
            <w:pPr>
              <w:pStyle w:val="NormalWeb"/>
              <w:rPr>
                <w:sz w:val="18"/>
                <w:szCs w:val="18"/>
              </w:rPr>
            </w:pPr>
            <w:r w:rsidRPr="00B425CC">
              <w:rPr>
                <w:sz w:val="18"/>
                <w:szCs w:val="18"/>
              </w:rPr>
              <w:t>1,339</w:t>
            </w:r>
          </w:p>
        </w:tc>
        <w:tc>
          <w:tcPr>
            <w:tcW w:w="664" w:type="dxa"/>
            <w:hideMark/>
          </w:tcPr>
          <w:p w14:paraId="09ED0B1F" w14:textId="77777777" w:rsidR="00542208" w:rsidRPr="00B425CC" w:rsidRDefault="00542208" w:rsidP="00180503">
            <w:pPr>
              <w:pStyle w:val="NormalWeb"/>
              <w:rPr>
                <w:sz w:val="18"/>
                <w:szCs w:val="18"/>
              </w:rPr>
            </w:pPr>
            <w:r w:rsidRPr="00B425CC">
              <w:rPr>
                <w:sz w:val="18"/>
                <w:szCs w:val="18"/>
              </w:rPr>
              <w:t>25</w:t>
            </w:r>
          </w:p>
        </w:tc>
        <w:tc>
          <w:tcPr>
            <w:tcW w:w="664" w:type="dxa"/>
            <w:hideMark/>
          </w:tcPr>
          <w:p w14:paraId="65D066B9" w14:textId="77777777" w:rsidR="00542208" w:rsidRPr="00B425CC" w:rsidRDefault="00542208" w:rsidP="00180503">
            <w:pPr>
              <w:pStyle w:val="NormalWeb"/>
              <w:rPr>
                <w:sz w:val="18"/>
                <w:szCs w:val="18"/>
              </w:rPr>
            </w:pPr>
            <w:r w:rsidRPr="00B425CC">
              <w:rPr>
                <w:sz w:val="18"/>
                <w:szCs w:val="18"/>
              </w:rPr>
              <w:t>4,124</w:t>
            </w:r>
          </w:p>
        </w:tc>
        <w:tc>
          <w:tcPr>
            <w:tcW w:w="664" w:type="dxa"/>
            <w:hideMark/>
          </w:tcPr>
          <w:p w14:paraId="0701A578" w14:textId="77777777" w:rsidR="00542208" w:rsidRPr="00B425CC" w:rsidRDefault="00542208" w:rsidP="00180503">
            <w:pPr>
              <w:pStyle w:val="NormalWeb"/>
              <w:rPr>
                <w:sz w:val="18"/>
                <w:szCs w:val="18"/>
              </w:rPr>
            </w:pPr>
            <w:r w:rsidRPr="00B425CC">
              <w:rPr>
                <w:sz w:val="18"/>
                <w:szCs w:val="18"/>
              </w:rPr>
              <w:t>75</w:t>
            </w:r>
          </w:p>
        </w:tc>
        <w:tc>
          <w:tcPr>
            <w:tcW w:w="664" w:type="dxa"/>
            <w:hideMark/>
          </w:tcPr>
          <w:p w14:paraId="6535B366" w14:textId="77777777" w:rsidR="00542208" w:rsidRPr="00B425CC" w:rsidRDefault="00542208" w:rsidP="00180503">
            <w:pPr>
              <w:pStyle w:val="NormalWeb"/>
              <w:rPr>
                <w:sz w:val="18"/>
                <w:szCs w:val="18"/>
              </w:rPr>
            </w:pPr>
            <w:r w:rsidRPr="00B425CC">
              <w:rPr>
                <w:sz w:val="18"/>
                <w:szCs w:val="18"/>
              </w:rPr>
              <w:t>849</w:t>
            </w:r>
          </w:p>
        </w:tc>
        <w:tc>
          <w:tcPr>
            <w:tcW w:w="663" w:type="dxa"/>
            <w:hideMark/>
          </w:tcPr>
          <w:p w14:paraId="583042D8" w14:textId="77777777" w:rsidR="00542208" w:rsidRPr="00B425CC" w:rsidRDefault="00542208" w:rsidP="00180503">
            <w:pPr>
              <w:pStyle w:val="NormalWeb"/>
              <w:rPr>
                <w:sz w:val="18"/>
                <w:szCs w:val="18"/>
              </w:rPr>
            </w:pPr>
            <w:r w:rsidRPr="00B425CC">
              <w:rPr>
                <w:sz w:val="18"/>
                <w:szCs w:val="18"/>
              </w:rPr>
              <w:t>16</w:t>
            </w:r>
          </w:p>
        </w:tc>
        <w:tc>
          <w:tcPr>
            <w:tcW w:w="664" w:type="dxa"/>
            <w:hideMark/>
          </w:tcPr>
          <w:p w14:paraId="4E813CCC" w14:textId="77777777" w:rsidR="00542208" w:rsidRPr="00B425CC" w:rsidRDefault="00542208" w:rsidP="00180503">
            <w:pPr>
              <w:pStyle w:val="NormalWeb"/>
              <w:rPr>
                <w:sz w:val="18"/>
                <w:szCs w:val="18"/>
              </w:rPr>
            </w:pPr>
            <w:r w:rsidRPr="00B425CC">
              <w:rPr>
                <w:sz w:val="18"/>
                <w:szCs w:val="18"/>
              </w:rPr>
              <w:t>N/A</w:t>
            </w:r>
          </w:p>
        </w:tc>
        <w:tc>
          <w:tcPr>
            <w:tcW w:w="664" w:type="dxa"/>
            <w:hideMark/>
          </w:tcPr>
          <w:p w14:paraId="4F064044" w14:textId="77777777" w:rsidR="00542208" w:rsidRPr="00B425CC" w:rsidRDefault="00542208" w:rsidP="00180503">
            <w:pPr>
              <w:pStyle w:val="NormalWeb"/>
              <w:rPr>
                <w:sz w:val="18"/>
                <w:szCs w:val="18"/>
              </w:rPr>
            </w:pPr>
            <w:r w:rsidRPr="00B425CC">
              <w:rPr>
                <w:sz w:val="18"/>
                <w:szCs w:val="18"/>
              </w:rPr>
              <w:t>N/A</w:t>
            </w:r>
          </w:p>
        </w:tc>
        <w:tc>
          <w:tcPr>
            <w:tcW w:w="664" w:type="dxa"/>
            <w:hideMark/>
          </w:tcPr>
          <w:p w14:paraId="3DDC4898" w14:textId="77777777" w:rsidR="00542208" w:rsidRPr="00B425CC" w:rsidRDefault="00542208" w:rsidP="00180503">
            <w:pPr>
              <w:pStyle w:val="NormalWeb"/>
              <w:rPr>
                <w:sz w:val="18"/>
                <w:szCs w:val="18"/>
              </w:rPr>
            </w:pPr>
            <w:r w:rsidRPr="00B425CC">
              <w:rPr>
                <w:sz w:val="18"/>
                <w:szCs w:val="18"/>
              </w:rPr>
              <w:t>4,614</w:t>
            </w:r>
          </w:p>
        </w:tc>
        <w:tc>
          <w:tcPr>
            <w:tcW w:w="664" w:type="dxa"/>
            <w:hideMark/>
          </w:tcPr>
          <w:p w14:paraId="46D9CB88" w14:textId="77777777" w:rsidR="00542208" w:rsidRPr="00B425CC" w:rsidRDefault="00542208" w:rsidP="00180503">
            <w:pPr>
              <w:pStyle w:val="NormalWeb"/>
              <w:rPr>
                <w:sz w:val="18"/>
                <w:szCs w:val="18"/>
              </w:rPr>
            </w:pPr>
            <w:r w:rsidRPr="00B425CC">
              <w:rPr>
                <w:sz w:val="18"/>
                <w:szCs w:val="18"/>
              </w:rPr>
              <w:t>84</w:t>
            </w:r>
          </w:p>
        </w:tc>
      </w:tr>
      <w:tr w:rsidR="00542208" w:rsidRPr="00B425CC" w14:paraId="73E94C09" w14:textId="77777777" w:rsidTr="00542208">
        <w:trPr>
          <w:divId w:val="1330868351"/>
        </w:trPr>
        <w:tc>
          <w:tcPr>
            <w:tcW w:w="1276" w:type="dxa"/>
            <w:hideMark/>
          </w:tcPr>
          <w:p w14:paraId="4488230B" w14:textId="567485A7" w:rsidR="00542208" w:rsidRPr="00B425CC" w:rsidRDefault="00542208" w:rsidP="00542208">
            <w:pPr>
              <w:pStyle w:val="NormalWeb"/>
              <w:jc w:val="left"/>
              <w:rPr>
                <w:sz w:val="18"/>
                <w:szCs w:val="18"/>
              </w:rPr>
            </w:pPr>
            <w:r w:rsidRPr="00B425CC">
              <w:rPr>
                <w:sz w:val="18"/>
                <w:szCs w:val="18"/>
              </w:rPr>
              <w:t>Public IGRAs</w:t>
            </w:r>
            <w:r>
              <w:rPr>
                <w:sz w:val="18"/>
                <w:szCs w:val="18"/>
              </w:rPr>
              <w:t xml:space="preserve"> </w:t>
            </w:r>
            <w:r w:rsidRPr="00542208">
              <w:rPr>
                <w:sz w:val="18"/>
                <w:szCs w:val="18"/>
                <w:vertAlign w:val="superscript"/>
              </w:rPr>
              <w:t>c</w:t>
            </w:r>
          </w:p>
        </w:tc>
        <w:tc>
          <w:tcPr>
            <w:tcW w:w="709" w:type="dxa"/>
            <w:hideMark/>
          </w:tcPr>
          <w:p w14:paraId="35B53796" w14:textId="77777777" w:rsidR="00542208" w:rsidRPr="00B425CC" w:rsidRDefault="00542208" w:rsidP="00180503">
            <w:pPr>
              <w:pStyle w:val="NormalWeb"/>
              <w:rPr>
                <w:sz w:val="18"/>
                <w:szCs w:val="18"/>
              </w:rPr>
            </w:pPr>
            <w:r w:rsidRPr="00B425CC">
              <w:rPr>
                <w:sz w:val="18"/>
                <w:szCs w:val="18"/>
              </w:rPr>
              <w:t>37,802</w:t>
            </w:r>
          </w:p>
        </w:tc>
        <w:tc>
          <w:tcPr>
            <w:tcW w:w="1134" w:type="dxa"/>
            <w:hideMark/>
          </w:tcPr>
          <w:p w14:paraId="04224020" w14:textId="77777777" w:rsidR="00542208" w:rsidRPr="00B425CC" w:rsidRDefault="00542208" w:rsidP="00180503">
            <w:pPr>
              <w:pStyle w:val="NormalWeb"/>
              <w:rPr>
                <w:sz w:val="18"/>
                <w:szCs w:val="18"/>
              </w:rPr>
            </w:pPr>
            <w:r w:rsidRPr="00B425CC">
              <w:rPr>
                <w:sz w:val="18"/>
                <w:szCs w:val="18"/>
              </w:rPr>
              <w:t>7,560</w:t>
            </w:r>
          </w:p>
        </w:tc>
        <w:tc>
          <w:tcPr>
            <w:tcW w:w="709" w:type="dxa"/>
            <w:hideMark/>
          </w:tcPr>
          <w:p w14:paraId="3102BBCE" w14:textId="77777777" w:rsidR="00542208" w:rsidRPr="00B425CC" w:rsidRDefault="00542208" w:rsidP="00180503">
            <w:pPr>
              <w:pStyle w:val="NormalWeb"/>
              <w:rPr>
                <w:sz w:val="18"/>
                <w:szCs w:val="18"/>
              </w:rPr>
            </w:pPr>
            <w:r w:rsidRPr="00B425CC">
              <w:rPr>
                <w:sz w:val="18"/>
                <w:szCs w:val="18"/>
              </w:rPr>
              <w:t>44</w:t>
            </w:r>
          </w:p>
        </w:tc>
        <w:tc>
          <w:tcPr>
            <w:tcW w:w="663" w:type="dxa"/>
            <w:hideMark/>
          </w:tcPr>
          <w:p w14:paraId="50EB9FCF" w14:textId="77777777" w:rsidR="00542208" w:rsidRPr="00B425CC" w:rsidRDefault="00542208" w:rsidP="00180503">
            <w:pPr>
              <w:pStyle w:val="NormalWeb"/>
              <w:rPr>
                <w:sz w:val="18"/>
                <w:szCs w:val="18"/>
              </w:rPr>
            </w:pPr>
            <w:r w:rsidRPr="00B425CC">
              <w:rPr>
                <w:sz w:val="18"/>
                <w:szCs w:val="18"/>
              </w:rPr>
              <w:t>17,826</w:t>
            </w:r>
          </w:p>
        </w:tc>
        <w:tc>
          <w:tcPr>
            <w:tcW w:w="664" w:type="dxa"/>
            <w:hideMark/>
          </w:tcPr>
          <w:p w14:paraId="7A5E9718" w14:textId="77777777" w:rsidR="00542208" w:rsidRPr="00B425CC" w:rsidRDefault="00542208" w:rsidP="00180503">
            <w:pPr>
              <w:pStyle w:val="NormalWeb"/>
              <w:rPr>
                <w:sz w:val="18"/>
                <w:szCs w:val="18"/>
              </w:rPr>
            </w:pPr>
            <w:r w:rsidRPr="00B425CC">
              <w:rPr>
                <w:sz w:val="18"/>
                <w:szCs w:val="18"/>
              </w:rPr>
              <w:t>47</w:t>
            </w:r>
          </w:p>
        </w:tc>
        <w:tc>
          <w:tcPr>
            <w:tcW w:w="664" w:type="dxa"/>
            <w:hideMark/>
          </w:tcPr>
          <w:p w14:paraId="19D77E30" w14:textId="77777777" w:rsidR="00542208" w:rsidRPr="00B425CC" w:rsidRDefault="00542208" w:rsidP="00180503">
            <w:pPr>
              <w:pStyle w:val="NormalWeb"/>
              <w:rPr>
                <w:sz w:val="18"/>
                <w:szCs w:val="18"/>
              </w:rPr>
            </w:pPr>
            <w:r w:rsidRPr="00B425CC">
              <w:rPr>
                <w:sz w:val="18"/>
                <w:szCs w:val="18"/>
              </w:rPr>
              <w:t>19,976</w:t>
            </w:r>
          </w:p>
        </w:tc>
        <w:tc>
          <w:tcPr>
            <w:tcW w:w="664" w:type="dxa"/>
            <w:hideMark/>
          </w:tcPr>
          <w:p w14:paraId="7B10C4AF" w14:textId="77777777" w:rsidR="00542208" w:rsidRPr="00B425CC" w:rsidRDefault="00542208" w:rsidP="00180503">
            <w:pPr>
              <w:pStyle w:val="NormalWeb"/>
              <w:rPr>
                <w:sz w:val="18"/>
                <w:szCs w:val="18"/>
              </w:rPr>
            </w:pPr>
            <w:r w:rsidRPr="00B425CC">
              <w:rPr>
                <w:sz w:val="18"/>
                <w:szCs w:val="18"/>
              </w:rPr>
              <w:t>53</w:t>
            </w:r>
          </w:p>
        </w:tc>
        <w:tc>
          <w:tcPr>
            <w:tcW w:w="664" w:type="dxa"/>
            <w:hideMark/>
          </w:tcPr>
          <w:p w14:paraId="4D567831" w14:textId="77777777" w:rsidR="00542208" w:rsidRPr="00B425CC" w:rsidRDefault="00542208" w:rsidP="00180503">
            <w:pPr>
              <w:pStyle w:val="NormalWeb"/>
              <w:rPr>
                <w:sz w:val="18"/>
                <w:szCs w:val="18"/>
              </w:rPr>
            </w:pPr>
            <w:r w:rsidRPr="00B425CC">
              <w:rPr>
                <w:sz w:val="18"/>
                <w:szCs w:val="18"/>
              </w:rPr>
              <w:t>3,548</w:t>
            </w:r>
          </w:p>
        </w:tc>
        <w:tc>
          <w:tcPr>
            <w:tcW w:w="663" w:type="dxa"/>
            <w:hideMark/>
          </w:tcPr>
          <w:p w14:paraId="094DCB24" w14:textId="77777777" w:rsidR="00542208" w:rsidRPr="00B425CC" w:rsidRDefault="00542208" w:rsidP="00180503">
            <w:pPr>
              <w:pStyle w:val="NormalWeb"/>
              <w:rPr>
                <w:sz w:val="18"/>
                <w:szCs w:val="18"/>
              </w:rPr>
            </w:pPr>
            <w:r w:rsidRPr="00B425CC">
              <w:rPr>
                <w:sz w:val="18"/>
                <w:szCs w:val="18"/>
              </w:rPr>
              <w:t>9</w:t>
            </w:r>
          </w:p>
        </w:tc>
        <w:tc>
          <w:tcPr>
            <w:tcW w:w="664" w:type="dxa"/>
            <w:hideMark/>
          </w:tcPr>
          <w:p w14:paraId="0876E7AB" w14:textId="77777777" w:rsidR="00542208" w:rsidRPr="00B425CC" w:rsidRDefault="00542208" w:rsidP="00180503">
            <w:pPr>
              <w:pStyle w:val="NormalWeb"/>
              <w:rPr>
                <w:sz w:val="18"/>
                <w:szCs w:val="18"/>
              </w:rPr>
            </w:pPr>
            <w:r w:rsidRPr="00B425CC">
              <w:rPr>
                <w:sz w:val="18"/>
                <w:szCs w:val="18"/>
              </w:rPr>
              <w:t>2,142</w:t>
            </w:r>
          </w:p>
        </w:tc>
        <w:tc>
          <w:tcPr>
            <w:tcW w:w="664" w:type="dxa"/>
            <w:hideMark/>
          </w:tcPr>
          <w:p w14:paraId="54A23874" w14:textId="77777777" w:rsidR="00542208" w:rsidRPr="00B425CC" w:rsidRDefault="00542208" w:rsidP="00180503">
            <w:pPr>
              <w:pStyle w:val="NormalWeb"/>
              <w:rPr>
                <w:sz w:val="18"/>
                <w:szCs w:val="18"/>
              </w:rPr>
            </w:pPr>
            <w:r w:rsidRPr="00B425CC">
              <w:rPr>
                <w:sz w:val="18"/>
                <w:szCs w:val="18"/>
              </w:rPr>
              <w:t>6</w:t>
            </w:r>
          </w:p>
        </w:tc>
        <w:tc>
          <w:tcPr>
            <w:tcW w:w="664" w:type="dxa"/>
            <w:hideMark/>
          </w:tcPr>
          <w:p w14:paraId="6E5C8FDB" w14:textId="77777777" w:rsidR="00542208" w:rsidRPr="00B425CC" w:rsidRDefault="00542208" w:rsidP="00180503">
            <w:pPr>
              <w:pStyle w:val="NormalWeb"/>
              <w:rPr>
                <w:sz w:val="18"/>
                <w:szCs w:val="18"/>
              </w:rPr>
            </w:pPr>
            <w:r w:rsidRPr="00B425CC">
              <w:rPr>
                <w:sz w:val="18"/>
                <w:szCs w:val="18"/>
              </w:rPr>
              <w:t>32,112</w:t>
            </w:r>
          </w:p>
        </w:tc>
        <w:tc>
          <w:tcPr>
            <w:tcW w:w="664" w:type="dxa"/>
            <w:hideMark/>
          </w:tcPr>
          <w:p w14:paraId="7007BCF7" w14:textId="77777777" w:rsidR="00542208" w:rsidRPr="00B425CC" w:rsidRDefault="00542208" w:rsidP="00180503">
            <w:pPr>
              <w:pStyle w:val="NormalWeb"/>
              <w:rPr>
                <w:sz w:val="18"/>
                <w:szCs w:val="18"/>
              </w:rPr>
            </w:pPr>
            <w:r w:rsidRPr="00B425CC">
              <w:rPr>
                <w:sz w:val="18"/>
                <w:szCs w:val="18"/>
              </w:rPr>
              <w:t>85</w:t>
            </w:r>
          </w:p>
        </w:tc>
      </w:tr>
      <w:tr w:rsidR="00542208" w:rsidRPr="00B425CC" w14:paraId="269ADC68" w14:textId="77777777" w:rsidTr="00542208">
        <w:trPr>
          <w:cnfStyle w:val="000000010000" w:firstRow="0" w:lastRow="0" w:firstColumn="0" w:lastColumn="0" w:oddVBand="0" w:evenVBand="0" w:oddHBand="0" w:evenHBand="1" w:firstRowFirstColumn="0" w:firstRowLastColumn="0" w:lastRowFirstColumn="0" w:lastRowLastColumn="0"/>
          <w:divId w:val="1330868351"/>
        </w:trPr>
        <w:tc>
          <w:tcPr>
            <w:tcW w:w="1276" w:type="dxa"/>
            <w:hideMark/>
          </w:tcPr>
          <w:p w14:paraId="5816DC4B" w14:textId="4F384CDB" w:rsidR="00542208" w:rsidRPr="00B425CC" w:rsidRDefault="00542208" w:rsidP="00542208">
            <w:pPr>
              <w:pStyle w:val="NormalWeb"/>
              <w:jc w:val="left"/>
              <w:rPr>
                <w:sz w:val="18"/>
                <w:szCs w:val="18"/>
              </w:rPr>
            </w:pPr>
            <w:r w:rsidRPr="00B425CC">
              <w:rPr>
                <w:sz w:val="18"/>
                <w:szCs w:val="18"/>
              </w:rPr>
              <w:t>Private IGRAs</w:t>
            </w:r>
            <w:r>
              <w:rPr>
                <w:sz w:val="18"/>
                <w:szCs w:val="18"/>
              </w:rPr>
              <w:t xml:space="preserve"> </w:t>
            </w:r>
            <w:r w:rsidRPr="00542208">
              <w:rPr>
                <w:sz w:val="18"/>
                <w:szCs w:val="18"/>
                <w:vertAlign w:val="superscript"/>
              </w:rPr>
              <w:t>d</w:t>
            </w:r>
          </w:p>
        </w:tc>
        <w:tc>
          <w:tcPr>
            <w:tcW w:w="709" w:type="dxa"/>
            <w:hideMark/>
          </w:tcPr>
          <w:p w14:paraId="000E2029" w14:textId="77777777" w:rsidR="00542208" w:rsidRPr="00B425CC" w:rsidRDefault="00542208" w:rsidP="00180503">
            <w:pPr>
              <w:pStyle w:val="NormalWeb"/>
              <w:rPr>
                <w:sz w:val="18"/>
                <w:szCs w:val="18"/>
              </w:rPr>
            </w:pPr>
            <w:r w:rsidRPr="00B425CC">
              <w:rPr>
                <w:sz w:val="18"/>
                <w:szCs w:val="18"/>
              </w:rPr>
              <w:t>31,656</w:t>
            </w:r>
          </w:p>
        </w:tc>
        <w:tc>
          <w:tcPr>
            <w:tcW w:w="1134" w:type="dxa"/>
            <w:hideMark/>
          </w:tcPr>
          <w:p w14:paraId="38F4827D" w14:textId="77777777" w:rsidR="00542208" w:rsidRPr="00B425CC" w:rsidRDefault="00542208" w:rsidP="00180503">
            <w:pPr>
              <w:pStyle w:val="NormalWeb"/>
              <w:rPr>
                <w:sz w:val="18"/>
                <w:szCs w:val="18"/>
              </w:rPr>
            </w:pPr>
            <w:r w:rsidRPr="00B425CC">
              <w:rPr>
                <w:sz w:val="18"/>
                <w:szCs w:val="18"/>
              </w:rPr>
              <w:t>6,331</w:t>
            </w:r>
          </w:p>
        </w:tc>
        <w:tc>
          <w:tcPr>
            <w:tcW w:w="709" w:type="dxa"/>
            <w:hideMark/>
          </w:tcPr>
          <w:p w14:paraId="173EB4BB" w14:textId="77777777" w:rsidR="00542208" w:rsidRPr="00B425CC" w:rsidRDefault="00542208" w:rsidP="00180503">
            <w:pPr>
              <w:pStyle w:val="NormalWeb"/>
              <w:rPr>
                <w:sz w:val="18"/>
                <w:szCs w:val="18"/>
              </w:rPr>
            </w:pPr>
            <w:r w:rsidRPr="00B425CC">
              <w:rPr>
                <w:sz w:val="18"/>
                <w:szCs w:val="18"/>
              </w:rPr>
              <w:t>36</w:t>
            </w:r>
          </w:p>
        </w:tc>
        <w:tc>
          <w:tcPr>
            <w:tcW w:w="663" w:type="dxa"/>
            <w:hideMark/>
          </w:tcPr>
          <w:p w14:paraId="5BA81757" w14:textId="77777777" w:rsidR="00542208" w:rsidRPr="00B425CC" w:rsidRDefault="00542208" w:rsidP="00180503">
            <w:pPr>
              <w:pStyle w:val="NormalWeb"/>
              <w:rPr>
                <w:sz w:val="18"/>
                <w:szCs w:val="18"/>
              </w:rPr>
            </w:pPr>
            <w:r w:rsidRPr="00B425CC">
              <w:rPr>
                <w:sz w:val="18"/>
                <w:szCs w:val="18"/>
              </w:rPr>
              <w:t>13,530</w:t>
            </w:r>
          </w:p>
        </w:tc>
        <w:tc>
          <w:tcPr>
            <w:tcW w:w="664" w:type="dxa"/>
            <w:hideMark/>
          </w:tcPr>
          <w:p w14:paraId="5A94414A" w14:textId="77777777" w:rsidR="00542208" w:rsidRPr="00B425CC" w:rsidRDefault="00542208" w:rsidP="00180503">
            <w:pPr>
              <w:pStyle w:val="NormalWeb"/>
              <w:rPr>
                <w:sz w:val="18"/>
                <w:szCs w:val="18"/>
              </w:rPr>
            </w:pPr>
            <w:r w:rsidRPr="00B425CC">
              <w:rPr>
                <w:sz w:val="18"/>
                <w:szCs w:val="18"/>
              </w:rPr>
              <w:t>43</w:t>
            </w:r>
          </w:p>
        </w:tc>
        <w:tc>
          <w:tcPr>
            <w:tcW w:w="664" w:type="dxa"/>
            <w:hideMark/>
          </w:tcPr>
          <w:p w14:paraId="0499A82D" w14:textId="77777777" w:rsidR="00542208" w:rsidRPr="00B425CC" w:rsidRDefault="00542208" w:rsidP="00180503">
            <w:pPr>
              <w:pStyle w:val="NormalWeb"/>
              <w:rPr>
                <w:sz w:val="18"/>
                <w:szCs w:val="18"/>
              </w:rPr>
            </w:pPr>
            <w:r w:rsidRPr="00B425CC">
              <w:rPr>
                <w:sz w:val="18"/>
                <w:szCs w:val="18"/>
              </w:rPr>
              <w:t>18,126</w:t>
            </w:r>
          </w:p>
        </w:tc>
        <w:tc>
          <w:tcPr>
            <w:tcW w:w="664" w:type="dxa"/>
            <w:hideMark/>
          </w:tcPr>
          <w:p w14:paraId="15D5763B" w14:textId="77777777" w:rsidR="00542208" w:rsidRPr="00B425CC" w:rsidRDefault="00542208" w:rsidP="00180503">
            <w:pPr>
              <w:pStyle w:val="NormalWeb"/>
              <w:rPr>
                <w:sz w:val="18"/>
                <w:szCs w:val="18"/>
              </w:rPr>
            </w:pPr>
            <w:r w:rsidRPr="00B425CC">
              <w:rPr>
                <w:sz w:val="18"/>
                <w:szCs w:val="18"/>
              </w:rPr>
              <w:t>57</w:t>
            </w:r>
          </w:p>
        </w:tc>
        <w:tc>
          <w:tcPr>
            <w:tcW w:w="664" w:type="dxa"/>
            <w:hideMark/>
          </w:tcPr>
          <w:p w14:paraId="39256B88" w14:textId="77777777" w:rsidR="00542208" w:rsidRPr="00B425CC" w:rsidRDefault="00542208" w:rsidP="00180503">
            <w:pPr>
              <w:pStyle w:val="NormalWeb"/>
              <w:rPr>
                <w:sz w:val="18"/>
                <w:szCs w:val="18"/>
              </w:rPr>
            </w:pPr>
            <w:r w:rsidRPr="00B425CC">
              <w:rPr>
                <w:sz w:val="18"/>
                <w:szCs w:val="18"/>
              </w:rPr>
              <w:t>1,789</w:t>
            </w:r>
          </w:p>
        </w:tc>
        <w:tc>
          <w:tcPr>
            <w:tcW w:w="663" w:type="dxa"/>
            <w:hideMark/>
          </w:tcPr>
          <w:p w14:paraId="6B9B1FCA" w14:textId="77777777" w:rsidR="00542208" w:rsidRPr="00B425CC" w:rsidRDefault="00542208" w:rsidP="00180503">
            <w:pPr>
              <w:pStyle w:val="NormalWeb"/>
              <w:rPr>
                <w:sz w:val="18"/>
                <w:szCs w:val="18"/>
              </w:rPr>
            </w:pPr>
            <w:r w:rsidRPr="00B425CC">
              <w:rPr>
                <w:sz w:val="18"/>
                <w:szCs w:val="18"/>
              </w:rPr>
              <w:t>6</w:t>
            </w:r>
          </w:p>
        </w:tc>
        <w:tc>
          <w:tcPr>
            <w:tcW w:w="664" w:type="dxa"/>
            <w:hideMark/>
          </w:tcPr>
          <w:p w14:paraId="391F6AFD" w14:textId="77777777" w:rsidR="00542208" w:rsidRPr="00B425CC" w:rsidRDefault="00542208" w:rsidP="00180503">
            <w:pPr>
              <w:pStyle w:val="NormalWeb"/>
              <w:rPr>
                <w:sz w:val="18"/>
                <w:szCs w:val="18"/>
              </w:rPr>
            </w:pPr>
            <w:r w:rsidRPr="00B425CC">
              <w:rPr>
                <w:sz w:val="18"/>
                <w:szCs w:val="18"/>
              </w:rPr>
              <w:t>517</w:t>
            </w:r>
          </w:p>
        </w:tc>
        <w:tc>
          <w:tcPr>
            <w:tcW w:w="664" w:type="dxa"/>
            <w:hideMark/>
          </w:tcPr>
          <w:p w14:paraId="05584740" w14:textId="77777777" w:rsidR="00542208" w:rsidRPr="00B425CC" w:rsidRDefault="00542208" w:rsidP="00180503">
            <w:pPr>
              <w:pStyle w:val="NormalWeb"/>
              <w:rPr>
                <w:sz w:val="18"/>
                <w:szCs w:val="18"/>
              </w:rPr>
            </w:pPr>
            <w:r w:rsidRPr="00B425CC">
              <w:rPr>
                <w:sz w:val="18"/>
                <w:szCs w:val="18"/>
              </w:rPr>
              <w:t>2</w:t>
            </w:r>
          </w:p>
        </w:tc>
        <w:tc>
          <w:tcPr>
            <w:tcW w:w="664" w:type="dxa"/>
            <w:hideMark/>
          </w:tcPr>
          <w:p w14:paraId="26B225D6" w14:textId="77777777" w:rsidR="00542208" w:rsidRPr="00B425CC" w:rsidRDefault="00542208" w:rsidP="00180503">
            <w:pPr>
              <w:pStyle w:val="NormalWeb"/>
              <w:rPr>
                <w:sz w:val="18"/>
                <w:szCs w:val="18"/>
              </w:rPr>
            </w:pPr>
            <w:r w:rsidRPr="00B425CC">
              <w:rPr>
                <w:sz w:val="18"/>
                <w:szCs w:val="18"/>
              </w:rPr>
              <w:t>29,350</w:t>
            </w:r>
          </w:p>
        </w:tc>
        <w:tc>
          <w:tcPr>
            <w:tcW w:w="664" w:type="dxa"/>
            <w:hideMark/>
          </w:tcPr>
          <w:p w14:paraId="1B625671" w14:textId="77777777" w:rsidR="00542208" w:rsidRPr="00B425CC" w:rsidRDefault="00542208" w:rsidP="00180503">
            <w:pPr>
              <w:pStyle w:val="NormalWeb"/>
              <w:rPr>
                <w:sz w:val="18"/>
                <w:szCs w:val="18"/>
              </w:rPr>
            </w:pPr>
            <w:r w:rsidRPr="00B425CC">
              <w:rPr>
                <w:sz w:val="18"/>
                <w:szCs w:val="18"/>
              </w:rPr>
              <w:t>92</w:t>
            </w:r>
          </w:p>
        </w:tc>
      </w:tr>
      <w:tr w:rsidR="00542208" w:rsidRPr="00B425CC" w14:paraId="6AF7D9A8" w14:textId="77777777" w:rsidTr="00542208">
        <w:trPr>
          <w:divId w:val="1330868351"/>
        </w:trPr>
        <w:tc>
          <w:tcPr>
            <w:tcW w:w="1276" w:type="dxa"/>
            <w:tcBorders>
              <w:bottom w:val="single" w:sz="2" w:space="0" w:color="808080" w:themeColor="background1" w:themeShade="80"/>
            </w:tcBorders>
            <w:hideMark/>
          </w:tcPr>
          <w:p w14:paraId="1E0653D5" w14:textId="77777777" w:rsidR="00542208" w:rsidRPr="00B425CC" w:rsidRDefault="00542208" w:rsidP="00542208">
            <w:pPr>
              <w:pStyle w:val="NormalWeb"/>
              <w:jc w:val="left"/>
              <w:rPr>
                <w:sz w:val="18"/>
                <w:szCs w:val="18"/>
              </w:rPr>
            </w:pPr>
            <w:r w:rsidRPr="00B425CC">
              <w:rPr>
                <w:sz w:val="18"/>
                <w:szCs w:val="18"/>
              </w:rPr>
              <w:t>Combined</w:t>
            </w:r>
          </w:p>
        </w:tc>
        <w:tc>
          <w:tcPr>
            <w:tcW w:w="709" w:type="dxa"/>
            <w:tcBorders>
              <w:bottom w:val="single" w:sz="2" w:space="0" w:color="808080" w:themeColor="background1" w:themeShade="80"/>
            </w:tcBorders>
            <w:hideMark/>
          </w:tcPr>
          <w:p w14:paraId="73CAC1E1" w14:textId="77777777" w:rsidR="00542208" w:rsidRPr="00B425CC" w:rsidRDefault="00542208" w:rsidP="00180503">
            <w:pPr>
              <w:pStyle w:val="NormalWeb"/>
              <w:rPr>
                <w:sz w:val="18"/>
                <w:szCs w:val="18"/>
              </w:rPr>
            </w:pPr>
            <w:r w:rsidRPr="00B425CC">
              <w:rPr>
                <w:sz w:val="18"/>
                <w:szCs w:val="18"/>
              </w:rPr>
              <w:t>78,820</w:t>
            </w:r>
          </w:p>
        </w:tc>
        <w:tc>
          <w:tcPr>
            <w:tcW w:w="1134" w:type="dxa"/>
            <w:tcBorders>
              <w:bottom w:val="single" w:sz="2" w:space="0" w:color="808080" w:themeColor="background1" w:themeShade="80"/>
            </w:tcBorders>
            <w:hideMark/>
          </w:tcPr>
          <w:p w14:paraId="447CDB16" w14:textId="77777777" w:rsidR="00542208" w:rsidRPr="00B425CC" w:rsidRDefault="00542208" w:rsidP="00180503">
            <w:pPr>
              <w:pStyle w:val="NormalWeb"/>
              <w:rPr>
                <w:sz w:val="18"/>
                <w:szCs w:val="18"/>
              </w:rPr>
            </w:pPr>
            <w:r w:rsidRPr="00B425CC">
              <w:rPr>
                <w:sz w:val="18"/>
                <w:szCs w:val="18"/>
              </w:rPr>
              <w:t>15,764</w:t>
            </w:r>
          </w:p>
        </w:tc>
        <w:tc>
          <w:tcPr>
            <w:tcW w:w="709" w:type="dxa"/>
            <w:tcBorders>
              <w:bottom w:val="single" w:sz="2" w:space="0" w:color="808080" w:themeColor="background1" w:themeShade="80"/>
            </w:tcBorders>
            <w:hideMark/>
          </w:tcPr>
          <w:p w14:paraId="04EDA8B2" w14:textId="77777777" w:rsidR="00542208" w:rsidRPr="00B425CC" w:rsidRDefault="00542208" w:rsidP="00180503">
            <w:pPr>
              <w:pStyle w:val="NormalWeb"/>
              <w:rPr>
                <w:sz w:val="18"/>
                <w:szCs w:val="18"/>
              </w:rPr>
            </w:pPr>
            <w:r w:rsidRPr="00B425CC">
              <w:rPr>
                <w:sz w:val="18"/>
                <w:szCs w:val="18"/>
              </w:rPr>
              <w:t>31</w:t>
            </w:r>
          </w:p>
        </w:tc>
        <w:tc>
          <w:tcPr>
            <w:tcW w:w="663" w:type="dxa"/>
            <w:tcBorders>
              <w:bottom w:val="single" w:sz="2" w:space="0" w:color="808080" w:themeColor="background1" w:themeShade="80"/>
            </w:tcBorders>
            <w:hideMark/>
          </w:tcPr>
          <w:p w14:paraId="2C6D7601" w14:textId="77777777" w:rsidR="00542208" w:rsidRPr="00B425CC" w:rsidRDefault="00542208" w:rsidP="00180503">
            <w:pPr>
              <w:pStyle w:val="NormalWeb"/>
              <w:rPr>
                <w:sz w:val="18"/>
                <w:szCs w:val="18"/>
              </w:rPr>
            </w:pPr>
            <w:r w:rsidRPr="00B425CC">
              <w:rPr>
                <w:sz w:val="18"/>
                <w:szCs w:val="18"/>
              </w:rPr>
              <w:t>34,216</w:t>
            </w:r>
          </w:p>
        </w:tc>
        <w:tc>
          <w:tcPr>
            <w:tcW w:w="664" w:type="dxa"/>
            <w:tcBorders>
              <w:bottom w:val="single" w:sz="2" w:space="0" w:color="808080" w:themeColor="background1" w:themeShade="80"/>
            </w:tcBorders>
            <w:hideMark/>
          </w:tcPr>
          <w:p w14:paraId="7E54C6D2" w14:textId="77777777" w:rsidR="00542208" w:rsidRPr="00B425CC" w:rsidRDefault="00542208" w:rsidP="00180503">
            <w:pPr>
              <w:pStyle w:val="NormalWeb"/>
              <w:rPr>
                <w:sz w:val="18"/>
                <w:szCs w:val="18"/>
              </w:rPr>
            </w:pPr>
            <w:r w:rsidRPr="00B425CC">
              <w:rPr>
                <w:sz w:val="18"/>
                <w:szCs w:val="18"/>
              </w:rPr>
              <w:t>43</w:t>
            </w:r>
          </w:p>
        </w:tc>
        <w:tc>
          <w:tcPr>
            <w:tcW w:w="664" w:type="dxa"/>
            <w:tcBorders>
              <w:bottom w:val="single" w:sz="2" w:space="0" w:color="808080" w:themeColor="background1" w:themeShade="80"/>
            </w:tcBorders>
            <w:hideMark/>
          </w:tcPr>
          <w:p w14:paraId="155C6AEA" w14:textId="77777777" w:rsidR="00542208" w:rsidRPr="00B425CC" w:rsidRDefault="00542208" w:rsidP="00180503">
            <w:pPr>
              <w:pStyle w:val="NormalWeb"/>
              <w:rPr>
                <w:sz w:val="18"/>
                <w:szCs w:val="18"/>
              </w:rPr>
            </w:pPr>
            <w:r w:rsidRPr="00B425CC">
              <w:rPr>
                <w:sz w:val="18"/>
                <w:szCs w:val="18"/>
              </w:rPr>
              <w:t>44,604</w:t>
            </w:r>
          </w:p>
        </w:tc>
        <w:tc>
          <w:tcPr>
            <w:tcW w:w="664" w:type="dxa"/>
            <w:tcBorders>
              <w:bottom w:val="single" w:sz="2" w:space="0" w:color="808080" w:themeColor="background1" w:themeShade="80"/>
            </w:tcBorders>
            <w:hideMark/>
          </w:tcPr>
          <w:p w14:paraId="157E59F8" w14:textId="77777777" w:rsidR="00542208" w:rsidRPr="00B425CC" w:rsidRDefault="00542208" w:rsidP="00180503">
            <w:pPr>
              <w:pStyle w:val="NormalWeb"/>
              <w:rPr>
                <w:sz w:val="18"/>
                <w:szCs w:val="18"/>
              </w:rPr>
            </w:pPr>
            <w:r w:rsidRPr="00B425CC">
              <w:rPr>
                <w:sz w:val="18"/>
                <w:szCs w:val="18"/>
              </w:rPr>
              <w:t>57</w:t>
            </w:r>
          </w:p>
        </w:tc>
        <w:tc>
          <w:tcPr>
            <w:tcW w:w="664" w:type="dxa"/>
            <w:tcBorders>
              <w:bottom w:val="single" w:sz="2" w:space="0" w:color="808080" w:themeColor="background1" w:themeShade="80"/>
            </w:tcBorders>
            <w:hideMark/>
          </w:tcPr>
          <w:p w14:paraId="2B4E3318" w14:textId="77777777" w:rsidR="00542208" w:rsidRPr="00B425CC" w:rsidRDefault="00542208" w:rsidP="00180503">
            <w:pPr>
              <w:pStyle w:val="NormalWeb"/>
              <w:rPr>
                <w:sz w:val="18"/>
                <w:szCs w:val="18"/>
              </w:rPr>
            </w:pPr>
            <w:r w:rsidRPr="00B425CC">
              <w:rPr>
                <w:sz w:val="18"/>
                <w:szCs w:val="18"/>
              </w:rPr>
              <w:t>7,105</w:t>
            </w:r>
          </w:p>
        </w:tc>
        <w:tc>
          <w:tcPr>
            <w:tcW w:w="663" w:type="dxa"/>
            <w:tcBorders>
              <w:bottom w:val="single" w:sz="2" w:space="0" w:color="808080" w:themeColor="background1" w:themeShade="80"/>
            </w:tcBorders>
            <w:hideMark/>
          </w:tcPr>
          <w:p w14:paraId="720AFBCE" w14:textId="77777777" w:rsidR="00542208" w:rsidRPr="00B425CC" w:rsidRDefault="00542208" w:rsidP="00180503">
            <w:pPr>
              <w:pStyle w:val="NormalWeb"/>
              <w:rPr>
                <w:sz w:val="18"/>
                <w:szCs w:val="18"/>
              </w:rPr>
            </w:pPr>
            <w:r w:rsidRPr="00B425CC">
              <w:rPr>
                <w:sz w:val="18"/>
                <w:szCs w:val="18"/>
              </w:rPr>
              <w:t>9</w:t>
            </w:r>
          </w:p>
        </w:tc>
        <w:tc>
          <w:tcPr>
            <w:tcW w:w="664" w:type="dxa"/>
            <w:tcBorders>
              <w:bottom w:val="single" w:sz="2" w:space="0" w:color="808080" w:themeColor="background1" w:themeShade="80"/>
            </w:tcBorders>
            <w:hideMark/>
          </w:tcPr>
          <w:p w14:paraId="2A6AF0BE" w14:textId="77777777" w:rsidR="00542208" w:rsidRPr="00B425CC" w:rsidRDefault="00542208" w:rsidP="00180503">
            <w:pPr>
              <w:pStyle w:val="NormalWeb"/>
              <w:rPr>
                <w:sz w:val="18"/>
                <w:szCs w:val="18"/>
              </w:rPr>
            </w:pPr>
            <w:r w:rsidRPr="00B425CC">
              <w:rPr>
                <w:sz w:val="18"/>
                <w:szCs w:val="18"/>
              </w:rPr>
              <w:t>2,659</w:t>
            </w:r>
          </w:p>
        </w:tc>
        <w:tc>
          <w:tcPr>
            <w:tcW w:w="664" w:type="dxa"/>
            <w:tcBorders>
              <w:bottom w:val="single" w:sz="2" w:space="0" w:color="808080" w:themeColor="background1" w:themeShade="80"/>
            </w:tcBorders>
            <w:hideMark/>
          </w:tcPr>
          <w:p w14:paraId="63A279DF" w14:textId="77777777" w:rsidR="00542208" w:rsidRPr="00B425CC" w:rsidRDefault="00542208" w:rsidP="00180503">
            <w:pPr>
              <w:pStyle w:val="NormalWeb"/>
              <w:rPr>
                <w:sz w:val="18"/>
                <w:szCs w:val="18"/>
              </w:rPr>
            </w:pPr>
            <w:r w:rsidRPr="00B425CC">
              <w:rPr>
                <w:sz w:val="18"/>
                <w:szCs w:val="18"/>
              </w:rPr>
              <w:t>3</w:t>
            </w:r>
          </w:p>
        </w:tc>
        <w:tc>
          <w:tcPr>
            <w:tcW w:w="664" w:type="dxa"/>
            <w:tcBorders>
              <w:bottom w:val="single" w:sz="2" w:space="0" w:color="808080" w:themeColor="background1" w:themeShade="80"/>
            </w:tcBorders>
            <w:hideMark/>
          </w:tcPr>
          <w:p w14:paraId="6B2A3979" w14:textId="77777777" w:rsidR="00542208" w:rsidRPr="00B425CC" w:rsidRDefault="00542208" w:rsidP="00180503">
            <w:pPr>
              <w:pStyle w:val="NormalWeb"/>
              <w:rPr>
                <w:sz w:val="18"/>
                <w:szCs w:val="18"/>
              </w:rPr>
            </w:pPr>
            <w:r w:rsidRPr="00B425CC">
              <w:rPr>
                <w:sz w:val="18"/>
                <w:szCs w:val="18"/>
              </w:rPr>
              <w:t>69,056</w:t>
            </w:r>
          </w:p>
        </w:tc>
        <w:tc>
          <w:tcPr>
            <w:tcW w:w="664" w:type="dxa"/>
            <w:tcBorders>
              <w:bottom w:val="single" w:sz="2" w:space="0" w:color="808080" w:themeColor="background1" w:themeShade="80"/>
            </w:tcBorders>
            <w:hideMark/>
          </w:tcPr>
          <w:p w14:paraId="4DEBD283" w14:textId="77777777" w:rsidR="00542208" w:rsidRPr="00B425CC" w:rsidRDefault="00542208" w:rsidP="00180503">
            <w:pPr>
              <w:pStyle w:val="NormalWeb"/>
              <w:rPr>
                <w:sz w:val="18"/>
                <w:szCs w:val="18"/>
              </w:rPr>
            </w:pPr>
            <w:r w:rsidRPr="00B425CC">
              <w:rPr>
                <w:sz w:val="18"/>
                <w:szCs w:val="18"/>
              </w:rPr>
              <w:t>87</w:t>
            </w:r>
          </w:p>
        </w:tc>
      </w:tr>
    </w:tbl>
    <w:p w14:paraId="3564B7BD" w14:textId="4E7A4978" w:rsidR="00542208" w:rsidRPr="00542208" w:rsidRDefault="00542208" w:rsidP="00542208">
      <w:pPr>
        <w:pStyle w:val="CDIfootnotes"/>
        <w:ind w:left="0" w:firstLine="0"/>
        <w:divId w:val="1330868351"/>
        <w:rPr>
          <w:lang w:val="en-GB"/>
        </w:rPr>
      </w:pPr>
      <w:r>
        <w:rPr>
          <w:lang w:val="en-GB"/>
        </w:rPr>
        <w:t>a</w:t>
      </w:r>
      <w:r>
        <w:rPr>
          <w:lang w:val="en-GB"/>
        </w:rPr>
        <w:tab/>
        <w:t>Public TST data represent one participating TBCU in Northern Queensland.</w:t>
      </w:r>
      <w:r>
        <w:rPr>
          <w:lang w:val="en-GB"/>
        </w:rPr>
        <w:br/>
        <w:t>b</w:t>
      </w:r>
      <w:r>
        <w:rPr>
          <w:lang w:val="en-GB"/>
        </w:rPr>
        <w:tab/>
        <w:t>Private TST data represent one participating private pathology provider in Queensland.</w:t>
      </w:r>
      <w:r>
        <w:rPr>
          <w:lang w:val="en-GB"/>
        </w:rPr>
        <w:br/>
        <w:t>c</w:t>
      </w:r>
      <w:r>
        <w:rPr>
          <w:lang w:val="en-GB"/>
        </w:rPr>
        <w:tab/>
        <w:t>Public IGRA data represent all IGRA tests processed through public laboratory providers in Queensland.</w:t>
      </w:r>
      <w:r>
        <w:rPr>
          <w:lang w:val="en-GB"/>
        </w:rPr>
        <w:br/>
        <w:t>d</w:t>
      </w:r>
      <w:r>
        <w:rPr>
          <w:lang w:val="en-GB"/>
        </w:rPr>
        <w:tab/>
        <w:t>Private IGRA data represent one participating private pathology provider in Queensland.</w:t>
      </w:r>
    </w:p>
    <w:p w14:paraId="5613AB5D" w14:textId="77777777" w:rsidR="00506212" w:rsidRPr="007F00A6" w:rsidRDefault="00506212" w:rsidP="00506212">
      <w:pPr>
        <w:pStyle w:val="CDIFigures"/>
        <w:divId w:val="1330868351"/>
      </w:pPr>
      <w:r w:rsidRPr="007F00A6">
        <w:rPr>
          <w:rStyle w:val="Strong"/>
          <w:b/>
          <w:bCs w:val="0"/>
        </w:rPr>
        <w:t xml:space="preserve">Table 4: Tuberculin skin test results by </w:t>
      </w:r>
      <w:proofErr w:type="gramStart"/>
      <w:r w:rsidRPr="007F00A6">
        <w:rPr>
          <w:rStyle w:val="Strong"/>
          <w:b/>
          <w:bCs w:val="0"/>
        </w:rPr>
        <w:t>indication</w:t>
      </w:r>
      <w:proofErr w:type="gramEnd"/>
      <w:r w:rsidRPr="007F00A6">
        <w:rPr>
          <w:rStyle w:val="Strong"/>
          <w:b/>
          <w:bCs w:val="0"/>
        </w:rPr>
        <w:t xml:space="preserve"> for screening (n = 3,897) </w:t>
      </w:r>
    </w:p>
    <w:tbl>
      <w:tblPr>
        <w:tblStyle w:val="CDI-StandardTable"/>
        <w:tblW w:w="0" w:type="auto"/>
        <w:tblLook w:val="04A0" w:firstRow="1" w:lastRow="0" w:firstColumn="1" w:lastColumn="0" w:noHBand="0" w:noVBand="1"/>
        <w:tblDescription w:val="Table 4 provides a summary of tuberculin skin test results by the indication for screening. Indications for screening are listed with the associated number of tests, and count and proportion of positive tests. "/>
      </w:tblPr>
      <w:tblGrid>
        <w:gridCol w:w="6804"/>
        <w:gridCol w:w="1276"/>
        <w:gridCol w:w="1134"/>
        <w:gridCol w:w="1226"/>
      </w:tblGrid>
      <w:tr w:rsidR="00506212" w:rsidRPr="0040011A" w14:paraId="1725078A" w14:textId="77777777" w:rsidTr="00506212">
        <w:trPr>
          <w:cnfStyle w:val="100000000000" w:firstRow="1" w:lastRow="0" w:firstColumn="0" w:lastColumn="0" w:oddVBand="0" w:evenVBand="0" w:oddHBand="0" w:evenHBand="0" w:firstRowFirstColumn="0" w:firstRowLastColumn="0" w:lastRowFirstColumn="0" w:lastRowLastColumn="0"/>
          <w:divId w:val="1330868351"/>
          <w:tblHeader/>
        </w:trPr>
        <w:tc>
          <w:tcPr>
            <w:tcW w:w="6804" w:type="dxa"/>
            <w:vMerge w:val="restart"/>
            <w:hideMark/>
          </w:tcPr>
          <w:p w14:paraId="4BA1E8EC" w14:textId="77777777" w:rsidR="00506212" w:rsidRPr="0040011A" w:rsidRDefault="00506212" w:rsidP="00506212">
            <w:pPr>
              <w:pStyle w:val="NormalWeb"/>
              <w:jc w:val="left"/>
              <w:rPr>
                <w:sz w:val="18"/>
                <w:szCs w:val="18"/>
              </w:rPr>
            </w:pPr>
            <w:r w:rsidRPr="0040011A">
              <w:rPr>
                <w:sz w:val="18"/>
                <w:szCs w:val="18"/>
              </w:rPr>
              <w:t xml:space="preserve">Indication for screening </w:t>
            </w:r>
            <w:r w:rsidRPr="0040011A">
              <w:rPr>
                <w:sz w:val="18"/>
                <w:szCs w:val="18"/>
                <w:vertAlign w:val="superscript"/>
              </w:rPr>
              <w:t>a</w:t>
            </w:r>
          </w:p>
        </w:tc>
        <w:tc>
          <w:tcPr>
            <w:tcW w:w="1276" w:type="dxa"/>
            <w:vMerge w:val="restart"/>
            <w:hideMark/>
          </w:tcPr>
          <w:p w14:paraId="1D719348" w14:textId="77777777" w:rsidR="00506212" w:rsidRPr="0040011A" w:rsidRDefault="00506212" w:rsidP="00180503">
            <w:pPr>
              <w:pStyle w:val="NormalWeb"/>
              <w:rPr>
                <w:sz w:val="18"/>
                <w:szCs w:val="18"/>
              </w:rPr>
            </w:pPr>
            <w:r w:rsidRPr="0040011A">
              <w:rPr>
                <w:sz w:val="18"/>
                <w:szCs w:val="18"/>
              </w:rPr>
              <w:t>Tests (n)</w:t>
            </w:r>
          </w:p>
        </w:tc>
        <w:tc>
          <w:tcPr>
            <w:tcW w:w="2360" w:type="dxa"/>
            <w:gridSpan w:val="2"/>
            <w:hideMark/>
          </w:tcPr>
          <w:p w14:paraId="292BFA10" w14:textId="77777777" w:rsidR="00506212" w:rsidRPr="0040011A" w:rsidRDefault="00506212" w:rsidP="00180503">
            <w:pPr>
              <w:pStyle w:val="NormalWeb"/>
              <w:rPr>
                <w:sz w:val="18"/>
                <w:szCs w:val="18"/>
              </w:rPr>
            </w:pPr>
            <w:r w:rsidRPr="0040011A">
              <w:rPr>
                <w:sz w:val="18"/>
                <w:szCs w:val="18"/>
              </w:rPr>
              <w:t>Positive result</w:t>
            </w:r>
          </w:p>
        </w:tc>
      </w:tr>
      <w:tr w:rsidR="00506212" w:rsidRPr="0040011A" w14:paraId="3FAB208A" w14:textId="77777777" w:rsidTr="00506212">
        <w:trPr>
          <w:cnfStyle w:val="100000000000" w:firstRow="1" w:lastRow="0" w:firstColumn="0" w:lastColumn="0" w:oddVBand="0" w:evenVBand="0" w:oddHBand="0" w:evenHBand="0" w:firstRowFirstColumn="0" w:firstRowLastColumn="0" w:lastRowFirstColumn="0" w:lastRowLastColumn="0"/>
          <w:divId w:val="1330868351"/>
          <w:tblHeader/>
        </w:trPr>
        <w:tc>
          <w:tcPr>
            <w:tcW w:w="6804" w:type="dxa"/>
            <w:vMerge/>
            <w:hideMark/>
          </w:tcPr>
          <w:p w14:paraId="029EF6CE" w14:textId="77777777" w:rsidR="00506212" w:rsidRPr="0040011A" w:rsidRDefault="00506212" w:rsidP="00506212">
            <w:pPr>
              <w:rPr>
                <w:sz w:val="18"/>
                <w:szCs w:val="18"/>
              </w:rPr>
            </w:pPr>
          </w:p>
        </w:tc>
        <w:tc>
          <w:tcPr>
            <w:tcW w:w="1276" w:type="dxa"/>
            <w:vMerge/>
            <w:hideMark/>
          </w:tcPr>
          <w:p w14:paraId="276EDCC2" w14:textId="77777777" w:rsidR="00506212" w:rsidRPr="0040011A" w:rsidRDefault="00506212" w:rsidP="00180503">
            <w:pPr>
              <w:rPr>
                <w:sz w:val="18"/>
                <w:szCs w:val="18"/>
              </w:rPr>
            </w:pPr>
          </w:p>
        </w:tc>
        <w:tc>
          <w:tcPr>
            <w:tcW w:w="1134" w:type="dxa"/>
            <w:hideMark/>
          </w:tcPr>
          <w:p w14:paraId="6317C07D" w14:textId="77777777" w:rsidR="00506212" w:rsidRPr="0040011A" w:rsidRDefault="00506212" w:rsidP="00180503">
            <w:pPr>
              <w:pStyle w:val="NormalWeb"/>
              <w:rPr>
                <w:sz w:val="18"/>
                <w:szCs w:val="18"/>
              </w:rPr>
            </w:pPr>
            <w:r w:rsidRPr="0040011A">
              <w:rPr>
                <w:sz w:val="18"/>
                <w:szCs w:val="18"/>
              </w:rPr>
              <w:t>(n)</w:t>
            </w:r>
          </w:p>
        </w:tc>
        <w:tc>
          <w:tcPr>
            <w:tcW w:w="1226" w:type="dxa"/>
            <w:hideMark/>
          </w:tcPr>
          <w:p w14:paraId="21406D3A" w14:textId="77777777" w:rsidR="00506212" w:rsidRPr="0040011A" w:rsidRDefault="00506212" w:rsidP="00180503">
            <w:pPr>
              <w:pStyle w:val="NormalWeb"/>
              <w:rPr>
                <w:sz w:val="18"/>
                <w:szCs w:val="18"/>
              </w:rPr>
            </w:pPr>
            <w:r w:rsidRPr="0040011A">
              <w:rPr>
                <w:sz w:val="18"/>
                <w:szCs w:val="18"/>
              </w:rPr>
              <w:t>(%)</w:t>
            </w:r>
          </w:p>
        </w:tc>
      </w:tr>
      <w:tr w:rsidR="00506212" w:rsidRPr="0040011A" w14:paraId="548F8CEC" w14:textId="77777777" w:rsidTr="00506212">
        <w:trPr>
          <w:divId w:val="1330868351"/>
        </w:trPr>
        <w:tc>
          <w:tcPr>
            <w:tcW w:w="6804" w:type="dxa"/>
            <w:hideMark/>
          </w:tcPr>
          <w:p w14:paraId="230C1923" w14:textId="77777777" w:rsidR="00506212" w:rsidRPr="0040011A" w:rsidRDefault="00506212" w:rsidP="00506212">
            <w:pPr>
              <w:pStyle w:val="NormalWeb"/>
              <w:jc w:val="left"/>
              <w:rPr>
                <w:sz w:val="18"/>
                <w:szCs w:val="18"/>
              </w:rPr>
            </w:pPr>
            <w:r w:rsidRPr="0040011A">
              <w:rPr>
                <w:sz w:val="18"/>
                <w:szCs w:val="18"/>
              </w:rPr>
              <w:t>Contact tracing</w:t>
            </w:r>
          </w:p>
        </w:tc>
        <w:tc>
          <w:tcPr>
            <w:tcW w:w="1276" w:type="dxa"/>
            <w:hideMark/>
          </w:tcPr>
          <w:p w14:paraId="222D26BD" w14:textId="77777777" w:rsidR="00506212" w:rsidRPr="0040011A" w:rsidRDefault="00506212" w:rsidP="00180503">
            <w:pPr>
              <w:pStyle w:val="NormalWeb"/>
              <w:rPr>
                <w:sz w:val="18"/>
                <w:szCs w:val="18"/>
              </w:rPr>
            </w:pPr>
            <w:r w:rsidRPr="0040011A">
              <w:rPr>
                <w:sz w:val="18"/>
                <w:szCs w:val="18"/>
              </w:rPr>
              <w:t>1,707</w:t>
            </w:r>
          </w:p>
        </w:tc>
        <w:tc>
          <w:tcPr>
            <w:tcW w:w="1134" w:type="dxa"/>
            <w:hideMark/>
          </w:tcPr>
          <w:p w14:paraId="3933DE07" w14:textId="77777777" w:rsidR="00506212" w:rsidRPr="0040011A" w:rsidRDefault="00506212" w:rsidP="00180503">
            <w:pPr>
              <w:pStyle w:val="NormalWeb"/>
              <w:rPr>
                <w:sz w:val="18"/>
                <w:szCs w:val="18"/>
              </w:rPr>
            </w:pPr>
            <w:r w:rsidRPr="0040011A">
              <w:rPr>
                <w:sz w:val="18"/>
                <w:szCs w:val="18"/>
              </w:rPr>
              <w:t>373</w:t>
            </w:r>
          </w:p>
        </w:tc>
        <w:tc>
          <w:tcPr>
            <w:tcW w:w="1226" w:type="dxa"/>
            <w:hideMark/>
          </w:tcPr>
          <w:p w14:paraId="15D98352" w14:textId="77777777" w:rsidR="00506212" w:rsidRPr="0040011A" w:rsidRDefault="00506212" w:rsidP="00180503">
            <w:pPr>
              <w:pStyle w:val="NormalWeb"/>
              <w:rPr>
                <w:sz w:val="18"/>
                <w:szCs w:val="18"/>
              </w:rPr>
            </w:pPr>
            <w:r w:rsidRPr="0040011A">
              <w:rPr>
                <w:sz w:val="18"/>
                <w:szCs w:val="18"/>
              </w:rPr>
              <w:t>22</w:t>
            </w:r>
          </w:p>
        </w:tc>
      </w:tr>
      <w:tr w:rsidR="00506212" w:rsidRPr="0040011A" w14:paraId="6A424ADE" w14:textId="77777777" w:rsidTr="00506212">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221E130D" w14:textId="77777777" w:rsidR="00506212" w:rsidRPr="0040011A" w:rsidRDefault="00506212" w:rsidP="00506212">
            <w:pPr>
              <w:pStyle w:val="NormalWeb"/>
              <w:jc w:val="left"/>
              <w:rPr>
                <w:sz w:val="18"/>
                <w:szCs w:val="18"/>
              </w:rPr>
            </w:pPr>
            <w:r w:rsidRPr="0040011A">
              <w:rPr>
                <w:sz w:val="18"/>
                <w:szCs w:val="18"/>
              </w:rPr>
              <w:t>Health care worker</w:t>
            </w:r>
          </w:p>
        </w:tc>
        <w:tc>
          <w:tcPr>
            <w:tcW w:w="1276" w:type="dxa"/>
            <w:hideMark/>
          </w:tcPr>
          <w:p w14:paraId="76CDA0FA" w14:textId="77777777" w:rsidR="00506212" w:rsidRPr="0040011A" w:rsidRDefault="00506212" w:rsidP="00180503">
            <w:pPr>
              <w:pStyle w:val="NormalWeb"/>
              <w:rPr>
                <w:sz w:val="18"/>
                <w:szCs w:val="18"/>
              </w:rPr>
            </w:pPr>
            <w:r w:rsidRPr="0040011A">
              <w:rPr>
                <w:sz w:val="18"/>
                <w:szCs w:val="18"/>
              </w:rPr>
              <w:t>1,153</w:t>
            </w:r>
          </w:p>
        </w:tc>
        <w:tc>
          <w:tcPr>
            <w:tcW w:w="1134" w:type="dxa"/>
            <w:hideMark/>
          </w:tcPr>
          <w:p w14:paraId="49A58D0F" w14:textId="77777777" w:rsidR="00506212" w:rsidRPr="0040011A" w:rsidRDefault="00506212" w:rsidP="00180503">
            <w:pPr>
              <w:pStyle w:val="NormalWeb"/>
              <w:rPr>
                <w:sz w:val="18"/>
                <w:szCs w:val="18"/>
              </w:rPr>
            </w:pPr>
            <w:r w:rsidRPr="0040011A">
              <w:rPr>
                <w:sz w:val="18"/>
                <w:szCs w:val="18"/>
              </w:rPr>
              <w:t>195</w:t>
            </w:r>
          </w:p>
        </w:tc>
        <w:tc>
          <w:tcPr>
            <w:tcW w:w="1226" w:type="dxa"/>
            <w:hideMark/>
          </w:tcPr>
          <w:p w14:paraId="6F214433" w14:textId="77777777" w:rsidR="00506212" w:rsidRPr="0040011A" w:rsidRDefault="00506212" w:rsidP="00180503">
            <w:pPr>
              <w:pStyle w:val="NormalWeb"/>
              <w:rPr>
                <w:sz w:val="18"/>
                <w:szCs w:val="18"/>
              </w:rPr>
            </w:pPr>
            <w:r w:rsidRPr="0040011A">
              <w:rPr>
                <w:sz w:val="18"/>
                <w:szCs w:val="18"/>
              </w:rPr>
              <w:t>17</w:t>
            </w:r>
          </w:p>
        </w:tc>
      </w:tr>
      <w:tr w:rsidR="00506212" w:rsidRPr="0040011A" w14:paraId="7B66C32B" w14:textId="77777777" w:rsidTr="00506212">
        <w:trPr>
          <w:divId w:val="1330868351"/>
        </w:trPr>
        <w:tc>
          <w:tcPr>
            <w:tcW w:w="6804" w:type="dxa"/>
            <w:hideMark/>
          </w:tcPr>
          <w:p w14:paraId="0C3F07AF" w14:textId="77777777" w:rsidR="00506212" w:rsidRPr="0040011A" w:rsidRDefault="00506212" w:rsidP="00506212">
            <w:pPr>
              <w:pStyle w:val="NormalWeb"/>
              <w:jc w:val="left"/>
              <w:rPr>
                <w:sz w:val="18"/>
                <w:szCs w:val="18"/>
              </w:rPr>
            </w:pPr>
            <w:r w:rsidRPr="0040011A">
              <w:rPr>
                <w:sz w:val="18"/>
                <w:szCs w:val="18"/>
              </w:rPr>
              <w:t>Refugee</w:t>
            </w:r>
          </w:p>
        </w:tc>
        <w:tc>
          <w:tcPr>
            <w:tcW w:w="1276" w:type="dxa"/>
            <w:hideMark/>
          </w:tcPr>
          <w:p w14:paraId="691680AA" w14:textId="77777777" w:rsidR="00506212" w:rsidRPr="0040011A" w:rsidRDefault="00506212" w:rsidP="00180503">
            <w:pPr>
              <w:pStyle w:val="NormalWeb"/>
              <w:rPr>
                <w:sz w:val="18"/>
                <w:szCs w:val="18"/>
              </w:rPr>
            </w:pPr>
            <w:r w:rsidRPr="0040011A">
              <w:rPr>
                <w:sz w:val="18"/>
                <w:szCs w:val="18"/>
              </w:rPr>
              <w:t>591</w:t>
            </w:r>
          </w:p>
        </w:tc>
        <w:tc>
          <w:tcPr>
            <w:tcW w:w="1134" w:type="dxa"/>
            <w:hideMark/>
          </w:tcPr>
          <w:p w14:paraId="1F52ED86" w14:textId="77777777" w:rsidR="00506212" w:rsidRPr="0040011A" w:rsidRDefault="00506212" w:rsidP="00180503">
            <w:pPr>
              <w:pStyle w:val="NormalWeb"/>
              <w:rPr>
                <w:sz w:val="18"/>
                <w:szCs w:val="18"/>
              </w:rPr>
            </w:pPr>
            <w:r w:rsidRPr="0040011A">
              <w:rPr>
                <w:sz w:val="18"/>
                <w:szCs w:val="18"/>
              </w:rPr>
              <w:t>311</w:t>
            </w:r>
          </w:p>
        </w:tc>
        <w:tc>
          <w:tcPr>
            <w:tcW w:w="1226" w:type="dxa"/>
            <w:hideMark/>
          </w:tcPr>
          <w:p w14:paraId="4B6EF982" w14:textId="77777777" w:rsidR="00506212" w:rsidRPr="0040011A" w:rsidRDefault="00506212" w:rsidP="00180503">
            <w:pPr>
              <w:pStyle w:val="NormalWeb"/>
              <w:rPr>
                <w:sz w:val="18"/>
                <w:szCs w:val="18"/>
              </w:rPr>
            </w:pPr>
            <w:r w:rsidRPr="0040011A">
              <w:rPr>
                <w:sz w:val="18"/>
                <w:szCs w:val="18"/>
              </w:rPr>
              <w:t>53</w:t>
            </w:r>
          </w:p>
        </w:tc>
      </w:tr>
      <w:tr w:rsidR="00506212" w:rsidRPr="0040011A" w14:paraId="425017C2" w14:textId="77777777" w:rsidTr="00506212">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305A4BBF" w14:textId="77777777" w:rsidR="00506212" w:rsidRPr="0040011A" w:rsidRDefault="00506212" w:rsidP="00506212">
            <w:pPr>
              <w:pStyle w:val="NormalWeb"/>
              <w:jc w:val="left"/>
              <w:rPr>
                <w:sz w:val="18"/>
                <w:szCs w:val="18"/>
              </w:rPr>
            </w:pPr>
            <w:r w:rsidRPr="0040011A">
              <w:rPr>
                <w:sz w:val="18"/>
                <w:szCs w:val="18"/>
              </w:rPr>
              <w:t>Pre BCG vaccination</w:t>
            </w:r>
          </w:p>
        </w:tc>
        <w:tc>
          <w:tcPr>
            <w:tcW w:w="1276" w:type="dxa"/>
            <w:hideMark/>
          </w:tcPr>
          <w:p w14:paraId="1318B36F" w14:textId="77777777" w:rsidR="00506212" w:rsidRPr="0040011A" w:rsidRDefault="00506212" w:rsidP="00180503">
            <w:pPr>
              <w:pStyle w:val="NormalWeb"/>
              <w:rPr>
                <w:sz w:val="18"/>
                <w:szCs w:val="18"/>
              </w:rPr>
            </w:pPr>
            <w:r w:rsidRPr="0040011A">
              <w:rPr>
                <w:sz w:val="18"/>
                <w:szCs w:val="18"/>
              </w:rPr>
              <w:t>281</w:t>
            </w:r>
          </w:p>
        </w:tc>
        <w:tc>
          <w:tcPr>
            <w:tcW w:w="1134" w:type="dxa"/>
            <w:hideMark/>
          </w:tcPr>
          <w:p w14:paraId="35A86305" w14:textId="77777777" w:rsidR="00506212" w:rsidRPr="0040011A" w:rsidRDefault="00506212" w:rsidP="00180503">
            <w:pPr>
              <w:pStyle w:val="NormalWeb"/>
              <w:rPr>
                <w:sz w:val="18"/>
                <w:szCs w:val="18"/>
              </w:rPr>
            </w:pPr>
            <w:r w:rsidRPr="0040011A">
              <w:rPr>
                <w:sz w:val="18"/>
                <w:szCs w:val="18"/>
              </w:rPr>
              <w:t>12</w:t>
            </w:r>
          </w:p>
        </w:tc>
        <w:tc>
          <w:tcPr>
            <w:tcW w:w="1226" w:type="dxa"/>
            <w:hideMark/>
          </w:tcPr>
          <w:p w14:paraId="17EB8B6A" w14:textId="77777777" w:rsidR="00506212" w:rsidRPr="0040011A" w:rsidRDefault="00506212" w:rsidP="00180503">
            <w:pPr>
              <w:pStyle w:val="NormalWeb"/>
              <w:rPr>
                <w:sz w:val="18"/>
                <w:szCs w:val="18"/>
              </w:rPr>
            </w:pPr>
            <w:r w:rsidRPr="0040011A">
              <w:rPr>
                <w:sz w:val="18"/>
                <w:szCs w:val="18"/>
              </w:rPr>
              <w:t>4</w:t>
            </w:r>
          </w:p>
        </w:tc>
      </w:tr>
      <w:tr w:rsidR="00506212" w:rsidRPr="0040011A" w14:paraId="46F81DD7" w14:textId="77777777" w:rsidTr="00506212">
        <w:trPr>
          <w:divId w:val="1330868351"/>
        </w:trPr>
        <w:tc>
          <w:tcPr>
            <w:tcW w:w="6804" w:type="dxa"/>
            <w:hideMark/>
          </w:tcPr>
          <w:p w14:paraId="15AC3470" w14:textId="77777777" w:rsidR="00506212" w:rsidRPr="0040011A" w:rsidRDefault="00506212" w:rsidP="00506212">
            <w:pPr>
              <w:pStyle w:val="NormalWeb"/>
              <w:jc w:val="left"/>
              <w:rPr>
                <w:sz w:val="18"/>
                <w:szCs w:val="18"/>
              </w:rPr>
            </w:pPr>
            <w:r w:rsidRPr="0040011A">
              <w:rPr>
                <w:sz w:val="18"/>
                <w:szCs w:val="18"/>
              </w:rPr>
              <w:t>Traveller</w:t>
            </w:r>
          </w:p>
        </w:tc>
        <w:tc>
          <w:tcPr>
            <w:tcW w:w="1276" w:type="dxa"/>
            <w:hideMark/>
          </w:tcPr>
          <w:p w14:paraId="0A6460B1" w14:textId="77777777" w:rsidR="00506212" w:rsidRPr="0040011A" w:rsidRDefault="00506212" w:rsidP="00180503">
            <w:pPr>
              <w:pStyle w:val="NormalWeb"/>
              <w:rPr>
                <w:sz w:val="18"/>
                <w:szCs w:val="18"/>
              </w:rPr>
            </w:pPr>
            <w:r w:rsidRPr="0040011A">
              <w:rPr>
                <w:sz w:val="18"/>
                <w:szCs w:val="18"/>
              </w:rPr>
              <w:t>64</w:t>
            </w:r>
          </w:p>
        </w:tc>
        <w:tc>
          <w:tcPr>
            <w:tcW w:w="1134" w:type="dxa"/>
            <w:hideMark/>
          </w:tcPr>
          <w:p w14:paraId="47DE1C06" w14:textId="77777777" w:rsidR="00506212" w:rsidRPr="0040011A" w:rsidRDefault="00506212" w:rsidP="00180503">
            <w:pPr>
              <w:pStyle w:val="NormalWeb"/>
              <w:rPr>
                <w:sz w:val="18"/>
                <w:szCs w:val="18"/>
              </w:rPr>
            </w:pPr>
            <w:r w:rsidRPr="0040011A">
              <w:rPr>
                <w:sz w:val="18"/>
                <w:szCs w:val="18"/>
              </w:rPr>
              <w:t>8</w:t>
            </w:r>
          </w:p>
        </w:tc>
        <w:tc>
          <w:tcPr>
            <w:tcW w:w="1226" w:type="dxa"/>
            <w:hideMark/>
          </w:tcPr>
          <w:p w14:paraId="2EE5F516" w14:textId="77777777" w:rsidR="00506212" w:rsidRPr="0040011A" w:rsidRDefault="00506212" w:rsidP="00180503">
            <w:pPr>
              <w:pStyle w:val="NormalWeb"/>
              <w:rPr>
                <w:sz w:val="18"/>
                <w:szCs w:val="18"/>
              </w:rPr>
            </w:pPr>
            <w:r w:rsidRPr="0040011A">
              <w:rPr>
                <w:sz w:val="18"/>
                <w:szCs w:val="18"/>
              </w:rPr>
              <w:t>13</w:t>
            </w:r>
          </w:p>
        </w:tc>
      </w:tr>
      <w:tr w:rsidR="00506212" w:rsidRPr="0040011A" w14:paraId="5772F76C" w14:textId="77777777" w:rsidTr="00506212">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379D9A92" w14:textId="77777777" w:rsidR="00506212" w:rsidRPr="0040011A" w:rsidRDefault="00506212" w:rsidP="00506212">
            <w:pPr>
              <w:pStyle w:val="NormalWeb"/>
              <w:jc w:val="left"/>
              <w:rPr>
                <w:sz w:val="18"/>
                <w:szCs w:val="18"/>
              </w:rPr>
            </w:pPr>
            <w:r w:rsidRPr="0040011A">
              <w:rPr>
                <w:sz w:val="18"/>
                <w:szCs w:val="18"/>
              </w:rPr>
              <w:t>Other</w:t>
            </w:r>
          </w:p>
        </w:tc>
        <w:tc>
          <w:tcPr>
            <w:tcW w:w="1276" w:type="dxa"/>
            <w:hideMark/>
          </w:tcPr>
          <w:p w14:paraId="343FA83C" w14:textId="77777777" w:rsidR="00506212" w:rsidRPr="0040011A" w:rsidRDefault="00506212" w:rsidP="00180503">
            <w:pPr>
              <w:pStyle w:val="NormalWeb"/>
              <w:rPr>
                <w:sz w:val="18"/>
                <w:szCs w:val="18"/>
              </w:rPr>
            </w:pPr>
            <w:r w:rsidRPr="0040011A">
              <w:rPr>
                <w:sz w:val="18"/>
                <w:szCs w:val="18"/>
              </w:rPr>
              <w:t>38</w:t>
            </w:r>
          </w:p>
        </w:tc>
        <w:tc>
          <w:tcPr>
            <w:tcW w:w="1134" w:type="dxa"/>
            <w:hideMark/>
          </w:tcPr>
          <w:p w14:paraId="0925CD6F" w14:textId="77777777" w:rsidR="00506212" w:rsidRPr="0040011A" w:rsidRDefault="00506212" w:rsidP="00180503">
            <w:pPr>
              <w:pStyle w:val="NormalWeb"/>
              <w:rPr>
                <w:sz w:val="18"/>
                <w:szCs w:val="18"/>
              </w:rPr>
            </w:pPr>
            <w:r w:rsidRPr="0040011A">
              <w:rPr>
                <w:sz w:val="18"/>
                <w:szCs w:val="18"/>
              </w:rPr>
              <w:t>5</w:t>
            </w:r>
          </w:p>
        </w:tc>
        <w:tc>
          <w:tcPr>
            <w:tcW w:w="1226" w:type="dxa"/>
            <w:hideMark/>
          </w:tcPr>
          <w:p w14:paraId="0A46C151" w14:textId="77777777" w:rsidR="00506212" w:rsidRPr="0040011A" w:rsidRDefault="00506212" w:rsidP="00180503">
            <w:pPr>
              <w:pStyle w:val="NormalWeb"/>
              <w:rPr>
                <w:sz w:val="18"/>
                <w:szCs w:val="18"/>
              </w:rPr>
            </w:pPr>
            <w:r w:rsidRPr="0040011A">
              <w:rPr>
                <w:sz w:val="18"/>
                <w:szCs w:val="18"/>
              </w:rPr>
              <w:t>13</w:t>
            </w:r>
          </w:p>
        </w:tc>
      </w:tr>
      <w:tr w:rsidR="00506212" w:rsidRPr="0040011A" w14:paraId="76ADAE76" w14:textId="77777777" w:rsidTr="00506212">
        <w:trPr>
          <w:divId w:val="1330868351"/>
        </w:trPr>
        <w:tc>
          <w:tcPr>
            <w:tcW w:w="6804" w:type="dxa"/>
            <w:hideMark/>
          </w:tcPr>
          <w:p w14:paraId="708AD082" w14:textId="77777777" w:rsidR="00506212" w:rsidRPr="0040011A" w:rsidRDefault="00506212" w:rsidP="00506212">
            <w:pPr>
              <w:pStyle w:val="NormalWeb"/>
              <w:jc w:val="left"/>
              <w:rPr>
                <w:sz w:val="18"/>
                <w:szCs w:val="18"/>
              </w:rPr>
            </w:pPr>
            <w:r w:rsidRPr="0040011A">
              <w:rPr>
                <w:sz w:val="18"/>
                <w:szCs w:val="18"/>
              </w:rPr>
              <w:t>TB investigation</w:t>
            </w:r>
          </w:p>
        </w:tc>
        <w:tc>
          <w:tcPr>
            <w:tcW w:w="1276" w:type="dxa"/>
            <w:hideMark/>
          </w:tcPr>
          <w:p w14:paraId="186E091C" w14:textId="77777777" w:rsidR="00506212" w:rsidRPr="0040011A" w:rsidRDefault="00506212" w:rsidP="00180503">
            <w:pPr>
              <w:pStyle w:val="NormalWeb"/>
              <w:rPr>
                <w:sz w:val="18"/>
                <w:szCs w:val="18"/>
              </w:rPr>
            </w:pPr>
            <w:r w:rsidRPr="0040011A">
              <w:rPr>
                <w:sz w:val="18"/>
                <w:szCs w:val="18"/>
              </w:rPr>
              <w:t>22</w:t>
            </w:r>
          </w:p>
        </w:tc>
        <w:tc>
          <w:tcPr>
            <w:tcW w:w="1134" w:type="dxa"/>
            <w:hideMark/>
          </w:tcPr>
          <w:p w14:paraId="506030A4" w14:textId="77777777" w:rsidR="00506212" w:rsidRPr="0040011A" w:rsidRDefault="00506212" w:rsidP="00180503">
            <w:pPr>
              <w:pStyle w:val="NormalWeb"/>
              <w:rPr>
                <w:sz w:val="18"/>
                <w:szCs w:val="18"/>
              </w:rPr>
            </w:pPr>
            <w:r w:rsidRPr="0040011A">
              <w:rPr>
                <w:sz w:val="18"/>
                <w:szCs w:val="18"/>
              </w:rPr>
              <w:t>6</w:t>
            </w:r>
          </w:p>
        </w:tc>
        <w:tc>
          <w:tcPr>
            <w:tcW w:w="1226" w:type="dxa"/>
            <w:hideMark/>
          </w:tcPr>
          <w:p w14:paraId="1536E9A2" w14:textId="77777777" w:rsidR="00506212" w:rsidRPr="0040011A" w:rsidRDefault="00506212" w:rsidP="00180503">
            <w:pPr>
              <w:pStyle w:val="NormalWeb"/>
              <w:rPr>
                <w:sz w:val="18"/>
                <w:szCs w:val="18"/>
              </w:rPr>
            </w:pPr>
            <w:r w:rsidRPr="0040011A">
              <w:rPr>
                <w:sz w:val="18"/>
                <w:szCs w:val="18"/>
              </w:rPr>
              <w:t>27</w:t>
            </w:r>
          </w:p>
        </w:tc>
      </w:tr>
      <w:tr w:rsidR="00506212" w:rsidRPr="0040011A" w14:paraId="7EEE1955" w14:textId="77777777" w:rsidTr="00506212">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000AD111" w14:textId="77777777" w:rsidR="00506212" w:rsidRPr="0040011A" w:rsidRDefault="00506212" w:rsidP="00506212">
            <w:pPr>
              <w:pStyle w:val="NormalWeb"/>
              <w:jc w:val="left"/>
              <w:rPr>
                <w:sz w:val="18"/>
                <w:szCs w:val="18"/>
              </w:rPr>
            </w:pPr>
            <w:r w:rsidRPr="0040011A">
              <w:rPr>
                <w:sz w:val="18"/>
                <w:szCs w:val="18"/>
              </w:rPr>
              <w:t>Rheumatology</w:t>
            </w:r>
          </w:p>
        </w:tc>
        <w:tc>
          <w:tcPr>
            <w:tcW w:w="1276" w:type="dxa"/>
            <w:hideMark/>
          </w:tcPr>
          <w:p w14:paraId="3A0337BE" w14:textId="77777777" w:rsidR="00506212" w:rsidRPr="0040011A" w:rsidRDefault="00506212" w:rsidP="00180503">
            <w:pPr>
              <w:pStyle w:val="NormalWeb"/>
              <w:rPr>
                <w:sz w:val="18"/>
                <w:szCs w:val="18"/>
              </w:rPr>
            </w:pPr>
            <w:r w:rsidRPr="0040011A">
              <w:rPr>
                <w:sz w:val="18"/>
                <w:szCs w:val="18"/>
              </w:rPr>
              <w:t>21</w:t>
            </w:r>
          </w:p>
        </w:tc>
        <w:tc>
          <w:tcPr>
            <w:tcW w:w="1134" w:type="dxa"/>
            <w:hideMark/>
          </w:tcPr>
          <w:p w14:paraId="287E4134" w14:textId="77777777" w:rsidR="00506212" w:rsidRPr="0040011A" w:rsidRDefault="00506212" w:rsidP="00180503">
            <w:pPr>
              <w:pStyle w:val="NormalWeb"/>
              <w:rPr>
                <w:sz w:val="18"/>
                <w:szCs w:val="18"/>
              </w:rPr>
            </w:pPr>
            <w:r w:rsidRPr="0040011A">
              <w:rPr>
                <w:sz w:val="18"/>
                <w:szCs w:val="18"/>
              </w:rPr>
              <w:t>7</w:t>
            </w:r>
          </w:p>
        </w:tc>
        <w:tc>
          <w:tcPr>
            <w:tcW w:w="1226" w:type="dxa"/>
            <w:hideMark/>
          </w:tcPr>
          <w:p w14:paraId="0E982C74" w14:textId="77777777" w:rsidR="00506212" w:rsidRPr="0040011A" w:rsidRDefault="00506212" w:rsidP="00180503">
            <w:pPr>
              <w:pStyle w:val="NormalWeb"/>
              <w:rPr>
                <w:sz w:val="18"/>
                <w:szCs w:val="18"/>
              </w:rPr>
            </w:pPr>
            <w:r w:rsidRPr="0040011A">
              <w:rPr>
                <w:sz w:val="18"/>
                <w:szCs w:val="18"/>
              </w:rPr>
              <w:t>33</w:t>
            </w:r>
          </w:p>
        </w:tc>
      </w:tr>
      <w:tr w:rsidR="00506212" w:rsidRPr="0040011A" w14:paraId="708787D7" w14:textId="77777777" w:rsidTr="00506212">
        <w:trPr>
          <w:divId w:val="1330868351"/>
        </w:trPr>
        <w:tc>
          <w:tcPr>
            <w:tcW w:w="6804" w:type="dxa"/>
            <w:hideMark/>
          </w:tcPr>
          <w:p w14:paraId="0F4EBEC1" w14:textId="77777777" w:rsidR="00506212" w:rsidRPr="0040011A" w:rsidRDefault="00506212" w:rsidP="00506212">
            <w:pPr>
              <w:pStyle w:val="NormalWeb"/>
              <w:jc w:val="left"/>
              <w:rPr>
                <w:sz w:val="18"/>
                <w:szCs w:val="18"/>
              </w:rPr>
            </w:pPr>
            <w:r w:rsidRPr="0040011A">
              <w:rPr>
                <w:sz w:val="18"/>
                <w:szCs w:val="18"/>
              </w:rPr>
              <w:t>Defence personnel</w:t>
            </w:r>
          </w:p>
        </w:tc>
        <w:tc>
          <w:tcPr>
            <w:tcW w:w="1276" w:type="dxa"/>
            <w:hideMark/>
          </w:tcPr>
          <w:p w14:paraId="5AF8A2BE" w14:textId="77777777" w:rsidR="00506212" w:rsidRPr="0040011A" w:rsidRDefault="00506212" w:rsidP="00180503">
            <w:pPr>
              <w:pStyle w:val="NormalWeb"/>
              <w:rPr>
                <w:sz w:val="18"/>
                <w:szCs w:val="18"/>
              </w:rPr>
            </w:pPr>
            <w:r w:rsidRPr="0040011A">
              <w:rPr>
                <w:sz w:val="18"/>
                <w:szCs w:val="18"/>
              </w:rPr>
              <w:t>10</w:t>
            </w:r>
          </w:p>
        </w:tc>
        <w:tc>
          <w:tcPr>
            <w:tcW w:w="1134" w:type="dxa"/>
            <w:hideMark/>
          </w:tcPr>
          <w:p w14:paraId="0F882872" w14:textId="77777777" w:rsidR="00506212" w:rsidRPr="0040011A" w:rsidRDefault="00506212" w:rsidP="00180503">
            <w:pPr>
              <w:pStyle w:val="NormalWeb"/>
              <w:rPr>
                <w:sz w:val="18"/>
                <w:szCs w:val="18"/>
              </w:rPr>
            </w:pPr>
            <w:r w:rsidRPr="0040011A">
              <w:rPr>
                <w:sz w:val="18"/>
                <w:szCs w:val="18"/>
              </w:rPr>
              <w:t>0</w:t>
            </w:r>
          </w:p>
        </w:tc>
        <w:tc>
          <w:tcPr>
            <w:tcW w:w="1226" w:type="dxa"/>
            <w:hideMark/>
          </w:tcPr>
          <w:p w14:paraId="75845396" w14:textId="77777777" w:rsidR="00506212" w:rsidRPr="0040011A" w:rsidRDefault="00506212" w:rsidP="00180503">
            <w:pPr>
              <w:pStyle w:val="NormalWeb"/>
              <w:rPr>
                <w:sz w:val="18"/>
                <w:szCs w:val="18"/>
              </w:rPr>
            </w:pPr>
            <w:r w:rsidRPr="0040011A">
              <w:rPr>
                <w:sz w:val="18"/>
                <w:szCs w:val="18"/>
              </w:rPr>
              <w:t>0</w:t>
            </w:r>
          </w:p>
        </w:tc>
      </w:tr>
      <w:tr w:rsidR="00506212" w:rsidRPr="0040011A" w14:paraId="3D653303" w14:textId="77777777" w:rsidTr="00506212">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1A73481B" w14:textId="77777777" w:rsidR="00506212" w:rsidRPr="0040011A" w:rsidRDefault="00506212" w:rsidP="00506212">
            <w:pPr>
              <w:pStyle w:val="NormalWeb"/>
              <w:jc w:val="left"/>
              <w:rPr>
                <w:sz w:val="18"/>
                <w:szCs w:val="18"/>
              </w:rPr>
            </w:pPr>
            <w:r w:rsidRPr="0040011A">
              <w:rPr>
                <w:sz w:val="18"/>
                <w:szCs w:val="18"/>
              </w:rPr>
              <w:t>Employment</w:t>
            </w:r>
          </w:p>
        </w:tc>
        <w:tc>
          <w:tcPr>
            <w:tcW w:w="1276" w:type="dxa"/>
            <w:hideMark/>
          </w:tcPr>
          <w:p w14:paraId="53A1F72B" w14:textId="77777777" w:rsidR="00506212" w:rsidRPr="0040011A" w:rsidRDefault="00506212" w:rsidP="00180503">
            <w:pPr>
              <w:pStyle w:val="NormalWeb"/>
              <w:rPr>
                <w:sz w:val="18"/>
                <w:szCs w:val="18"/>
              </w:rPr>
            </w:pPr>
            <w:r w:rsidRPr="0040011A">
              <w:rPr>
                <w:sz w:val="18"/>
                <w:szCs w:val="18"/>
              </w:rPr>
              <w:t>4</w:t>
            </w:r>
          </w:p>
        </w:tc>
        <w:tc>
          <w:tcPr>
            <w:tcW w:w="1134" w:type="dxa"/>
            <w:hideMark/>
          </w:tcPr>
          <w:p w14:paraId="079411C7" w14:textId="77777777" w:rsidR="00506212" w:rsidRPr="0040011A" w:rsidRDefault="00506212" w:rsidP="00180503">
            <w:pPr>
              <w:pStyle w:val="NormalWeb"/>
              <w:rPr>
                <w:sz w:val="18"/>
                <w:szCs w:val="18"/>
              </w:rPr>
            </w:pPr>
            <w:r w:rsidRPr="0040011A">
              <w:rPr>
                <w:sz w:val="18"/>
                <w:szCs w:val="18"/>
              </w:rPr>
              <w:t>0</w:t>
            </w:r>
          </w:p>
        </w:tc>
        <w:tc>
          <w:tcPr>
            <w:tcW w:w="1226" w:type="dxa"/>
            <w:hideMark/>
          </w:tcPr>
          <w:p w14:paraId="567ABB03" w14:textId="77777777" w:rsidR="00506212" w:rsidRPr="0040011A" w:rsidRDefault="00506212" w:rsidP="00180503">
            <w:pPr>
              <w:pStyle w:val="NormalWeb"/>
              <w:rPr>
                <w:sz w:val="18"/>
                <w:szCs w:val="18"/>
              </w:rPr>
            </w:pPr>
            <w:r w:rsidRPr="0040011A">
              <w:rPr>
                <w:sz w:val="18"/>
                <w:szCs w:val="18"/>
              </w:rPr>
              <w:t>0</w:t>
            </w:r>
          </w:p>
        </w:tc>
      </w:tr>
      <w:tr w:rsidR="00506212" w:rsidRPr="0040011A" w14:paraId="6ADEF241" w14:textId="77777777" w:rsidTr="00506212">
        <w:trPr>
          <w:divId w:val="1330868351"/>
        </w:trPr>
        <w:tc>
          <w:tcPr>
            <w:tcW w:w="6804" w:type="dxa"/>
            <w:hideMark/>
          </w:tcPr>
          <w:p w14:paraId="6E62DA85" w14:textId="77777777" w:rsidR="00506212" w:rsidRPr="0040011A" w:rsidRDefault="00506212" w:rsidP="00506212">
            <w:pPr>
              <w:pStyle w:val="NormalWeb"/>
              <w:jc w:val="left"/>
              <w:rPr>
                <w:sz w:val="18"/>
                <w:szCs w:val="18"/>
              </w:rPr>
            </w:pPr>
            <w:r w:rsidRPr="0040011A">
              <w:rPr>
                <w:sz w:val="18"/>
                <w:szCs w:val="18"/>
              </w:rPr>
              <w:t>Health undertaking</w:t>
            </w:r>
          </w:p>
        </w:tc>
        <w:tc>
          <w:tcPr>
            <w:tcW w:w="1276" w:type="dxa"/>
            <w:hideMark/>
          </w:tcPr>
          <w:p w14:paraId="616617C0" w14:textId="77777777" w:rsidR="00506212" w:rsidRPr="0040011A" w:rsidRDefault="00506212" w:rsidP="00180503">
            <w:pPr>
              <w:pStyle w:val="NormalWeb"/>
              <w:rPr>
                <w:sz w:val="18"/>
                <w:szCs w:val="18"/>
              </w:rPr>
            </w:pPr>
            <w:r w:rsidRPr="0040011A">
              <w:rPr>
                <w:sz w:val="18"/>
                <w:szCs w:val="18"/>
              </w:rPr>
              <w:t>4</w:t>
            </w:r>
          </w:p>
        </w:tc>
        <w:tc>
          <w:tcPr>
            <w:tcW w:w="1134" w:type="dxa"/>
            <w:hideMark/>
          </w:tcPr>
          <w:p w14:paraId="24AA0F45" w14:textId="77777777" w:rsidR="00506212" w:rsidRPr="0040011A" w:rsidRDefault="00506212" w:rsidP="00180503">
            <w:pPr>
              <w:pStyle w:val="NormalWeb"/>
              <w:rPr>
                <w:sz w:val="18"/>
                <w:szCs w:val="18"/>
              </w:rPr>
            </w:pPr>
            <w:r w:rsidRPr="0040011A">
              <w:rPr>
                <w:sz w:val="18"/>
                <w:szCs w:val="18"/>
              </w:rPr>
              <w:t>0</w:t>
            </w:r>
          </w:p>
        </w:tc>
        <w:tc>
          <w:tcPr>
            <w:tcW w:w="1226" w:type="dxa"/>
            <w:hideMark/>
          </w:tcPr>
          <w:p w14:paraId="2B18A0D6" w14:textId="77777777" w:rsidR="00506212" w:rsidRPr="0040011A" w:rsidRDefault="00506212" w:rsidP="00180503">
            <w:pPr>
              <w:pStyle w:val="NormalWeb"/>
              <w:rPr>
                <w:sz w:val="18"/>
                <w:szCs w:val="18"/>
              </w:rPr>
            </w:pPr>
            <w:r w:rsidRPr="0040011A">
              <w:rPr>
                <w:sz w:val="18"/>
                <w:szCs w:val="18"/>
              </w:rPr>
              <w:t>0</w:t>
            </w:r>
          </w:p>
        </w:tc>
      </w:tr>
      <w:tr w:rsidR="00506212" w:rsidRPr="0040011A" w14:paraId="379CC392" w14:textId="77777777" w:rsidTr="00D42B05">
        <w:trPr>
          <w:cnfStyle w:val="000000010000" w:firstRow="0" w:lastRow="0" w:firstColumn="0" w:lastColumn="0" w:oddVBand="0" w:evenVBand="0" w:oddHBand="0" w:evenHBand="1" w:firstRowFirstColumn="0" w:firstRowLastColumn="0" w:lastRowFirstColumn="0" w:lastRowLastColumn="0"/>
          <w:divId w:val="1330868351"/>
        </w:trPr>
        <w:tc>
          <w:tcPr>
            <w:tcW w:w="6804" w:type="dxa"/>
            <w:hideMark/>
          </w:tcPr>
          <w:p w14:paraId="06009084" w14:textId="77777777" w:rsidR="00506212" w:rsidRPr="0040011A" w:rsidRDefault="00506212" w:rsidP="00506212">
            <w:pPr>
              <w:pStyle w:val="NormalWeb"/>
              <w:jc w:val="left"/>
              <w:rPr>
                <w:sz w:val="18"/>
                <w:szCs w:val="18"/>
              </w:rPr>
            </w:pPr>
            <w:r w:rsidRPr="0040011A">
              <w:rPr>
                <w:sz w:val="18"/>
                <w:szCs w:val="18"/>
              </w:rPr>
              <w:t>HIV screening</w:t>
            </w:r>
          </w:p>
        </w:tc>
        <w:tc>
          <w:tcPr>
            <w:tcW w:w="1276" w:type="dxa"/>
            <w:hideMark/>
          </w:tcPr>
          <w:p w14:paraId="5EB4D6D1" w14:textId="77777777" w:rsidR="00506212" w:rsidRPr="0040011A" w:rsidRDefault="00506212" w:rsidP="00180503">
            <w:pPr>
              <w:pStyle w:val="NormalWeb"/>
              <w:rPr>
                <w:sz w:val="18"/>
                <w:szCs w:val="18"/>
              </w:rPr>
            </w:pPr>
            <w:r w:rsidRPr="0040011A">
              <w:rPr>
                <w:sz w:val="18"/>
                <w:szCs w:val="18"/>
              </w:rPr>
              <w:t>1</w:t>
            </w:r>
          </w:p>
        </w:tc>
        <w:tc>
          <w:tcPr>
            <w:tcW w:w="1134" w:type="dxa"/>
            <w:hideMark/>
          </w:tcPr>
          <w:p w14:paraId="5AA1F8F9" w14:textId="77777777" w:rsidR="00506212" w:rsidRPr="0040011A" w:rsidRDefault="00506212" w:rsidP="00180503">
            <w:pPr>
              <w:pStyle w:val="NormalWeb"/>
              <w:rPr>
                <w:sz w:val="18"/>
                <w:szCs w:val="18"/>
              </w:rPr>
            </w:pPr>
            <w:r w:rsidRPr="0040011A">
              <w:rPr>
                <w:sz w:val="18"/>
                <w:szCs w:val="18"/>
              </w:rPr>
              <w:t>0</w:t>
            </w:r>
          </w:p>
        </w:tc>
        <w:tc>
          <w:tcPr>
            <w:tcW w:w="1226" w:type="dxa"/>
            <w:hideMark/>
          </w:tcPr>
          <w:p w14:paraId="12D95BA0" w14:textId="77777777" w:rsidR="00506212" w:rsidRPr="0040011A" w:rsidRDefault="00506212" w:rsidP="00180503">
            <w:pPr>
              <w:pStyle w:val="NormalWeb"/>
              <w:rPr>
                <w:sz w:val="18"/>
                <w:szCs w:val="18"/>
              </w:rPr>
            </w:pPr>
            <w:r w:rsidRPr="0040011A">
              <w:rPr>
                <w:sz w:val="18"/>
                <w:szCs w:val="18"/>
              </w:rPr>
              <w:t>0</w:t>
            </w:r>
          </w:p>
        </w:tc>
      </w:tr>
      <w:tr w:rsidR="00506212" w:rsidRPr="0040011A" w14:paraId="0BCCD5C0" w14:textId="77777777" w:rsidTr="00D42B05">
        <w:trPr>
          <w:divId w:val="1330868351"/>
        </w:trPr>
        <w:tc>
          <w:tcPr>
            <w:tcW w:w="6804" w:type="dxa"/>
            <w:tcBorders>
              <w:bottom w:val="single" w:sz="2" w:space="0" w:color="808080" w:themeColor="background1" w:themeShade="80"/>
            </w:tcBorders>
            <w:hideMark/>
          </w:tcPr>
          <w:p w14:paraId="14078598" w14:textId="77777777" w:rsidR="00506212" w:rsidRPr="0040011A" w:rsidRDefault="00506212" w:rsidP="00506212">
            <w:pPr>
              <w:pStyle w:val="NormalWeb"/>
              <w:jc w:val="left"/>
              <w:rPr>
                <w:sz w:val="18"/>
                <w:szCs w:val="18"/>
              </w:rPr>
            </w:pPr>
            <w:r w:rsidRPr="0040011A">
              <w:rPr>
                <w:sz w:val="18"/>
                <w:szCs w:val="18"/>
              </w:rPr>
              <w:t>Migrant</w:t>
            </w:r>
          </w:p>
        </w:tc>
        <w:tc>
          <w:tcPr>
            <w:tcW w:w="1276" w:type="dxa"/>
            <w:tcBorders>
              <w:bottom w:val="single" w:sz="2" w:space="0" w:color="808080" w:themeColor="background1" w:themeShade="80"/>
            </w:tcBorders>
            <w:hideMark/>
          </w:tcPr>
          <w:p w14:paraId="7F9CCB9E" w14:textId="77777777" w:rsidR="00506212" w:rsidRPr="0040011A" w:rsidRDefault="00506212" w:rsidP="00180503">
            <w:pPr>
              <w:pStyle w:val="NormalWeb"/>
              <w:rPr>
                <w:sz w:val="18"/>
                <w:szCs w:val="18"/>
              </w:rPr>
            </w:pPr>
            <w:r w:rsidRPr="0040011A">
              <w:rPr>
                <w:sz w:val="18"/>
                <w:szCs w:val="18"/>
              </w:rPr>
              <w:t>1</w:t>
            </w:r>
          </w:p>
        </w:tc>
        <w:tc>
          <w:tcPr>
            <w:tcW w:w="1134" w:type="dxa"/>
            <w:tcBorders>
              <w:bottom w:val="single" w:sz="2" w:space="0" w:color="808080" w:themeColor="background1" w:themeShade="80"/>
            </w:tcBorders>
            <w:hideMark/>
          </w:tcPr>
          <w:p w14:paraId="3D3C5D77" w14:textId="77777777" w:rsidR="00506212" w:rsidRPr="0040011A" w:rsidRDefault="00506212" w:rsidP="00180503">
            <w:pPr>
              <w:pStyle w:val="NormalWeb"/>
              <w:rPr>
                <w:sz w:val="18"/>
                <w:szCs w:val="18"/>
              </w:rPr>
            </w:pPr>
            <w:r w:rsidRPr="0040011A">
              <w:rPr>
                <w:sz w:val="18"/>
                <w:szCs w:val="18"/>
              </w:rPr>
              <w:t>0</w:t>
            </w:r>
          </w:p>
        </w:tc>
        <w:tc>
          <w:tcPr>
            <w:tcW w:w="1226" w:type="dxa"/>
            <w:tcBorders>
              <w:bottom w:val="single" w:sz="2" w:space="0" w:color="808080" w:themeColor="background1" w:themeShade="80"/>
            </w:tcBorders>
            <w:hideMark/>
          </w:tcPr>
          <w:p w14:paraId="4FDA7BD1" w14:textId="77777777" w:rsidR="00506212" w:rsidRPr="0040011A" w:rsidRDefault="00506212" w:rsidP="00180503">
            <w:pPr>
              <w:pStyle w:val="NormalWeb"/>
              <w:rPr>
                <w:sz w:val="18"/>
                <w:szCs w:val="18"/>
              </w:rPr>
            </w:pPr>
            <w:r w:rsidRPr="0040011A">
              <w:rPr>
                <w:sz w:val="18"/>
                <w:szCs w:val="18"/>
              </w:rPr>
              <w:t>0</w:t>
            </w:r>
          </w:p>
        </w:tc>
      </w:tr>
    </w:tbl>
    <w:p w14:paraId="7EB08CBA" w14:textId="73C9FCAF" w:rsidR="00506212" w:rsidRPr="00391BE3" w:rsidRDefault="00506212" w:rsidP="00391BE3">
      <w:pPr>
        <w:pStyle w:val="CDIfootnotes"/>
        <w:divId w:val="1330868351"/>
        <w:rPr>
          <w:lang w:val="en-GB"/>
        </w:rPr>
      </w:pPr>
      <w:r>
        <w:rPr>
          <w:lang w:val="en-GB"/>
        </w:rPr>
        <w:t>a</w:t>
      </w:r>
      <w:r>
        <w:rPr>
          <w:lang w:val="en-GB"/>
        </w:rPr>
        <w:tab/>
        <w:t xml:space="preserve">BCG: </w:t>
      </w:r>
      <w:proofErr w:type="spellStart"/>
      <w:r>
        <w:rPr>
          <w:lang w:val="en-GB"/>
        </w:rPr>
        <w:t>bacille</w:t>
      </w:r>
      <w:proofErr w:type="spellEnd"/>
      <w:r>
        <w:rPr>
          <w:lang w:val="en-GB"/>
        </w:rPr>
        <w:t xml:space="preserve"> Calmette-Guérin; HIV: human immunodeficiency virus.</w:t>
      </w:r>
    </w:p>
    <w:p w14:paraId="6FAB169F" w14:textId="37778185" w:rsidR="00051973" w:rsidRPr="00051973" w:rsidRDefault="00051973" w:rsidP="00051973">
      <w:pPr>
        <w:pStyle w:val="Heading2"/>
        <w:divId w:val="1330868351"/>
      </w:pPr>
      <w:r w:rsidRPr="00051973">
        <w:t xml:space="preserve">Estimates of LTBI notifications </w:t>
      </w:r>
    </w:p>
    <w:p w14:paraId="118FB292" w14:textId="77777777" w:rsidR="00051973" w:rsidRDefault="00051973" w:rsidP="00051973">
      <w:pPr>
        <w:divId w:val="1330868351"/>
      </w:pPr>
      <w:r>
        <w:t xml:space="preserve">From the data available to us for this analysis, an annual average of 1,067 positive IGRA and 354 positive TST results </w:t>
      </w:r>
      <w:proofErr w:type="gramStart"/>
      <w:r>
        <w:t>were reported</w:t>
      </w:r>
      <w:proofErr w:type="gramEnd"/>
      <w:r>
        <w:t xml:space="preserve">, for a total of 1,421 positive results per year. This number </w:t>
      </w:r>
      <w:proofErr w:type="gramStart"/>
      <w:r>
        <w:t>represents</w:t>
      </w:r>
      <w:proofErr w:type="gramEnd"/>
      <w:r>
        <w:t xml:space="preserve"> an absolute minimum value of possible annual LTBI notifications in Queensland, before extrapolation to calculate </w:t>
      </w:r>
      <w:proofErr w:type="spellStart"/>
      <w:r>
        <w:t>statewide</w:t>
      </w:r>
      <w:proofErr w:type="spellEnd"/>
      <w:r>
        <w:t xml:space="preserve"> upper and lower estimates. </w:t>
      </w:r>
    </w:p>
    <w:p w14:paraId="50C25897" w14:textId="77777777" w:rsidR="00051973" w:rsidRDefault="00051973" w:rsidP="00051973">
      <w:pPr>
        <w:divId w:val="1330868351"/>
      </w:pPr>
      <w:r>
        <w:t xml:space="preserve">Results excluded from Pathology Queensland IGRA testing data due to a matched TB result prior (n = 48) and within three months post-test (n = 132) represented 0.4% of all results prior to exclusion. The private IGRA and TST results </w:t>
      </w:r>
      <w:proofErr w:type="gramStart"/>
      <w:r>
        <w:t>provided for</w:t>
      </w:r>
      <w:proofErr w:type="gramEnd"/>
      <w:r>
        <w:t xml:space="preserve"> this study represented 103% and 162% of Medicare-funded tests reported in Queensland for the same period, respectively. TB notifications reported by the participating TBCU in the study period represented 11% of </w:t>
      </w:r>
      <w:r>
        <w:lastRenderedPageBreak/>
        <w:t xml:space="preserve">state-wide notifications. Positive and indeterminate IGRA test results attributed to the participating TBCU accounted for 4% of all positive and indeterminate results. As described (Table 2), these proportions </w:t>
      </w:r>
      <w:proofErr w:type="gramStart"/>
      <w:r>
        <w:t>were applied</w:t>
      </w:r>
      <w:proofErr w:type="gramEnd"/>
      <w:r>
        <w:t xml:space="preserve"> to reach upper and lower </w:t>
      </w:r>
      <w:proofErr w:type="spellStart"/>
      <w:r>
        <w:t>statewide</w:t>
      </w:r>
      <w:proofErr w:type="spellEnd"/>
      <w:r>
        <w:t xml:space="preserve"> estimates. </w:t>
      </w:r>
    </w:p>
    <w:p w14:paraId="6FF63EF2" w14:textId="579AE288" w:rsidR="009C013B" w:rsidRPr="00E84370" w:rsidRDefault="00051973" w:rsidP="00E84370">
      <w:pPr>
        <w:divId w:val="1330868351"/>
      </w:pPr>
      <w:r>
        <w:t xml:space="preserve">Using the methods described, the estimated number of possible latent tuberculosis notifications in Queensland ranges from 2,901 to 6,995, annually (Figure 2). Private tuberculin skin testing </w:t>
      </w:r>
      <w:proofErr w:type="gramStart"/>
      <w:r>
        <w:t>is estimated</w:t>
      </w:r>
      <w:proofErr w:type="gramEnd"/>
      <w:r>
        <w:t xml:space="preserve"> to contribute the lowest number of potential notifications (range: 170–340), followed by private IGRA testing (range: 354–922), public IGRA testing (range: 706–1,138), and public tuberculin skin testing (range: 1,671–4,595). </w:t>
      </w:r>
    </w:p>
    <w:p w14:paraId="54D9AF97" w14:textId="77777777" w:rsidR="009C013B" w:rsidRPr="002F47C6" w:rsidRDefault="009C013B" w:rsidP="009C013B">
      <w:pPr>
        <w:pStyle w:val="CDIFigures"/>
        <w:divId w:val="1330868351"/>
      </w:pPr>
      <w:r w:rsidRPr="002F47C6">
        <w:rPr>
          <w:rStyle w:val="Strong"/>
          <w:b/>
          <w:bCs w:val="0"/>
        </w:rPr>
        <w:t>Figure 2: Upper and lower estimates of possible latent tuberculosis infection (LTBI) notifications annually by notification source in Queensland</w:t>
      </w:r>
      <w:r>
        <w:rPr>
          <w:rStyle w:val="Strong"/>
          <w:b/>
          <w:bCs w:val="0"/>
        </w:rPr>
        <w:t xml:space="preserve"> </w:t>
      </w:r>
      <w:proofErr w:type="spellStart"/>
      <w:proofErr w:type="gramStart"/>
      <w:r w:rsidRPr="002F47C6">
        <w:rPr>
          <w:rStyle w:val="Strong"/>
          <w:b/>
          <w:bCs w:val="0"/>
          <w:vertAlign w:val="superscript"/>
        </w:rPr>
        <w:t>a,b</w:t>
      </w:r>
      <w:proofErr w:type="gramEnd"/>
      <w:r w:rsidRPr="002F47C6">
        <w:rPr>
          <w:rStyle w:val="Strong"/>
          <w:b/>
          <w:bCs w:val="0"/>
          <w:vertAlign w:val="superscript"/>
        </w:rPr>
        <w:t>,c</w:t>
      </w:r>
      <w:proofErr w:type="spellEnd"/>
    </w:p>
    <w:p w14:paraId="3E32206D" w14:textId="77777777" w:rsidR="009C013B" w:rsidRDefault="009C013B" w:rsidP="009C013B">
      <w:pPr>
        <w:divId w:val="1330868351"/>
        <w:rPr>
          <w:rFonts w:eastAsia="Times New Roman"/>
          <w:lang w:val="en-GB"/>
        </w:rPr>
      </w:pPr>
      <w:r>
        <w:rPr>
          <w:rFonts w:eastAsia="Times New Roman"/>
          <w:noProof/>
          <w:lang w:val="en-GB"/>
        </w:rPr>
        <w:drawing>
          <wp:inline distT="0" distB="0" distL="0" distR="0" wp14:anchorId="43066D45" wp14:editId="54AA3286">
            <wp:extent cx="6625424" cy="4501595"/>
            <wp:effectExtent l="0" t="0" r="4445" b="0"/>
            <wp:docPr id="2" name="Picture 2" descr="Figure 2 is a horizontal lollipop chart showing the upper and lower estimates of possible annual latent tuberculosis infection notifications in Queensland by data source. The lower estimates are marked by a green point and the upper estimates are marked by a red point. Private tuberculin skin testing is estimated to contribute the lowest number of potential notifications (range: 170–340), followed by private interferon gamma release assay testing (range: 354–922), public interferon gamma release assay testing (range: 706–1,138), and public tuberculin skin testing (range: 1,671–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horizontal lollipop chart showing the upper and lower estimates of possible annual latent tuberculosis infection notifications in Queensland by data source. The lower estimates are marked by a green point and the upper estimates are marked by a red point. Private tuberculin skin testing is estimated to contribute the lowest number of potential notifications (range: 170–340), followed by private interferon gamma release assay testing (range: 354–922), public interferon gamma release assay testing (range: 706–1,138), and public tuberculin skin testing (range: 1,671–4,59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2473" cy="4506385"/>
                    </a:xfrm>
                    <a:prstGeom prst="rect">
                      <a:avLst/>
                    </a:prstGeom>
                  </pic:spPr>
                </pic:pic>
              </a:graphicData>
            </a:graphic>
          </wp:inline>
        </w:drawing>
      </w:r>
    </w:p>
    <w:p w14:paraId="2412D702" w14:textId="77777777" w:rsidR="009C013B" w:rsidRDefault="009C013B" w:rsidP="009C013B">
      <w:pPr>
        <w:pStyle w:val="CDIfootnotes"/>
        <w:divId w:val="1330868351"/>
        <w:rPr>
          <w:lang w:val="en-GB"/>
        </w:rPr>
      </w:pPr>
      <w:r>
        <w:rPr>
          <w:lang w:val="en-GB"/>
        </w:rPr>
        <w:t>a</w:t>
      </w:r>
      <w:r>
        <w:rPr>
          <w:lang w:val="en-GB"/>
        </w:rPr>
        <w:tab/>
        <w:t>TST: tuberculin skin test; IGRA: interferon gamma release assay.</w:t>
      </w:r>
    </w:p>
    <w:p w14:paraId="01CF204D" w14:textId="77777777" w:rsidR="009C013B" w:rsidRDefault="009C013B" w:rsidP="009C013B">
      <w:pPr>
        <w:pStyle w:val="CDIfootnotes"/>
        <w:divId w:val="1330868351"/>
        <w:rPr>
          <w:lang w:val="en-GB"/>
        </w:rPr>
      </w:pPr>
      <w:r>
        <w:rPr>
          <w:lang w:val="en-GB"/>
        </w:rPr>
        <w:t>b</w:t>
      </w:r>
      <w:r>
        <w:rPr>
          <w:lang w:val="en-GB"/>
        </w:rPr>
        <w:tab/>
        <w:t>Lower estimates marked by green point. Upper estimates marked by red point.</w:t>
      </w:r>
    </w:p>
    <w:p w14:paraId="0216E2C6" w14:textId="77777777" w:rsidR="009C013B" w:rsidRDefault="009C013B" w:rsidP="009C013B">
      <w:pPr>
        <w:pStyle w:val="CDIfootnotes"/>
        <w:divId w:val="1330868351"/>
        <w:rPr>
          <w:lang w:val="en-GB"/>
        </w:rPr>
      </w:pPr>
      <w:r>
        <w:rPr>
          <w:lang w:val="en-GB"/>
        </w:rPr>
        <w:t>c</w:t>
      </w:r>
      <w:r>
        <w:rPr>
          <w:lang w:val="en-GB"/>
        </w:rPr>
        <w:tab/>
        <w:t>Private IGRA and TST upper estimates calculated by using likely represented proportion of state-wide results (50%). Public TST lower estimates calculated by using the proportion of positive and indeterminate IGRA results by the participating tuberculosis control unit (TBCU) to state-wide positive and indeterminate IGRA results (4%). Public TST upper estimates calculated by using the proportion of tuberculosis notifications by the participating TBCU to state-wide notifications (11%).</w:t>
      </w:r>
    </w:p>
    <w:p w14:paraId="46B30877" w14:textId="0A1F5B17" w:rsidR="00051973" w:rsidRPr="00051973" w:rsidRDefault="00051973" w:rsidP="00051973">
      <w:pPr>
        <w:pStyle w:val="Heading1"/>
        <w:divId w:val="1330868351"/>
      </w:pPr>
      <w:r w:rsidRPr="00051973">
        <w:t xml:space="preserve">Discussion </w:t>
      </w:r>
    </w:p>
    <w:p w14:paraId="5D589ABD" w14:textId="77777777" w:rsidR="00051973" w:rsidRDefault="00051973" w:rsidP="00051973">
      <w:pPr>
        <w:divId w:val="1330868351"/>
      </w:pPr>
      <w:r>
        <w:t xml:space="preserve">Our study describes the features of TST and IGRA testing from available Queensland datasets during the years 2016–2020. From the included data sources, an annual average of 1,421 positive IGRA and TST results occurred. Using this minimum value and the estimation methods described, we extrapolated the range of possible annual state-wide LTBI </w:t>
      </w:r>
      <w:r>
        <w:lastRenderedPageBreak/>
        <w:t>notifications in Queensland to be between 2,901 and 6,995. If made notifiable, these estimates would place LTBI among the ten most notified conditions in Queensland.</w:t>
      </w:r>
      <w:r>
        <w:rPr>
          <w:vertAlign w:val="superscript"/>
        </w:rPr>
        <w:t>16</w:t>
      </w:r>
      <w:r>
        <w:t xml:space="preserve"> This has implications for potential surveillance goals and their associated resource requirements. </w:t>
      </w:r>
    </w:p>
    <w:p w14:paraId="2B3538E0" w14:textId="77777777" w:rsidR="00051973" w:rsidRDefault="00051973" w:rsidP="00051973">
      <w:pPr>
        <w:divId w:val="1330868351"/>
      </w:pPr>
      <w:r>
        <w:t xml:space="preserve">The first potential surveillance goal is information gathering to inform public health policy. This would focus primarily on case number collation and periodic reporting. From our data, 34–42% of possible LTBI notifications could be </w:t>
      </w:r>
      <w:proofErr w:type="gramStart"/>
      <w:r>
        <w:t>identified</w:t>
      </w:r>
      <w:proofErr w:type="gramEnd"/>
      <w:r>
        <w:t xml:space="preserve"> through pathology providers (IGRA or private TST) and therefore notified via an automated laboratory feed into Queensland’s notifiable conditions system (</w:t>
      </w:r>
      <w:proofErr w:type="spellStart"/>
      <w:r>
        <w:t>NoCS</w:t>
      </w:r>
      <w:proofErr w:type="spellEnd"/>
      <w:r>
        <w:t xml:space="preserve">). These estimates </w:t>
      </w:r>
      <w:proofErr w:type="gramStart"/>
      <w:r>
        <w:t>represent</w:t>
      </w:r>
      <w:proofErr w:type="gramEnd"/>
      <w:r>
        <w:t xml:space="preserve"> the combined total of private TST, private IGRA, and public IGRA estimates as a proportion of the total estimates (lower and upper). The remaining 58–66% of </w:t>
      </w:r>
      <w:proofErr w:type="gramStart"/>
      <w:r>
        <w:t>possible notifications</w:t>
      </w:r>
      <w:proofErr w:type="gramEnd"/>
      <w:r>
        <w:t xml:space="preserve"> identified through public TST would require an additional administrative workload. This would require either completion and submission of case report forms to the Communicable Diseases Branch or, where possible, entering information directly to </w:t>
      </w:r>
      <w:proofErr w:type="spellStart"/>
      <w:r>
        <w:t>NoCS</w:t>
      </w:r>
      <w:proofErr w:type="spellEnd"/>
      <w:r>
        <w:t xml:space="preserve">. Of note, our study </w:t>
      </w:r>
      <w:proofErr w:type="gramStart"/>
      <w:r>
        <w:t>identified</w:t>
      </w:r>
      <w:proofErr w:type="gramEnd"/>
      <w:r>
        <w:t xml:space="preserve"> a reduction in TST and increase in IGRA tests between 2019 and 2020. This is </w:t>
      </w:r>
      <w:proofErr w:type="gramStart"/>
      <w:r>
        <w:t>likely due</w:t>
      </w:r>
      <w:proofErr w:type="gramEnd"/>
      <w:r>
        <w:t xml:space="preserve"> to changed testing practices during the coronavirus disease 2019 (COVID-19) pandemic; however, if the trend continues, the proportion of notifications made via an automated laboratory feed could be higher. This surveillance approach </w:t>
      </w:r>
      <w:proofErr w:type="gramStart"/>
      <w:r>
        <w:t>facilitates</w:t>
      </w:r>
      <w:proofErr w:type="gramEnd"/>
      <w:r>
        <w:t xml:space="preserve"> system-wide collection and management of LTBI data not currently possible within existing electronic medical records (EMR) systems. Existing EMR systems </w:t>
      </w:r>
      <w:proofErr w:type="gramStart"/>
      <w:r>
        <w:t>were not designed</w:t>
      </w:r>
      <w:proofErr w:type="gramEnd"/>
      <w:r>
        <w:t xml:space="preserve"> for the collection or analysis of surveillance data. More than a records management solution, </w:t>
      </w:r>
      <w:proofErr w:type="gramStart"/>
      <w:r>
        <w:t>an initial</w:t>
      </w:r>
      <w:proofErr w:type="gramEnd"/>
      <w:r>
        <w:t xml:space="preserve"> data collation focus may help to increase understanding of local LTBI disease burden, to support cross-jurisdictional collaboration, and to facilitate continuity of care for people diagnosed with LTBI. </w:t>
      </w:r>
    </w:p>
    <w:p w14:paraId="33D3B8A6" w14:textId="77777777" w:rsidR="00051973" w:rsidRDefault="00051973" w:rsidP="00051973">
      <w:pPr>
        <w:divId w:val="1330868351"/>
      </w:pPr>
      <w:r>
        <w:t xml:space="preserve">An extension to data gathering and reporting would be the collection of enhanced surveillance data, either for people meeting specific criteria or for all cases of LTBI. This approach could support surveillance goals to characterise disease risk factors; support public health management of individuals with </w:t>
      </w:r>
      <w:proofErr w:type="gramStart"/>
      <w:r>
        <w:t>high risk</w:t>
      </w:r>
      <w:proofErr w:type="gramEnd"/>
      <w:r>
        <w:t xml:space="preserve"> of progression to active disease; ensure and monitor adequacy of diagnoses and treatment; and provide data for analytic studies to understand LTBI in low-incidence settings. The collection of enhanced surveillance data would not change the current public health management of people diagnosed and treated for LTBI, again adding an administrative requirement to record these data in </w:t>
      </w:r>
      <w:proofErr w:type="spellStart"/>
      <w:r>
        <w:t>NoCS</w:t>
      </w:r>
      <w:proofErr w:type="spellEnd"/>
      <w:r>
        <w:t xml:space="preserve">. If made notifiable, and if pursuing enhanced case information, there would be a legislative imperative to collect and record these data. It is important that this </w:t>
      </w:r>
      <w:proofErr w:type="gramStart"/>
      <w:r>
        <w:t>is supported</w:t>
      </w:r>
      <w:proofErr w:type="gramEnd"/>
      <w:r>
        <w:t xml:space="preserve"> by adequate resourcing and does not interfere with clinical work. The management of LTBI should not detract from essential TB services, especially not interfering with the early diagnosis and </w:t>
      </w:r>
      <w:proofErr w:type="gramStart"/>
      <w:r>
        <w:t>optimal</w:t>
      </w:r>
      <w:proofErr w:type="gramEnd"/>
      <w:r>
        <w:t xml:space="preserve"> care of those diagnosed with TB. Considerations on the type of information collected would be essential, as well as system </w:t>
      </w:r>
      <w:proofErr w:type="gramStart"/>
      <w:r>
        <w:t>capacity</w:t>
      </w:r>
      <w:proofErr w:type="gramEnd"/>
      <w:r>
        <w:t xml:space="preserve"> to electronically transfer routinely collected data wherever possible. Initial case counting would support preparedness for progression to enhanced surveillance and response activities. </w:t>
      </w:r>
    </w:p>
    <w:p w14:paraId="5C5F98E3" w14:textId="77777777" w:rsidR="00051973" w:rsidRDefault="00051973" w:rsidP="00051973">
      <w:pPr>
        <w:divId w:val="1330868351"/>
      </w:pPr>
      <w:r>
        <w:t xml:space="preserve">From a national perspective, either surveillance approach would strengthen Australia’s ability to track progress towards TB elimination targets. Surveillance allows estimation of the burden of disease, the ability to </w:t>
      </w:r>
      <w:proofErr w:type="gramStart"/>
      <w:r>
        <w:t>identify</w:t>
      </w:r>
      <w:proofErr w:type="gramEnd"/>
      <w:r>
        <w:t xml:space="preserve"> priority populations, strengthen treatment or other public health interventions, monitor and evaluate interventions or treatment outcomes, and assess disease progression patterns. By listing a condition on the NNDL, the Australian Government Department of Health and Aged Care can identify national trends, develop public policy, allocate health resources appropriately, and track progress towards disease eradication.</w:t>
      </w:r>
      <w:r>
        <w:rPr>
          <w:vertAlign w:val="superscript"/>
        </w:rPr>
        <w:t>17</w:t>
      </w:r>
      <w:r>
        <w:t xml:space="preserve"> The CDNA Series of National Guidelines (SoNG) provide nationally consistent advice and guidance for public health professionals to respond to notifiable diseases.</w:t>
      </w:r>
      <w:r>
        <w:rPr>
          <w:vertAlign w:val="superscript"/>
        </w:rPr>
        <w:t>18</w:t>
      </w:r>
      <w:r>
        <w:t xml:space="preserve"> If made notifiable, ideally CDNA would approve development of a specific SoNG for LTBI. Such LTBI SoNG development and oversight of monitoring and response activities would </w:t>
      </w:r>
      <w:proofErr w:type="gramStart"/>
      <w:r>
        <w:t>be supported</w:t>
      </w:r>
      <w:proofErr w:type="gramEnd"/>
      <w:r>
        <w:t xml:space="preserve"> by NTAC. NTAC is currently responsible for the Strategic Plan for Control of Tuberculosis, in which management of LTBI has </w:t>
      </w:r>
      <w:proofErr w:type="gramStart"/>
      <w:r>
        <w:t>been highlighted</w:t>
      </w:r>
      <w:proofErr w:type="gramEnd"/>
      <w:r>
        <w:t xml:space="preserve"> as a priority area to maintain </w:t>
      </w:r>
      <w:proofErr w:type="spellStart"/>
      <w:r>
        <w:t>preelimination</w:t>
      </w:r>
      <w:proofErr w:type="spellEnd"/>
      <w:r>
        <w:t xml:space="preserve"> levels of TB.</w:t>
      </w:r>
      <w:r>
        <w:rPr>
          <w:vertAlign w:val="superscript"/>
        </w:rPr>
        <w:t>19</w:t>
      </w:r>
      <w:r>
        <w:t xml:space="preserve"> </w:t>
      </w:r>
    </w:p>
    <w:p w14:paraId="5A791B79" w14:textId="77777777" w:rsidR="00051973" w:rsidRDefault="00051973" w:rsidP="00051973">
      <w:pPr>
        <w:divId w:val="1330868351"/>
      </w:pPr>
      <w:r>
        <w:t>The NTAC position statement on the management of LTBI states that testing should only be on an intention-to-treat basis,</w:t>
      </w:r>
      <w:proofErr w:type="gramStart"/>
      <w:r>
        <w:rPr>
          <w:vertAlign w:val="superscript"/>
        </w:rPr>
        <w:t>5</w:t>
      </w:r>
      <w:proofErr w:type="gramEnd"/>
      <w:r>
        <w:t xml:space="preserve"> which is important for notifiable disease management. In Japan, where LTBI is notifiable, surveillance data </w:t>
      </w:r>
      <w:proofErr w:type="gramStart"/>
      <w:r>
        <w:lastRenderedPageBreak/>
        <w:t>identified</w:t>
      </w:r>
      <w:proofErr w:type="gramEnd"/>
      <w:r>
        <w:t xml:space="preserve"> the LTBI treatment completion rate to be 71.9%, falling below the national target of 85%.</w:t>
      </w:r>
      <w:r>
        <w:rPr>
          <w:vertAlign w:val="superscript"/>
        </w:rPr>
        <w:t>20</w:t>
      </w:r>
      <w:r>
        <w:t xml:space="preserve"> It is likely that new, shorter, and better tolerated regimens will improve completion rates. There are risk/benefit comparisons that need to </w:t>
      </w:r>
      <w:proofErr w:type="gramStart"/>
      <w:r>
        <w:t>be considered</w:t>
      </w:r>
      <w:proofErr w:type="gramEnd"/>
      <w:r>
        <w:t xml:space="preserve"> for treatment of LTBI and the surveillance of these data should not detract from the usual core functions of TB control. An assessment and onward treatment algorithm would support the surveillance of treatment outcomes and risk/benefit analyses for notified cases of LTBI. This could be especially pertinent for people with a positive IGRA or TST due to an exposure greater than five years earlier or other low-risk groups. </w:t>
      </w:r>
    </w:p>
    <w:p w14:paraId="731FD715" w14:textId="77777777" w:rsidR="00051973" w:rsidRDefault="00051973" w:rsidP="00051973">
      <w:pPr>
        <w:divId w:val="1330868351"/>
      </w:pPr>
      <w:r>
        <w:t xml:space="preserve">Our analysis has several limitations. As we were unable to collect data from all TBCUs and private pathology providers, our applied values to reach geographic and state-wide estimates may be inaccurate. Our sub-set study population may systematically differ from the wider Queensland population, introducing an unmeasurable bias. Our TST results showed variability in the proportion of test positivity by </w:t>
      </w:r>
      <w:proofErr w:type="gramStart"/>
      <w:r>
        <w:t>indication</w:t>
      </w:r>
      <w:proofErr w:type="gramEnd"/>
      <w:r>
        <w:t xml:space="preserve"> for screening, with the representativeness of these data unknown. While not analysed in our study, our understanding of indications for screening by private providers are likely to </w:t>
      </w:r>
      <w:proofErr w:type="gramStart"/>
      <w:r>
        <w:t>be driven</w:t>
      </w:r>
      <w:proofErr w:type="gramEnd"/>
      <w:r>
        <w:t xml:space="preserve"> by pre-employment screening requirements. Better understanding of screening indications for IGRA would support interpretation of our work. We faced limitations using MBS testing data to estimate the representativeness of our private pathology data. Not everyone </w:t>
      </w:r>
      <w:proofErr w:type="gramStart"/>
      <w:r>
        <w:t>tested</w:t>
      </w:r>
      <w:proofErr w:type="gramEnd"/>
      <w:r>
        <w:t xml:space="preserve"> by private providers is eligible for a Medicare rebate. While we applied a cautious likely proportion of results represented by our analysed private laboratory data, this may be over- or under-estimated, resulting in a lower or higher than true annual notification estimate. A high number of records from our laboratory TB data </w:t>
      </w:r>
      <w:proofErr w:type="gramStart"/>
      <w:r>
        <w:t>were excluded</w:t>
      </w:r>
      <w:proofErr w:type="gramEnd"/>
      <w:r>
        <w:t xml:space="preserve"> due to incomplete or missing information for matching. The resulting proportion of public IGRA tests excluded as TB may therefore be under-represented. Further, by assigning public TST results ‘sent for medical review’ and ‘weak’ or ‘intermediate’ private TST results as positive, we may have overestimated the number of positive TSTs. However, were the condition to be notifiable, these results would require follow up as </w:t>
      </w:r>
      <w:proofErr w:type="gramStart"/>
      <w:r>
        <w:t>possible notifications</w:t>
      </w:r>
      <w:proofErr w:type="gramEnd"/>
      <w:r>
        <w:t xml:space="preserve">. </w:t>
      </w:r>
    </w:p>
    <w:p w14:paraId="278B3093" w14:textId="77777777" w:rsidR="00051973" w:rsidRDefault="00051973" w:rsidP="00051973">
      <w:pPr>
        <w:divId w:val="1330868351"/>
      </w:pPr>
      <w:r>
        <w:t xml:space="preserve">Our study could </w:t>
      </w:r>
      <w:proofErr w:type="gramStart"/>
      <w:r>
        <w:t>be expanded</w:t>
      </w:r>
      <w:proofErr w:type="gramEnd"/>
      <w:r>
        <w:t xml:space="preserve"> by further applying a ‘borderline’ range for IGRA results and specifically, outcomes on re-testing. A recent study from Sweden raises important considerations on the clinical implications of </w:t>
      </w:r>
      <w:proofErr w:type="spellStart"/>
      <w:r>
        <w:t>Quantiferon</w:t>
      </w:r>
      <w:proofErr w:type="spellEnd"/>
      <w:r>
        <w:t>-TB Gold Plus (IGRA) tests with ‘borderline’ results in low endemicity settings.</w:t>
      </w:r>
      <w:r>
        <w:rPr>
          <w:vertAlign w:val="superscript"/>
        </w:rPr>
        <w:t>21</w:t>
      </w:r>
      <w:r>
        <w:t xml:space="preserve"> From 1,254 individuals with such borderline results, 38% </w:t>
      </w:r>
      <w:proofErr w:type="gramStart"/>
      <w:r>
        <w:t>were confirmed</w:t>
      </w:r>
      <w:proofErr w:type="gramEnd"/>
      <w:r>
        <w:t xml:space="preserve"> negative upon retesting. For surveillance purposes, awaiting re-testing of borderline results before collecting enhanced surveillance data could reduce the administrative burden on health staff as well as ensure reversion data are not in the notification process. </w:t>
      </w:r>
    </w:p>
    <w:p w14:paraId="21D33944" w14:textId="77777777" w:rsidR="00051973" w:rsidRDefault="00051973" w:rsidP="00051973">
      <w:pPr>
        <w:divId w:val="1330868351"/>
      </w:pPr>
      <w:r>
        <w:t>Noting these limitations and areas for further analysis, our study is an important contribution to an area not widely researched in Australia. Previous studies have explored LTBI among populations considered to be at higher risk of TB, and only one study has estimated the national prevalence of latent tuberculosis in Australia.</w:t>
      </w:r>
      <w:r>
        <w:rPr>
          <w:vertAlign w:val="superscript"/>
        </w:rPr>
        <w:t>22</w:t>
      </w:r>
      <w:r>
        <w:t xml:space="preserve"> Using national census data, annual risk of TB infection estimates were applied to population cohorts by country of birth, year of arrival, and age. The estimated proportion of Australian residents with LTBI was 5.1% in 2016.</w:t>
      </w:r>
      <w:r>
        <w:rPr>
          <w:vertAlign w:val="superscript"/>
        </w:rPr>
        <w:t>22</w:t>
      </w:r>
      <w:r>
        <w:t xml:space="preserve"> Notably, the study estimated an increase from </w:t>
      </w:r>
      <w:proofErr w:type="gramStart"/>
      <w:r>
        <w:t>approximately 838,000</w:t>
      </w:r>
      <w:proofErr w:type="gramEnd"/>
      <w:r>
        <w:t xml:space="preserve"> people living with LTBI in 2006 to approximately 1,084,000 people in 2016. This increased prevalence equates to an annual average of approximately 24,600 new LTBI cases among the Australian population. In the most recent national surveillance report, notifications of TB in Queensland accounted for 13% of the five-year mean (2013–2017) for nationally notified cases.</w:t>
      </w:r>
      <w:r>
        <w:rPr>
          <w:vertAlign w:val="superscript"/>
        </w:rPr>
        <w:t>23</w:t>
      </w:r>
      <w:r>
        <w:t xml:space="preserve"> Applying this value to the paper’s results, Queensland would report approximately 3,200 new LTBI cases per year. While this crude calculation is limited, and recognising that not all cases would be notified, this estimate falls within our </w:t>
      </w:r>
      <w:proofErr w:type="gramStart"/>
      <w:r>
        <w:t>possible range</w:t>
      </w:r>
      <w:proofErr w:type="gramEnd"/>
      <w:r>
        <w:t xml:space="preserve"> of annual values. </w:t>
      </w:r>
    </w:p>
    <w:p w14:paraId="3F48B294" w14:textId="77777777" w:rsidR="00051973" w:rsidRDefault="00051973" w:rsidP="00051973">
      <w:pPr>
        <w:divId w:val="1330868351"/>
      </w:pPr>
      <w:r>
        <w:t>In Australia, TB importation from high-incidence countries and high rates of people movement complicate the pathway towards TB elimination.</w:t>
      </w:r>
      <w:r>
        <w:rPr>
          <w:vertAlign w:val="superscript"/>
        </w:rPr>
        <w:t>22</w:t>
      </w:r>
      <w:r>
        <w:t xml:space="preserve"> The public health management of LTBI is expected to have an impact on the success of tuberculosis control efforts,</w:t>
      </w:r>
      <w:proofErr w:type="gramStart"/>
      <w:r>
        <w:rPr>
          <w:vertAlign w:val="superscript"/>
        </w:rPr>
        <w:t>3</w:t>
      </w:r>
      <w:proofErr w:type="gramEnd"/>
      <w:r>
        <w:t xml:space="preserve"> with the acknowledgement that risk of future re-infection adds complexity. While the resource requirements for LTBI surveillance should not be underestimated, it is likely that future improved accuracy of diagnostic testing (e.g., microRNA biomarkers) and shorter, better tolerated antimicrobial regimens will improve the cost effectiveness of an investment in LTBI surveillance as </w:t>
      </w:r>
      <w:proofErr w:type="gramStart"/>
      <w:r>
        <w:t>an important component</w:t>
      </w:r>
      <w:proofErr w:type="gramEnd"/>
      <w:r>
        <w:t xml:space="preserve"> of the public health </w:t>
      </w:r>
      <w:r>
        <w:lastRenderedPageBreak/>
        <w:t xml:space="preserve">control of tuberculosis. Our combined analysis of TST and IGRA testing data in Queensland </w:t>
      </w:r>
      <w:proofErr w:type="gramStart"/>
      <w:r>
        <w:t>provides</w:t>
      </w:r>
      <w:proofErr w:type="gramEnd"/>
      <w:r>
        <w:t xml:space="preserve"> a valuable reference for these considerations, and for identifying necessary resourcing requirements to support the future surveillance of LTBI. </w:t>
      </w:r>
    </w:p>
    <w:p w14:paraId="62F7BF8A" w14:textId="77777777" w:rsidR="00051973" w:rsidRPr="00051973" w:rsidRDefault="00051973" w:rsidP="00051973">
      <w:pPr>
        <w:pStyle w:val="Heading1"/>
        <w:divId w:val="1330868351"/>
      </w:pPr>
      <w:r w:rsidRPr="00051973">
        <w:t xml:space="preserve">Acknowledgements </w:t>
      </w:r>
    </w:p>
    <w:p w14:paraId="557C00ED" w14:textId="77777777" w:rsidR="00051973" w:rsidRDefault="00051973" w:rsidP="00051973">
      <w:pPr>
        <w:divId w:val="1330868351"/>
      </w:pPr>
      <w:r>
        <w:t xml:space="preserve">We are grateful to Pathology Queensland and Sullivan Nicolaides Pathology for their provision of data and contribution to this work. We are grateful to the staff at Cairns and Hinterland Hospital and Health Service and Metro South Hospital and Health Service for their support for this project. </w:t>
      </w:r>
    </w:p>
    <w:p w14:paraId="113C5E3D" w14:textId="77777777" w:rsidR="00051973" w:rsidRPr="00051973" w:rsidRDefault="00051973" w:rsidP="00051973">
      <w:pPr>
        <w:pStyle w:val="Heading1"/>
        <w:divId w:val="1330868351"/>
      </w:pPr>
      <w:r w:rsidRPr="00051973">
        <w:t xml:space="preserve">Author details </w:t>
      </w:r>
    </w:p>
    <w:p w14:paraId="53F81157" w14:textId="77777777" w:rsidR="00051973" w:rsidRDefault="00051973" w:rsidP="00051973">
      <w:pPr>
        <w:divId w:val="1330868351"/>
      </w:pPr>
      <w:r>
        <w:t>Ms Marguerite Dalmau</w:t>
      </w:r>
      <w:r>
        <w:rPr>
          <w:vertAlign w:val="superscript"/>
        </w:rPr>
        <w:t xml:space="preserve">1,2 </w:t>
      </w:r>
    </w:p>
    <w:p w14:paraId="6EBE25DF" w14:textId="77777777" w:rsidR="00051973" w:rsidRDefault="00051973" w:rsidP="00051973">
      <w:pPr>
        <w:divId w:val="1330868351"/>
      </w:pPr>
      <w:r>
        <w:t>Dr Chris Coulter</w:t>
      </w:r>
      <w:r>
        <w:rPr>
          <w:vertAlign w:val="superscript"/>
        </w:rPr>
        <w:t>1,3</w:t>
      </w:r>
      <w:r>
        <w:t xml:space="preserve"> </w:t>
      </w:r>
    </w:p>
    <w:p w14:paraId="0FBFD21A" w14:textId="77777777" w:rsidR="00051973" w:rsidRDefault="00051973" w:rsidP="00051973">
      <w:pPr>
        <w:divId w:val="1330868351"/>
      </w:pPr>
      <w:r>
        <w:t>Ms Bridget O’Connor</w:t>
      </w:r>
      <w:r>
        <w:rPr>
          <w:vertAlign w:val="superscript"/>
        </w:rPr>
        <w:t xml:space="preserve">1 </w:t>
      </w:r>
    </w:p>
    <w:p w14:paraId="4CEBED1C" w14:textId="77777777" w:rsidR="00051973" w:rsidRDefault="00051973" w:rsidP="00051973">
      <w:pPr>
        <w:divId w:val="1330868351"/>
      </w:pPr>
      <w:r>
        <w:t>Dr Jennifer Robson</w:t>
      </w:r>
      <w:r>
        <w:rPr>
          <w:vertAlign w:val="superscript"/>
        </w:rPr>
        <w:t>4</w:t>
      </w:r>
      <w:r>
        <w:t xml:space="preserve"> </w:t>
      </w:r>
    </w:p>
    <w:p w14:paraId="11F437D2" w14:textId="77777777" w:rsidR="00051973" w:rsidRDefault="00051973" w:rsidP="00051973">
      <w:pPr>
        <w:divId w:val="1330868351"/>
      </w:pPr>
      <w:r>
        <w:t>Dr Emma Field</w:t>
      </w:r>
      <w:r>
        <w:rPr>
          <w:vertAlign w:val="superscript"/>
        </w:rPr>
        <w:t xml:space="preserve">2 </w:t>
      </w:r>
    </w:p>
    <w:p w14:paraId="610E354D" w14:textId="77777777" w:rsidR="00051973" w:rsidRDefault="00051973" w:rsidP="00051973">
      <w:pPr>
        <w:divId w:val="1330868351"/>
      </w:pPr>
      <w:r>
        <w:t>Dr Stephen Lambert</w:t>
      </w:r>
      <w:r>
        <w:rPr>
          <w:vertAlign w:val="superscript"/>
        </w:rPr>
        <w:t xml:space="preserve">1,2,5 </w:t>
      </w:r>
    </w:p>
    <w:p w14:paraId="791FA5C8" w14:textId="77777777" w:rsidR="00051973" w:rsidRPr="00051973" w:rsidRDefault="00051973" w:rsidP="00051973">
      <w:pPr>
        <w:pStyle w:val="ListParagraph"/>
        <w:numPr>
          <w:ilvl w:val="0"/>
          <w:numId w:val="11"/>
        </w:numPr>
        <w:divId w:val="1330868351"/>
        <w:rPr>
          <w:rFonts w:eastAsia="Times New Roman"/>
        </w:rPr>
      </w:pPr>
      <w:r w:rsidRPr="00051973">
        <w:rPr>
          <w:rFonts w:eastAsia="Times New Roman"/>
        </w:rPr>
        <w:t xml:space="preserve">Communicable Diseases Branch, Department of Health, Queensland Health, Brisbane. </w:t>
      </w:r>
    </w:p>
    <w:p w14:paraId="4E27EF8D" w14:textId="77777777" w:rsidR="00051973" w:rsidRPr="00051973" w:rsidRDefault="00051973" w:rsidP="00051973">
      <w:pPr>
        <w:pStyle w:val="ListParagraph"/>
        <w:numPr>
          <w:ilvl w:val="0"/>
          <w:numId w:val="11"/>
        </w:numPr>
        <w:divId w:val="1330868351"/>
        <w:rPr>
          <w:rFonts w:eastAsia="Times New Roman"/>
        </w:rPr>
      </w:pPr>
      <w:r w:rsidRPr="00051973">
        <w:rPr>
          <w:rFonts w:eastAsia="Times New Roman"/>
        </w:rPr>
        <w:t xml:space="preserve">National Centre for Epidemiology and Population Health, Research School of Population Health, The Australian National University, Canberra. </w:t>
      </w:r>
    </w:p>
    <w:p w14:paraId="6D1DE4D6" w14:textId="77777777" w:rsidR="00051973" w:rsidRPr="00051973" w:rsidRDefault="00051973" w:rsidP="00051973">
      <w:pPr>
        <w:pStyle w:val="ListParagraph"/>
        <w:numPr>
          <w:ilvl w:val="0"/>
          <w:numId w:val="11"/>
        </w:numPr>
        <w:divId w:val="1330868351"/>
        <w:rPr>
          <w:rFonts w:eastAsia="Times New Roman"/>
        </w:rPr>
      </w:pPr>
      <w:r w:rsidRPr="00051973">
        <w:rPr>
          <w:rFonts w:eastAsia="Times New Roman"/>
        </w:rPr>
        <w:t xml:space="preserve">Queensland Mycobacterium Reference Laboratory, Pathology Queensland, Brisbane. </w:t>
      </w:r>
    </w:p>
    <w:p w14:paraId="2EE0E62C" w14:textId="77777777" w:rsidR="00051973" w:rsidRPr="00051973" w:rsidRDefault="00051973" w:rsidP="00051973">
      <w:pPr>
        <w:pStyle w:val="ListParagraph"/>
        <w:numPr>
          <w:ilvl w:val="0"/>
          <w:numId w:val="11"/>
        </w:numPr>
        <w:divId w:val="1330868351"/>
        <w:rPr>
          <w:rFonts w:eastAsia="Times New Roman"/>
        </w:rPr>
      </w:pPr>
      <w:r w:rsidRPr="00051973">
        <w:rPr>
          <w:rFonts w:eastAsia="Times New Roman"/>
        </w:rPr>
        <w:t xml:space="preserve">Department of Microbiology and Molecular Pathology, Sullivan Nicolaides Pathology, Queensland. </w:t>
      </w:r>
    </w:p>
    <w:p w14:paraId="04EAE65A" w14:textId="77777777" w:rsidR="00051973" w:rsidRPr="00051973" w:rsidRDefault="00051973" w:rsidP="00051973">
      <w:pPr>
        <w:pStyle w:val="ListParagraph"/>
        <w:numPr>
          <w:ilvl w:val="0"/>
          <w:numId w:val="11"/>
        </w:numPr>
        <w:divId w:val="1330868351"/>
        <w:rPr>
          <w:rFonts w:eastAsia="Times New Roman"/>
        </w:rPr>
      </w:pPr>
      <w:r w:rsidRPr="00051973">
        <w:rPr>
          <w:rFonts w:eastAsia="Times New Roman"/>
        </w:rPr>
        <w:t xml:space="preserve">National Centre for Immunisation Research and Surveillance, Westmead. </w:t>
      </w:r>
    </w:p>
    <w:p w14:paraId="4293BF4C" w14:textId="77777777" w:rsidR="00051973" w:rsidRPr="00051973" w:rsidRDefault="00051973" w:rsidP="00CA664B">
      <w:pPr>
        <w:pStyle w:val="Heading2"/>
        <w:spacing w:after="200"/>
        <w:divId w:val="1330868351"/>
      </w:pPr>
      <w:r w:rsidRPr="00051973">
        <w:t xml:space="preserve">Corresponding author </w:t>
      </w:r>
    </w:p>
    <w:p w14:paraId="0FA2D7B5" w14:textId="77777777" w:rsidR="008F5114" w:rsidRDefault="00051973" w:rsidP="00051973">
      <w:pPr>
        <w:divId w:val="1330868351"/>
      </w:pPr>
      <w:r>
        <w:t>Marguerite Dalmau</w:t>
      </w:r>
    </w:p>
    <w:p w14:paraId="64FC3518" w14:textId="77777777" w:rsidR="008F5114" w:rsidRDefault="00051973" w:rsidP="00051973">
      <w:pPr>
        <w:divId w:val="1330868351"/>
      </w:pPr>
      <w:r>
        <w:t>Telephone: (07) 3328 9724</w:t>
      </w:r>
    </w:p>
    <w:p w14:paraId="391E8DB8" w14:textId="49588BE9" w:rsidR="00051973" w:rsidRDefault="00051973" w:rsidP="00051973">
      <w:pPr>
        <w:divId w:val="1330868351"/>
      </w:pPr>
      <w:r>
        <w:t>Email: meg.dalmau@anu.edu.au</w:t>
      </w:r>
    </w:p>
    <w:p w14:paraId="30DE5723" w14:textId="77777777" w:rsidR="00EC6D47" w:rsidRDefault="00EC6D47">
      <w:pPr>
        <w:rPr>
          <w:rFonts w:asciiTheme="majorHAnsi" w:eastAsiaTheme="majorEastAsia" w:hAnsiTheme="majorHAnsi" w:cstheme="majorBidi"/>
          <w:b/>
          <w:bCs/>
          <w:sz w:val="32"/>
          <w:szCs w:val="28"/>
        </w:rPr>
      </w:pPr>
      <w:r>
        <w:br w:type="page"/>
      </w:r>
    </w:p>
    <w:p w14:paraId="642F8DC7" w14:textId="08369427" w:rsidR="00051973" w:rsidRPr="00051973" w:rsidRDefault="00051973" w:rsidP="00051973">
      <w:pPr>
        <w:pStyle w:val="Heading1"/>
        <w:divId w:val="1330868351"/>
      </w:pPr>
      <w:r w:rsidRPr="00051973">
        <w:lastRenderedPageBreak/>
        <w:t xml:space="preserve">References </w:t>
      </w:r>
    </w:p>
    <w:p w14:paraId="0F5F0581"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World Health Organization (WHO). </w:t>
      </w:r>
      <w:r w:rsidRPr="002F77AF">
        <w:rPr>
          <w:rStyle w:val="Emphasis"/>
          <w:rFonts w:eastAsia="Times New Roman"/>
          <w:b w:val="0"/>
          <w:bCs w:val="0"/>
        </w:rPr>
        <w:t>The End TB Strategy</w:t>
      </w:r>
      <w:r w:rsidRPr="00051973">
        <w:rPr>
          <w:rFonts w:eastAsia="Times New Roman"/>
        </w:rPr>
        <w:t xml:space="preserve">. Geneva: WHO Global Tuberculosis Programme; 16 August 2015. [Accessed on 28 June 2021.] Available from: https://www.who.int/publications/i/item/WHO-HTM-TB-2015.19. </w:t>
      </w:r>
    </w:p>
    <w:p w14:paraId="4B62E327"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WHO. </w:t>
      </w:r>
      <w:r w:rsidRPr="002F77AF">
        <w:rPr>
          <w:rStyle w:val="Emphasis"/>
          <w:rFonts w:eastAsia="Times New Roman"/>
          <w:b w:val="0"/>
          <w:bCs w:val="0"/>
        </w:rPr>
        <w:t>Towards tuberculosis elimination: an action framework for low-incidence countries</w:t>
      </w:r>
      <w:r w:rsidRPr="00051973">
        <w:rPr>
          <w:rFonts w:eastAsia="Times New Roman"/>
        </w:rPr>
        <w:t xml:space="preserve">. Geneva: WHO Global Tuberculosis Programme; 18 March 2014. [Accessed on 26 June 2021.] Available from: https://www.who.int/publications/i/item/9789241507707. </w:t>
      </w:r>
    </w:p>
    <w:p w14:paraId="2BB13F56" w14:textId="77777777" w:rsidR="00051973" w:rsidRPr="00051973" w:rsidRDefault="00051973" w:rsidP="00051973">
      <w:pPr>
        <w:pStyle w:val="ListParagraph"/>
        <w:numPr>
          <w:ilvl w:val="0"/>
          <w:numId w:val="12"/>
        </w:numPr>
        <w:divId w:val="1330868351"/>
        <w:rPr>
          <w:rFonts w:eastAsia="Times New Roman"/>
        </w:rPr>
      </w:pPr>
      <w:proofErr w:type="spellStart"/>
      <w:r w:rsidRPr="00051973">
        <w:rPr>
          <w:rFonts w:eastAsia="Times New Roman"/>
        </w:rPr>
        <w:t>Houben</w:t>
      </w:r>
      <w:proofErr w:type="spellEnd"/>
      <w:r w:rsidRPr="00051973">
        <w:rPr>
          <w:rFonts w:eastAsia="Times New Roman"/>
        </w:rPr>
        <w:t xml:space="preserve"> RMGJ, Dodd PJ. The global burden of latent tuberculosis infection: a re-estimation using mathematical modelling. </w:t>
      </w:r>
      <w:proofErr w:type="spellStart"/>
      <w:r w:rsidRPr="002F77AF">
        <w:rPr>
          <w:rStyle w:val="Emphasis"/>
          <w:rFonts w:eastAsia="Times New Roman"/>
          <w:b w:val="0"/>
          <w:bCs w:val="0"/>
        </w:rPr>
        <w:t>PLoS</w:t>
      </w:r>
      <w:proofErr w:type="spellEnd"/>
      <w:r w:rsidRPr="002F77AF">
        <w:rPr>
          <w:rStyle w:val="Emphasis"/>
          <w:rFonts w:eastAsia="Times New Roman"/>
          <w:b w:val="0"/>
          <w:bCs w:val="0"/>
        </w:rPr>
        <w:t xml:space="preserve"> Med</w:t>
      </w:r>
      <w:r w:rsidRPr="00051973">
        <w:rPr>
          <w:rFonts w:eastAsia="Times New Roman"/>
        </w:rPr>
        <w:t>. 2016;10(13</w:t>
      </w:r>
      <w:proofErr w:type="gramStart"/>
      <w:r w:rsidRPr="00051973">
        <w:rPr>
          <w:rFonts w:eastAsia="Times New Roman"/>
        </w:rPr>
        <w:t>):e</w:t>
      </w:r>
      <w:proofErr w:type="gramEnd"/>
      <w:r w:rsidRPr="00051973">
        <w:rPr>
          <w:rFonts w:eastAsia="Times New Roman"/>
        </w:rPr>
        <w:t xml:space="preserve">1002152. </w:t>
      </w:r>
      <w:proofErr w:type="spellStart"/>
      <w:r w:rsidRPr="00051973">
        <w:rPr>
          <w:rFonts w:eastAsia="Times New Roman"/>
        </w:rPr>
        <w:t>doi</w:t>
      </w:r>
      <w:proofErr w:type="spellEnd"/>
      <w:r w:rsidRPr="00051973">
        <w:rPr>
          <w:rFonts w:eastAsia="Times New Roman"/>
        </w:rPr>
        <w:t xml:space="preserve">: https://doi.org/10.1371/journal.pmed.1002152. </w:t>
      </w:r>
    </w:p>
    <w:p w14:paraId="49D79CDC"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Queensland Government Department of Health (Queensland Health). </w:t>
      </w:r>
      <w:r w:rsidRPr="002F77AF">
        <w:rPr>
          <w:rStyle w:val="Emphasis"/>
          <w:rFonts w:eastAsia="Times New Roman"/>
          <w:b w:val="0"/>
          <w:bCs w:val="0"/>
        </w:rPr>
        <w:t>Management of Latent Tuberculosis in Adults: Guideline Version 1.0: April 2016</w:t>
      </w:r>
      <w:r w:rsidRPr="00051973">
        <w:rPr>
          <w:rFonts w:eastAsia="Times New Roman"/>
        </w:rPr>
        <w:t xml:space="preserve">. Brisbane: Queensland Health; April 2016. [Accessed on 26 June 2021.] Available from: https://www.health.qld.gov.au/__data/assets/pdf_file/0023/444425/latent-tb-adult.pdf. </w:t>
      </w:r>
    </w:p>
    <w:p w14:paraId="6FA97CDC"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Stock D, National Tuberculosis Advisory Committee. National position statement for the management of latent tuberculosis infection. </w:t>
      </w:r>
      <w:proofErr w:type="spellStart"/>
      <w:r w:rsidRPr="002F77AF">
        <w:rPr>
          <w:rStyle w:val="Emphasis"/>
          <w:rFonts w:eastAsia="Times New Roman"/>
          <w:b w:val="0"/>
          <w:bCs w:val="0"/>
        </w:rPr>
        <w:t>Commun</w:t>
      </w:r>
      <w:proofErr w:type="spellEnd"/>
      <w:r w:rsidRPr="002F77AF">
        <w:rPr>
          <w:rStyle w:val="Emphasis"/>
          <w:rFonts w:eastAsia="Times New Roman"/>
          <w:b w:val="0"/>
          <w:bCs w:val="0"/>
        </w:rPr>
        <w:t xml:space="preserve"> Dis </w:t>
      </w:r>
      <w:proofErr w:type="spellStart"/>
      <w:r w:rsidRPr="002F77AF">
        <w:rPr>
          <w:rStyle w:val="Emphasis"/>
          <w:rFonts w:eastAsia="Times New Roman"/>
          <w:b w:val="0"/>
          <w:bCs w:val="0"/>
        </w:rPr>
        <w:t>Intell</w:t>
      </w:r>
      <w:proofErr w:type="spellEnd"/>
      <w:r w:rsidRPr="002F77AF">
        <w:rPr>
          <w:rStyle w:val="Emphasis"/>
          <w:rFonts w:eastAsia="Times New Roman"/>
          <w:b w:val="0"/>
          <w:bCs w:val="0"/>
        </w:rPr>
        <w:t xml:space="preserve"> Q Rep</w:t>
      </w:r>
      <w:r w:rsidRPr="00051973">
        <w:rPr>
          <w:rFonts w:eastAsia="Times New Roman"/>
        </w:rPr>
        <w:t>. 2017;41(3</w:t>
      </w:r>
      <w:proofErr w:type="gramStart"/>
      <w:r w:rsidRPr="00051973">
        <w:rPr>
          <w:rFonts w:eastAsia="Times New Roman"/>
        </w:rPr>
        <w:t>):E</w:t>
      </w:r>
      <w:proofErr w:type="gramEnd"/>
      <w:r w:rsidRPr="00051973">
        <w:rPr>
          <w:rFonts w:eastAsia="Times New Roman"/>
        </w:rPr>
        <w:t xml:space="preserve">204–8. </w:t>
      </w:r>
    </w:p>
    <w:p w14:paraId="5427F510"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Cohen A, </w:t>
      </w:r>
      <w:proofErr w:type="spellStart"/>
      <w:r w:rsidRPr="00051973">
        <w:rPr>
          <w:rFonts w:eastAsia="Times New Roman"/>
        </w:rPr>
        <w:t>Mathiasen</w:t>
      </w:r>
      <w:proofErr w:type="spellEnd"/>
      <w:r w:rsidRPr="00051973">
        <w:rPr>
          <w:rFonts w:eastAsia="Times New Roman"/>
        </w:rPr>
        <w:t xml:space="preserve"> VD, Schön T, </w:t>
      </w:r>
      <w:proofErr w:type="spellStart"/>
      <w:r w:rsidRPr="00051973">
        <w:rPr>
          <w:rFonts w:eastAsia="Times New Roman"/>
        </w:rPr>
        <w:t>Wejse</w:t>
      </w:r>
      <w:proofErr w:type="spellEnd"/>
      <w:r w:rsidRPr="00051973">
        <w:rPr>
          <w:rFonts w:eastAsia="Times New Roman"/>
        </w:rPr>
        <w:t xml:space="preserve"> C. The global prevalence of latent tuberculosis: a systematic review and meta-analysis. </w:t>
      </w:r>
      <w:proofErr w:type="spellStart"/>
      <w:r w:rsidRPr="002F77AF">
        <w:rPr>
          <w:rStyle w:val="Emphasis"/>
          <w:rFonts w:eastAsia="Times New Roman"/>
          <w:b w:val="0"/>
          <w:bCs w:val="0"/>
        </w:rPr>
        <w:t>Eur</w:t>
      </w:r>
      <w:proofErr w:type="spellEnd"/>
      <w:r w:rsidRPr="002F77AF">
        <w:rPr>
          <w:rStyle w:val="Emphasis"/>
          <w:rFonts w:eastAsia="Times New Roman"/>
          <w:b w:val="0"/>
          <w:bCs w:val="0"/>
        </w:rPr>
        <w:t xml:space="preserve"> Respir J</w:t>
      </w:r>
      <w:r w:rsidRPr="00051973">
        <w:rPr>
          <w:rFonts w:eastAsia="Times New Roman"/>
        </w:rPr>
        <w:t xml:space="preserve">. 2019;54(3):1900655. </w:t>
      </w:r>
      <w:proofErr w:type="spellStart"/>
      <w:r w:rsidRPr="00051973">
        <w:rPr>
          <w:rFonts w:eastAsia="Times New Roman"/>
        </w:rPr>
        <w:t>doi</w:t>
      </w:r>
      <w:proofErr w:type="spellEnd"/>
      <w:r w:rsidRPr="00051973">
        <w:rPr>
          <w:rFonts w:eastAsia="Times New Roman"/>
        </w:rPr>
        <w:t xml:space="preserve">: https://doi.org/10.1183/13993003.00655-2019. </w:t>
      </w:r>
    </w:p>
    <w:p w14:paraId="1BF14B72"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Dale KD, </w:t>
      </w:r>
      <w:proofErr w:type="spellStart"/>
      <w:r w:rsidRPr="00051973">
        <w:rPr>
          <w:rFonts w:eastAsia="Times New Roman"/>
        </w:rPr>
        <w:t>Karmakar</w:t>
      </w:r>
      <w:proofErr w:type="spellEnd"/>
      <w:r w:rsidRPr="00051973">
        <w:rPr>
          <w:rFonts w:eastAsia="Times New Roman"/>
        </w:rPr>
        <w:t xml:space="preserve"> M, Snow KJ, Menzies D, </w:t>
      </w:r>
      <w:proofErr w:type="spellStart"/>
      <w:r w:rsidRPr="00051973">
        <w:rPr>
          <w:rFonts w:eastAsia="Times New Roman"/>
        </w:rPr>
        <w:t>Trauer</w:t>
      </w:r>
      <w:proofErr w:type="spellEnd"/>
      <w:r w:rsidRPr="00051973">
        <w:rPr>
          <w:rFonts w:eastAsia="Times New Roman"/>
        </w:rPr>
        <w:t xml:space="preserve"> JM, Denholm JT. Quantifying the rates of late reactivation tuberculosis: a systematic review. </w:t>
      </w:r>
      <w:r w:rsidRPr="002F77AF">
        <w:rPr>
          <w:rStyle w:val="Emphasis"/>
          <w:rFonts w:eastAsia="Times New Roman"/>
          <w:b w:val="0"/>
          <w:bCs w:val="0"/>
        </w:rPr>
        <w:t>Lancet Infect Dis</w:t>
      </w:r>
      <w:r w:rsidRPr="00051973">
        <w:rPr>
          <w:rFonts w:eastAsia="Times New Roman"/>
        </w:rPr>
        <w:t>. 2021;21(10</w:t>
      </w:r>
      <w:proofErr w:type="gramStart"/>
      <w:r w:rsidRPr="00051973">
        <w:rPr>
          <w:rFonts w:eastAsia="Times New Roman"/>
        </w:rPr>
        <w:t>):e</w:t>
      </w:r>
      <w:proofErr w:type="gramEnd"/>
      <w:r w:rsidRPr="00051973">
        <w:rPr>
          <w:rFonts w:eastAsia="Times New Roman"/>
        </w:rPr>
        <w:t xml:space="preserve">303–17. </w:t>
      </w:r>
      <w:proofErr w:type="spellStart"/>
      <w:r w:rsidRPr="00051973">
        <w:rPr>
          <w:rFonts w:eastAsia="Times New Roman"/>
        </w:rPr>
        <w:t>doi</w:t>
      </w:r>
      <w:proofErr w:type="spellEnd"/>
      <w:r w:rsidRPr="00051973">
        <w:rPr>
          <w:rFonts w:eastAsia="Times New Roman"/>
        </w:rPr>
        <w:t xml:space="preserve">: https//doi.org/10.1016/S1473-3099(20)30728-3. </w:t>
      </w:r>
    </w:p>
    <w:p w14:paraId="12E805B8" w14:textId="77777777" w:rsidR="00051973" w:rsidRPr="00051973" w:rsidRDefault="00051973" w:rsidP="00051973">
      <w:pPr>
        <w:pStyle w:val="ListParagraph"/>
        <w:numPr>
          <w:ilvl w:val="0"/>
          <w:numId w:val="12"/>
        </w:numPr>
        <w:divId w:val="1330868351"/>
        <w:rPr>
          <w:rFonts w:eastAsia="Times New Roman"/>
        </w:rPr>
      </w:pPr>
      <w:proofErr w:type="spellStart"/>
      <w:r w:rsidRPr="00051973">
        <w:rPr>
          <w:rFonts w:eastAsia="Times New Roman"/>
        </w:rPr>
        <w:t>Trauer</w:t>
      </w:r>
      <w:proofErr w:type="spellEnd"/>
      <w:r w:rsidRPr="00051973">
        <w:rPr>
          <w:rFonts w:eastAsia="Times New Roman"/>
        </w:rPr>
        <w:t xml:space="preserve"> JM, </w:t>
      </w:r>
      <w:proofErr w:type="spellStart"/>
      <w:r w:rsidRPr="00051973">
        <w:rPr>
          <w:rFonts w:eastAsia="Times New Roman"/>
        </w:rPr>
        <w:t>Moyo</w:t>
      </w:r>
      <w:proofErr w:type="spellEnd"/>
      <w:r w:rsidRPr="00051973">
        <w:rPr>
          <w:rFonts w:eastAsia="Times New Roman"/>
        </w:rPr>
        <w:t xml:space="preserve"> N, Tay EL, Dale K, </w:t>
      </w:r>
      <w:proofErr w:type="spellStart"/>
      <w:r w:rsidRPr="00051973">
        <w:rPr>
          <w:rFonts w:eastAsia="Times New Roman"/>
        </w:rPr>
        <w:t>Ragonnet</w:t>
      </w:r>
      <w:proofErr w:type="spellEnd"/>
      <w:r w:rsidRPr="00051973">
        <w:rPr>
          <w:rFonts w:eastAsia="Times New Roman"/>
        </w:rPr>
        <w:t xml:space="preserve"> R, McBryde ES et al. Risk of active tuberculosis in the five years following infection . . . 15%? </w:t>
      </w:r>
      <w:r w:rsidRPr="002F77AF">
        <w:rPr>
          <w:rStyle w:val="Emphasis"/>
          <w:rFonts w:eastAsia="Times New Roman"/>
          <w:b w:val="0"/>
          <w:bCs w:val="0"/>
        </w:rPr>
        <w:t>Chest</w:t>
      </w:r>
      <w:r w:rsidRPr="00051973">
        <w:rPr>
          <w:rFonts w:eastAsia="Times New Roman"/>
        </w:rPr>
        <w:t xml:space="preserve">. 2016;149(2):516–25. </w:t>
      </w:r>
      <w:proofErr w:type="spellStart"/>
      <w:r w:rsidRPr="00051973">
        <w:rPr>
          <w:rFonts w:eastAsia="Times New Roman"/>
        </w:rPr>
        <w:t>doi</w:t>
      </w:r>
      <w:proofErr w:type="spellEnd"/>
      <w:r w:rsidRPr="00051973">
        <w:rPr>
          <w:rFonts w:eastAsia="Times New Roman"/>
        </w:rPr>
        <w:t xml:space="preserve">: https://doi.org/10.1016/j.chest.2015.11.017. </w:t>
      </w:r>
    </w:p>
    <w:p w14:paraId="6A302B40"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National Tuberculosis Advisory Committee for the Communicable Diseases Network Australia. The strategic plan for control of tuberculosis in Australia, 2016–2020: towards disease elimination. </w:t>
      </w:r>
      <w:proofErr w:type="spellStart"/>
      <w:r w:rsidRPr="002F77AF">
        <w:rPr>
          <w:rStyle w:val="Emphasis"/>
          <w:rFonts w:eastAsia="Times New Roman"/>
          <w:b w:val="0"/>
          <w:bCs w:val="0"/>
        </w:rPr>
        <w:t>Commun</w:t>
      </w:r>
      <w:proofErr w:type="spellEnd"/>
      <w:r w:rsidRPr="002F77AF">
        <w:rPr>
          <w:rStyle w:val="Emphasis"/>
          <w:rFonts w:eastAsia="Times New Roman"/>
          <w:b w:val="0"/>
          <w:bCs w:val="0"/>
        </w:rPr>
        <w:t xml:space="preserve"> Dis </w:t>
      </w:r>
      <w:proofErr w:type="spellStart"/>
      <w:r w:rsidRPr="002F77AF">
        <w:rPr>
          <w:rStyle w:val="Emphasis"/>
          <w:rFonts w:eastAsia="Times New Roman"/>
          <w:b w:val="0"/>
          <w:bCs w:val="0"/>
        </w:rPr>
        <w:t>Intell</w:t>
      </w:r>
      <w:proofErr w:type="spellEnd"/>
      <w:r w:rsidRPr="002F77AF">
        <w:rPr>
          <w:rStyle w:val="Emphasis"/>
          <w:rFonts w:eastAsia="Times New Roman"/>
          <w:b w:val="0"/>
          <w:bCs w:val="0"/>
        </w:rPr>
        <w:t xml:space="preserve"> (2018)</w:t>
      </w:r>
      <w:r w:rsidRPr="00051973">
        <w:rPr>
          <w:rFonts w:eastAsia="Times New Roman"/>
        </w:rPr>
        <w:t>. 2019;</w:t>
      </w:r>
      <w:proofErr w:type="gramStart"/>
      <w:r w:rsidRPr="00051973">
        <w:rPr>
          <w:rFonts w:eastAsia="Times New Roman"/>
        </w:rPr>
        <w:t>43</w:t>
      </w:r>
      <w:proofErr w:type="gramEnd"/>
      <w:r w:rsidRPr="00051973">
        <w:rPr>
          <w:rFonts w:eastAsia="Times New Roman"/>
        </w:rPr>
        <w:t xml:space="preserve">. </w:t>
      </w:r>
      <w:proofErr w:type="spellStart"/>
      <w:r w:rsidRPr="00051973">
        <w:rPr>
          <w:rFonts w:eastAsia="Times New Roman"/>
        </w:rPr>
        <w:t>doi</w:t>
      </w:r>
      <w:proofErr w:type="spellEnd"/>
      <w:r w:rsidRPr="00051973">
        <w:rPr>
          <w:rFonts w:eastAsia="Times New Roman"/>
        </w:rPr>
        <w:t xml:space="preserve">: https://doi.org/10.33321/cdi.2019.43.10. </w:t>
      </w:r>
    </w:p>
    <w:p w14:paraId="54F8140F"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Queensland Health. Contact a tuberculosis service. [Internet.] Brisbane: Queensland Health; 12 November 2020. [Accessed on 22 August 2022.] Available from: https://www.health.qld.gov.au/clinical-practice/guidelines-procedures/diseases-infection/diseases/tuberculosis/contact-a-service. </w:t>
      </w:r>
    </w:p>
    <w:p w14:paraId="4C266D2C"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Australian Government Department of Health and Aged Care. Medicare Benefits Schedule - Item 69471. [Internet.] Canberra: Australian Government Department of Health and Aged Care, Medicare Benefits Schedule; 2022. [Accessed on 27 August 2022.] Available from: http://www9.health.gov.au/mbs/fullDisplay.cfm?type=item&amp;qt=ItemID&amp;q=69471. </w:t>
      </w:r>
    </w:p>
    <w:p w14:paraId="79371622"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Australian Government Department of Health and Aged Care. Medicare Benefits Schedule - Item 73811. [Internet.] Canberra: Australian Government Department of Health and Aged Care, Medicare Benefits Schedule; 2022. [Accessed on 2 October 2022.] Available from: http://www9.health.gov.au/mbs/fullDisplay.cfm?type=item&amp;qt=ItemID&amp;q=73811. </w:t>
      </w:r>
    </w:p>
    <w:p w14:paraId="51591ECC"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Australian Government Services Australia. Medicare Item Reports. [Webpage.] Canberra: Australian Government, Services Australia. [Accessed on 23 September 2021.] Available from: http://medicarestatistics.humanservices.gov.au/statistics/mbs_item.jsp. </w:t>
      </w:r>
    </w:p>
    <w:p w14:paraId="62FF491B"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Queensland Government. </w:t>
      </w:r>
      <w:r w:rsidRPr="002F77AF">
        <w:rPr>
          <w:rStyle w:val="Emphasis"/>
          <w:rFonts w:eastAsia="Times New Roman"/>
          <w:b w:val="0"/>
          <w:bCs w:val="0"/>
        </w:rPr>
        <w:t>Public Health Act 2005</w:t>
      </w:r>
      <w:r w:rsidRPr="00051973">
        <w:rPr>
          <w:rFonts w:eastAsia="Times New Roman"/>
        </w:rPr>
        <w:t xml:space="preserve">. [Legislation.] Brisbane: Queensland Government. [Accessed on 12 November 2021.] Available from: https://www.legislation.qld.gov.au/view/pdf/inforce/current/act-2005-048. </w:t>
      </w:r>
    </w:p>
    <w:p w14:paraId="76A47835"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Bastian I, Coulter C, National Tuberculosis Advisory Committee. Position statement on interferon-γ release assays for the detection of latent tuberculosis infection. </w:t>
      </w:r>
      <w:proofErr w:type="spellStart"/>
      <w:r w:rsidRPr="002F77AF">
        <w:rPr>
          <w:rStyle w:val="Emphasis"/>
          <w:rFonts w:eastAsia="Times New Roman"/>
          <w:b w:val="0"/>
          <w:bCs w:val="0"/>
        </w:rPr>
        <w:t>Commun</w:t>
      </w:r>
      <w:proofErr w:type="spellEnd"/>
      <w:r w:rsidRPr="002F77AF">
        <w:rPr>
          <w:rStyle w:val="Emphasis"/>
          <w:rFonts w:eastAsia="Times New Roman"/>
          <w:b w:val="0"/>
          <w:bCs w:val="0"/>
        </w:rPr>
        <w:t xml:space="preserve"> Dis </w:t>
      </w:r>
      <w:proofErr w:type="spellStart"/>
      <w:r w:rsidRPr="002F77AF">
        <w:rPr>
          <w:rStyle w:val="Emphasis"/>
          <w:rFonts w:eastAsia="Times New Roman"/>
          <w:b w:val="0"/>
          <w:bCs w:val="0"/>
        </w:rPr>
        <w:t>Intell</w:t>
      </w:r>
      <w:proofErr w:type="spellEnd"/>
      <w:r w:rsidRPr="002F77AF">
        <w:rPr>
          <w:rStyle w:val="Emphasis"/>
          <w:rFonts w:eastAsia="Times New Roman"/>
          <w:b w:val="0"/>
          <w:bCs w:val="0"/>
        </w:rPr>
        <w:t xml:space="preserve"> Q Rep</w:t>
      </w:r>
      <w:r w:rsidRPr="00051973">
        <w:rPr>
          <w:rFonts w:eastAsia="Times New Roman"/>
        </w:rPr>
        <w:t>. 2017;41(4</w:t>
      </w:r>
      <w:proofErr w:type="gramStart"/>
      <w:r w:rsidRPr="00051973">
        <w:rPr>
          <w:rFonts w:eastAsia="Times New Roman"/>
        </w:rPr>
        <w:t>):E</w:t>
      </w:r>
      <w:proofErr w:type="gramEnd"/>
      <w:r w:rsidRPr="00051973">
        <w:rPr>
          <w:rFonts w:eastAsia="Times New Roman"/>
        </w:rPr>
        <w:t xml:space="preserve">322–36. </w:t>
      </w:r>
    </w:p>
    <w:p w14:paraId="1EA47C92"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lastRenderedPageBreak/>
        <w:t xml:space="preserve">Queensland Health. Notifiable conditions annual reporting. [Webpage.] Brisbane: Queensland Health; 2022. [Accessed on 19 September 2022.] Available from: https://www.health.qld.gov.au/clinical-practice/guidelines-procedures/diseases-infection/surveillance/reports/notifiable/annual. </w:t>
      </w:r>
    </w:p>
    <w:p w14:paraId="274BB57F"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Australian Government Department of Health and Aged Care. National Notifiable Diseases Surveillance System (NNDSS): About the NNDSS. [Internet.] Canberra: Australian Government Department of Health and Aged Care; 19 July 2022. [Accessed on 28 August 2022.] Available from: https://www.health.gov.au/initiatives-and-programs/nndss#about-the-nndss. </w:t>
      </w:r>
    </w:p>
    <w:p w14:paraId="1E7E956B"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Australian Government Department of Health and Aged Care. CDNA Series of National Guidelines (</w:t>
      </w:r>
      <w:proofErr w:type="spellStart"/>
      <w:r w:rsidRPr="00051973">
        <w:rPr>
          <w:rFonts w:eastAsia="Times New Roman"/>
        </w:rPr>
        <w:t>SoNGs</w:t>
      </w:r>
      <w:proofErr w:type="spellEnd"/>
      <w:r w:rsidRPr="00051973">
        <w:rPr>
          <w:rFonts w:eastAsia="Times New Roman"/>
        </w:rPr>
        <w:t xml:space="preserve">). [Internet.] Canberra: Australian Government Department of Health and Aged Care, Communicable Diseases Network Australia; 27 July 2022. [Accessed on 28 August 2022.] Available from: https://www.health.gov.au/resources/collections/cdna-series-of-national-guidelines-songs. </w:t>
      </w:r>
    </w:p>
    <w:p w14:paraId="7936D9E6"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National Tuberculosis Advisory Committee for the Communicable Diseases Network Australia. The Strategic Plan for Control of Tuberculosis in Australia, 2021–2025. </w:t>
      </w:r>
      <w:proofErr w:type="spellStart"/>
      <w:r w:rsidRPr="002F77AF">
        <w:rPr>
          <w:rStyle w:val="Emphasis"/>
          <w:rFonts w:eastAsia="Times New Roman"/>
          <w:b w:val="0"/>
          <w:bCs w:val="0"/>
        </w:rPr>
        <w:t>Commun</w:t>
      </w:r>
      <w:proofErr w:type="spellEnd"/>
      <w:r w:rsidRPr="002F77AF">
        <w:rPr>
          <w:rStyle w:val="Emphasis"/>
          <w:rFonts w:eastAsia="Times New Roman"/>
          <w:b w:val="0"/>
          <w:bCs w:val="0"/>
        </w:rPr>
        <w:t xml:space="preserve"> Dis </w:t>
      </w:r>
      <w:proofErr w:type="spellStart"/>
      <w:r w:rsidRPr="002F77AF">
        <w:rPr>
          <w:rStyle w:val="Emphasis"/>
          <w:rFonts w:eastAsia="Times New Roman"/>
          <w:b w:val="0"/>
          <w:bCs w:val="0"/>
        </w:rPr>
        <w:t>Intell</w:t>
      </w:r>
      <w:proofErr w:type="spellEnd"/>
      <w:r w:rsidRPr="002F77AF">
        <w:rPr>
          <w:rStyle w:val="Emphasis"/>
          <w:rFonts w:eastAsia="Times New Roman"/>
          <w:b w:val="0"/>
          <w:bCs w:val="0"/>
        </w:rPr>
        <w:t xml:space="preserve"> (2018)</w:t>
      </w:r>
      <w:r w:rsidRPr="00051973">
        <w:rPr>
          <w:rFonts w:eastAsia="Times New Roman"/>
        </w:rPr>
        <w:t>. 2022;</w:t>
      </w:r>
      <w:proofErr w:type="gramStart"/>
      <w:r w:rsidRPr="00051973">
        <w:rPr>
          <w:rFonts w:eastAsia="Times New Roman"/>
        </w:rPr>
        <w:t>46</w:t>
      </w:r>
      <w:proofErr w:type="gramEnd"/>
      <w:r w:rsidRPr="00051973">
        <w:rPr>
          <w:rFonts w:eastAsia="Times New Roman"/>
        </w:rPr>
        <w:t xml:space="preserve">. </w:t>
      </w:r>
      <w:proofErr w:type="spellStart"/>
      <w:r w:rsidRPr="00051973">
        <w:rPr>
          <w:rFonts w:eastAsia="Times New Roman"/>
        </w:rPr>
        <w:t>doi</w:t>
      </w:r>
      <w:proofErr w:type="spellEnd"/>
      <w:r w:rsidRPr="00051973">
        <w:rPr>
          <w:rFonts w:eastAsia="Times New Roman"/>
        </w:rPr>
        <w:t xml:space="preserve">: https://doi.org/10.33321/cdi.2022.46.48. </w:t>
      </w:r>
    </w:p>
    <w:p w14:paraId="485236F4" w14:textId="77777777" w:rsidR="00051973" w:rsidRPr="00051973" w:rsidRDefault="00051973" w:rsidP="00051973">
      <w:pPr>
        <w:pStyle w:val="ListParagraph"/>
        <w:numPr>
          <w:ilvl w:val="0"/>
          <w:numId w:val="12"/>
        </w:numPr>
        <w:divId w:val="1330868351"/>
        <w:rPr>
          <w:rFonts w:eastAsia="Times New Roman"/>
        </w:rPr>
      </w:pPr>
      <w:proofErr w:type="spellStart"/>
      <w:r w:rsidRPr="00051973">
        <w:rPr>
          <w:rFonts w:eastAsia="Times New Roman"/>
        </w:rPr>
        <w:t>Kawatsu</w:t>
      </w:r>
      <w:proofErr w:type="spellEnd"/>
      <w:r w:rsidRPr="00051973">
        <w:rPr>
          <w:rFonts w:eastAsia="Times New Roman"/>
        </w:rPr>
        <w:t xml:space="preserve"> L, Uchimura K, </w:t>
      </w:r>
      <w:proofErr w:type="spellStart"/>
      <w:r w:rsidRPr="00051973">
        <w:rPr>
          <w:rFonts w:eastAsia="Times New Roman"/>
        </w:rPr>
        <w:t>Ohkado</w:t>
      </w:r>
      <w:proofErr w:type="spellEnd"/>
      <w:r w:rsidRPr="00051973">
        <w:rPr>
          <w:rFonts w:eastAsia="Times New Roman"/>
        </w:rPr>
        <w:t xml:space="preserve"> A. </w:t>
      </w:r>
      <w:proofErr w:type="gramStart"/>
      <w:r w:rsidRPr="00051973">
        <w:rPr>
          <w:rFonts w:eastAsia="Times New Roman"/>
        </w:rPr>
        <w:t>Trend</w:t>
      </w:r>
      <w:proofErr w:type="gramEnd"/>
      <w:r w:rsidRPr="00051973">
        <w:rPr>
          <w:rFonts w:eastAsia="Times New Roman"/>
        </w:rPr>
        <w:t xml:space="preserve"> and treatment status of latent tuberculosis infection patients in Japan – Analysis of Japan TB Surveillance data. </w:t>
      </w:r>
      <w:proofErr w:type="spellStart"/>
      <w:r w:rsidRPr="002F77AF">
        <w:rPr>
          <w:rStyle w:val="Emphasis"/>
          <w:rFonts w:eastAsia="Times New Roman"/>
          <w:b w:val="0"/>
          <w:bCs w:val="0"/>
        </w:rPr>
        <w:t>PLoS</w:t>
      </w:r>
      <w:proofErr w:type="spellEnd"/>
      <w:r w:rsidRPr="002F77AF">
        <w:rPr>
          <w:rStyle w:val="Emphasis"/>
          <w:rFonts w:eastAsia="Times New Roman"/>
          <w:b w:val="0"/>
          <w:bCs w:val="0"/>
        </w:rPr>
        <w:t xml:space="preserve"> One</w:t>
      </w:r>
      <w:r w:rsidRPr="00051973">
        <w:rPr>
          <w:rFonts w:eastAsia="Times New Roman"/>
        </w:rPr>
        <w:t>. 2017;12(11</w:t>
      </w:r>
      <w:proofErr w:type="gramStart"/>
      <w:r w:rsidRPr="00051973">
        <w:rPr>
          <w:rFonts w:eastAsia="Times New Roman"/>
        </w:rPr>
        <w:t>):e</w:t>
      </w:r>
      <w:proofErr w:type="gramEnd"/>
      <w:r w:rsidRPr="00051973">
        <w:rPr>
          <w:rFonts w:eastAsia="Times New Roman"/>
        </w:rPr>
        <w:t xml:space="preserve">0186588. </w:t>
      </w:r>
      <w:proofErr w:type="spellStart"/>
      <w:r w:rsidRPr="00051973">
        <w:rPr>
          <w:rFonts w:eastAsia="Times New Roman"/>
        </w:rPr>
        <w:t>doi</w:t>
      </w:r>
      <w:proofErr w:type="spellEnd"/>
      <w:r w:rsidRPr="00051973">
        <w:rPr>
          <w:rFonts w:eastAsia="Times New Roman"/>
        </w:rPr>
        <w:t xml:space="preserve">: https://doi.org/10.1371/journal.pone.0186588. </w:t>
      </w:r>
    </w:p>
    <w:p w14:paraId="151305C9" w14:textId="77777777" w:rsidR="00051973" w:rsidRPr="00051973" w:rsidRDefault="00051973" w:rsidP="00051973">
      <w:pPr>
        <w:pStyle w:val="ListParagraph"/>
        <w:numPr>
          <w:ilvl w:val="0"/>
          <w:numId w:val="12"/>
        </w:numPr>
        <w:divId w:val="1330868351"/>
        <w:rPr>
          <w:rFonts w:eastAsia="Times New Roman"/>
        </w:rPr>
      </w:pPr>
      <w:proofErr w:type="spellStart"/>
      <w:r w:rsidRPr="00051973">
        <w:rPr>
          <w:rFonts w:eastAsia="Times New Roman"/>
        </w:rPr>
        <w:t>Wikell</w:t>
      </w:r>
      <w:proofErr w:type="spellEnd"/>
      <w:r w:rsidRPr="00051973">
        <w:rPr>
          <w:rFonts w:eastAsia="Times New Roman"/>
        </w:rPr>
        <w:t xml:space="preserve"> A, Jonsson J, </w:t>
      </w:r>
      <w:proofErr w:type="spellStart"/>
      <w:r w:rsidRPr="00051973">
        <w:rPr>
          <w:rFonts w:eastAsia="Times New Roman"/>
        </w:rPr>
        <w:t>Dyrdak</w:t>
      </w:r>
      <w:proofErr w:type="spellEnd"/>
      <w:r w:rsidRPr="00051973">
        <w:rPr>
          <w:rFonts w:eastAsia="Times New Roman"/>
        </w:rPr>
        <w:t xml:space="preserve"> R, Henningsson AJ, </w:t>
      </w:r>
      <w:proofErr w:type="spellStart"/>
      <w:r w:rsidRPr="00051973">
        <w:rPr>
          <w:rFonts w:eastAsia="Times New Roman"/>
        </w:rPr>
        <w:t>Eringfält</w:t>
      </w:r>
      <w:proofErr w:type="spellEnd"/>
      <w:r w:rsidRPr="00051973">
        <w:rPr>
          <w:rFonts w:eastAsia="Times New Roman"/>
        </w:rPr>
        <w:t xml:space="preserve"> A, </w:t>
      </w:r>
      <w:proofErr w:type="spellStart"/>
      <w:r w:rsidRPr="00051973">
        <w:rPr>
          <w:rFonts w:eastAsia="Times New Roman"/>
        </w:rPr>
        <w:t>Kjerstadius</w:t>
      </w:r>
      <w:proofErr w:type="spellEnd"/>
      <w:r w:rsidRPr="00051973">
        <w:rPr>
          <w:rFonts w:eastAsia="Times New Roman"/>
        </w:rPr>
        <w:t xml:space="preserve"> T et al. The impact of borderline </w:t>
      </w:r>
      <w:proofErr w:type="spellStart"/>
      <w:r w:rsidRPr="00051973">
        <w:rPr>
          <w:rFonts w:eastAsia="Times New Roman"/>
        </w:rPr>
        <w:t>Quantiferon</w:t>
      </w:r>
      <w:proofErr w:type="spellEnd"/>
      <w:r w:rsidRPr="00051973">
        <w:rPr>
          <w:rFonts w:eastAsia="Times New Roman"/>
        </w:rPr>
        <w:t xml:space="preserve">-TB Gold Plus results for latent tuberculosis screening under routine conditions in a low-endemicity setting. </w:t>
      </w:r>
      <w:r w:rsidRPr="002F77AF">
        <w:rPr>
          <w:rStyle w:val="Emphasis"/>
          <w:rFonts w:eastAsia="Times New Roman"/>
          <w:b w:val="0"/>
          <w:bCs w:val="0"/>
        </w:rPr>
        <w:t xml:space="preserve">J Clin </w:t>
      </w:r>
      <w:proofErr w:type="spellStart"/>
      <w:r w:rsidRPr="002F77AF">
        <w:rPr>
          <w:rStyle w:val="Emphasis"/>
          <w:rFonts w:eastAsia="Times New Roman"/>
          <w:b w:val="0"/>
          <w:bCs w:val="0"/>
        </w:rPr>
        <w:t>Microbiol</w:t>
      </w:r>
      <w:proofErr w:type="spellEnd"/>
      <w:r w:rsidRPr="00051973">
        <w:rPr>
          <w:rFonts w:eastAsia="Times New Roman"/>
        </w:rPr>
        <w:t>. 2021;59(12</w:t>
      </w:r>
      <w:proofErr w:type="gramStart"/>
      <w:r w:rsidRPr="00051973">
        <w:rPr>
          <w:rFonts w:eastAsia="Times New Roman"/>
        </w:rPr>
        <w:t>):e</w:t>
      </w:r>
      <w:proofErr w:type="gramEnd"/>
      <w:r w:rsidRPr="00051973">
        <w:rPr>
          <w:rFonts w:eastAsia="Times New Roman"/>
        </w:rPr>
        <w:t xml:space="preserve">0137021. </w:t>
      </w:r>
      <w:proofErr w:type="spellStart"/>
      <w:r w:rsidRPr="00051973">
        <w:rPr>
          <w:rFonts w:eastAsia="Times New Roman"/>
        </w:rPr>
        <w:t>doi</w:t>
      </w:r>
      <w:proofErr w:type="spellEnd"/>
      <w:r w:rsidRPr="00051973">
        <w:rPr>
          <w:rFonts w:eastAsia="Times New Roman"/>
        </w:rPr>
        <w:t xml:space="preserve">: https://doi.org/10.1128/JCM.01370-21. </w:t>
      </w:r>
    </w:p>
    <w:p w14:paraId="15D1AD04"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Dale KD, </w:t>
      </w:r>
      <w:proofErr w:type="spellStart"/>
      <w:r w:rsidRPr="00051973">
        <w:rPr>
          <w:rFonts w:eastAsia="Times New Roman"/>
        </w:rPr>
        <w:t>Trauer</w:t>
      </w:r>
      <w:proofErr w:type="spellEnd"/>
      <w:r w:rsidRPr="00051973">
        <w:rPr>
          <w:rFonts w:eastAsia="Times New Roman"/>
        </w:rPr>
        <w:t xml:space="preserve"> JM, Dodd PJ, </w:t>
      </w:r>
      <w:proofErr w:type="spellStart"/>
      <w:r w:rsidRPr="00051973">
        <w:rPr>
          <w:rFonts w:eastAsia="Times New Roman"/>
        </w:rPr>
        <w:t>Houben</w:t>
      </w:r>
      <w:proofErr w:type="spellEnd"/>
      <w:r w:rsidRPr="00051973">
        <w:rPr>
          <w:rFonts w:eastAsia="Times New Roman"/>
        </w:rPr>
        <w:t xml:space="preserve"> RMGJ, Denholm JT. Estimating the prevalence of latent tuberculosis in a </w:t>
      </w:r>
      <w:proofErr w:type="gramStart"/>
      <w:r w:rsidRPr="00051973">
        <w:rPr>
          <w:rFonts w:eastAsia="Times New Roman"/>
        </w:rPr>
        <w:t>low-incidence</w:t>
      </w:r>
      <w:proofErr w:type="gramEnd"/>
      <w:r w:rsidRPr="00051973">
        <w:rPr>
          <w:rFonts w:eastAsia="Times New Roman"/>
        </w:rPr>
        <w:t xml:space="preserve"> setting: Australia. </w:t>
      </w:r>
      <w:proofErr w:type="spellStart"/>
      <w:r w:rsidRPr="002F77AF">
        <w:rPr>
          <w:rStyle w:val="Emphasis"/>
          <w:rFonts w:eastAsia="Times New Roman"/>
          <w:b w:val="0"/>
          <w:bCs w:val="0"/>
        </w:rPr>
        <w:t>Eur</w:t>
      </w:r>
      <w:proofErr w:type="spellEnd"/>
      <w:r w:rsidRPr="002F77AF">
        <w:rPr>
          <w:rStyle w:val="Emphasis"/>
          <w:rFonts w:eastAsia="Times New Roman"/>
          <w:b w:val="0"/>
          <w:bCs w:val="0"/>
        </w:rPr>
        <w:t xml:space="preserve"> Respir J</w:t>
      </w:r>
      <w:r w:rsidRPr="00051973">
        <w:rPr>
          <w:rFonts w:eastAsia="Times New Roman"/>
        </w:rPr>
        <w:t xml:space="preserve">. 2018;52(6):1801218. </w:t>
      </w:r>
      <w:proofErr w:type="spellStart"/>
      <w:r w:rsidRPr="00051973">
        <w:rPr>
          <w:rFonts w:eastAsia="Times New Roman"/>
        </w:rPr>
        <w:t>doi</w:t>
      </w:r>
      <w:proofErr w:type="spellEnd"/>
      <w:r w:rsidRPr="00051973">
        <w:rPr>
          <w:rFonts w:eastAsia="Times New Roman"/>
        </w:rPr>
        <w:t xml:space="preserve">: https://doi.org/10.1183/13993003.01218-2018. </w:t>
      </w:r>
    </w:p>
    <w:p w14:paraId="27E72063" w14:textId="77777777" w:rsidR="00051973" w:rsidRPr="00051973" w:rsidRDefault="00051973" w:rsidP="00051973">
      <w:pPr>
        <w:pStyle w:val="ListParagraph"/>
        <w:numPr>
          <w:ilvl w:val="0"/>
          <w:numId w:val="12"/>
        </w:numPr>
        <w:divId w:val="1330868351"/>
        <w:rPr>
          <w:rFonts w:eastAsia="Times New Roman"/>
        </w:rPr>
      </w:pPr>
      <w:r w:rsidRPr="00051973">
        <w:rPr>
          <w:rFonts w:eastAsia="Times New Roman"/>
        </w:rPr>
        <w:t xml:space="preserve">Bright A, Denholm J, Coulter C, Waring J, Stapledon R. Tuberculosis notifications in Australia, 2015–2018. </w:t>
      </w:r>
      <w:proofErr w:type="spellStart"/>
      <w:r w:rsidRPr="002F77AF">
        <w:rPr>
          <w:rStyle w:val="Emphasis"/>
          <w:rFonts w:eastAsia="Times New Roman"/>
          <w:b w:val="0"/>
          <w:bCs w:val="0"/>
        </w:rPr>
        <w:t>Commun</w:t>
      </w:r>
      <w:proofErr w:type="spellEnd"/>
      <w:r w:rsidRPr="002F77AF">
        <w:rPr>
          <w:rStyle w:val="Emphasis"/>
          <w:rFonts w:eastAsia="Times New Roman"/>
          <w:b w:val="0"/>
          <w:bCs w:val="0"/>
        </w:rPr>
        <w:t xml:space="preserve"> Dis </w:t>
      </w:r>
      <w:proofErr w:type="spellStart"/>
      <w:r w:rsidRPr="002F77AF">
        <w:rPr>
          <w:rStyle w:val="Emphasis"/>
          <w:rFonts w:eastAsia="Times New Roman"/>
          <w:b w:val="0"/>
          <w:bCs w:val="0"/>
        </w:rPr>
        <w:t>Intell</w:t>
      </w:r>
      <w:proofErr w:type="spellEnd"/>
      <w:r w:rsidRPr="002F77AF">
        <w:rPr>
          <w:rStyle w:val="Emphasis"/>
          <w:rFonts w:eastAsia="Times New Roman"/>
          <w:b w:val="0"/>
          <w:bCs w:val="0"/>
        </w:rPr>
        <w:t xml:space="preserve"> (2018)</w:t>
      </w:r>
      <w:r w:rsidRPr="00051973">
        <w:rPr>
          <w:rFonts w:eastAsia="Times New Roman"/>
        </w:rPr>
        <w:t>. 2020;</w:t>
      </w:r>
      <w:proofErr w:type="gramStart"/>
      <w:r w:rsidRPr="00051973">
        <w:rPr>
          <w:rFonts w:eastAsia="Times New Roman"/>
        </w:rPr>
        <w:t>44</w:t>
      </w:r>
      <w:proofErr w:type="gramEnd"/>
      <w:r w:rsidRPr="00051973">
        <w:rPr>
          <w:rFonts w:eastAsia="Times New Roman"/>
        </w:rPr>
        <w:t xml:space="preserve">. </w:t>
      </w:r>
      <w:proofErr w:type="spellStart"/>
      <w:r w:rsidRPr="00051973">
        <w:rPr>
          <w:rFonts w:eastAsia="Times New Roman"/>
        </w:rPr>
        <w:t>doi</w:t>
      </w:r>
      <w:proofErr w:type="spellEnd"/>
      <w:r w:rsidRPr="00051973">
        <w:rPr>
          <w:rFonts w:eastAsia="Times New Roman"/>
        </w:rPr>
        <w:t xml:space="preserve">: https://doi.org/10.33321/cdi.2020.44.88. </w:t>
      </w:r>
    </w:p>
    <w:p w14:paraId="07A2C7D7" w14:textId="77777777" w:rsidR="002A4841" w:rsidRDefault="002A4841">
      <w:pPr>
        <w:rPr>
          <w:rFonts w:asciiTheme="majorHAnsi" w:eastAsiaTheme="majorEastAsia" w:hAnsiTheme="majorHAnsi" w:cstheme="majorBidi"/>
          <w:b/>
          <w:bCs/>
          <w:sz w:val="32"/>
          <w:szCs w:val="28"/>
        </w:rPr>
      </w:pPr>
      <w:r>
        <w:br w:type="page"/>
      </w:r>
    </w:p>
    <w:p w14:paraId="68D236B3" w14:textId="2B917E30" w:rsidR="00051973" w:rsidRDefault="00051973" w:rsidP="00051973">
      <w:pPr>
        <w:pStyle w:val="Heading1"/>
        <w:divId w:val="1330868351"/>
      </w:pPr>
      <w:r w:rsidRPr="00051973">
        <w:lastRenderedPageBreak/>
        <w:t>Appendix A</w:t>
      </w:r>
    </w:p>
    <w:p w14:paraId="56DDFFEF" w14:textId="77777777" w:rsidR="00953D82" w:rsidRPr="0094662C" w:rsidRDefault="00953D82" w:rsidP="00953D82">
      <w:pPr>
        <w:pStyle w:val="CDIFigures"/>
        <w:divId w:val="1330868351"/>
      </w:pPr>
      <w:r w:rsidRPr="0094662C">
        <w:rPr>
          <w:rStyle w:val="Strong"/>
          <w:b/>
          <w:bCs w:val="0"/>
        </w:rPr>
        <w:t xml:space="preserve">Table A.1: Summary of raw data received, records excluded in data cleaning process, and final data for </w:t>
      </w:r>
      <w:proofErr w:type="gramStart"/>
      <w:r w:rsidRPr="0094662C">
        <w:rPr>
          <w:rStyle w:val="Strong"/>
          <w:b/>
          <w:bCs w:val="0"/>
        </w:rPr>
        <w:t>analysis</w:t>
      </w:r>
      <w:proofErr w:type="gramEnd"/>
    </w:p>
    <w:tbl>
      <w:tblPr>
        <w:tblStyle w:val="CDI-StandardTable"/>
        <w:tblW w:w="0" w:type="auto"/>
        <w:tblCellMar>
          <w:top w:w="28" w:type="dxa"/>
          <w:bottom w:w="28" w:type="dxa"/>
        </w:tblCellMar>
        <w:tblLook w:val="04A0" w:firstRow="1" w:lastRow="0" w:firstColumn="1" w:lastColumn="0" w:noHBand="0" w:noVBand="1"/>
        <w:tblDescription w:val="Appendix A is a Table summarising the methods used to reach lower and upper state-wide estimates. The Table lists the data sources and the associated calculations or supporting data to derive lower and upper estimates. &#10;"/>
      </w:tblPr>
      <w:tblGrid>
        <w:gridCol w:w="3145"/>
        <w:gridCol w:w="5017"/>
        <w:gridCol w:w="2278"/>
      </w:tblGrid>
      <w:tr w:rsidR="00953D82" w:rsidRPr="0094662C" w14:paraId="1AE4AE0C" w14:textId="77777777" w:rsidTr="00DC0B8C">
        <w:trPr>
          <w:cnfStyle w:val="100000000000" w:firstRow="1" w:lastRow="0" w:firstColumn="0" w:lastColumn="0" w:oddVBand="0" w:evenVBand="0" w:oddHBand="0" w:evenHBand="0" w:firstRowFirstColumn="0" w:firstRowLastColumn="0" w:lastRowFirstColumn="0" w:lastRowLastColumn="0"/>
          <w:divId w:val="1330868351"/>
          <w:tblHeader/>
        </w:trPr>
        <w:tc>
          <w:tcPr>
            <w:tcW w:w="0" w:type="auto"/>
            <w:tcBorders>
              <w:bottom w:val="single" w:sz="2" w:space="0" w:color="808080" w:themeColor="background1" w:themeShade="80"/>
            </w:tcBorders>
            <w:vAlign w:val="top"/>
            <w:hideMark/>
          </w:tcPr>
          <w:p w14:paraId="1DB06678" w14:textId="77777777" w:rsidR="00953D82" w:rsidRPr="0094662C" w:rsidRDefault="00953D82" w:rsidP="009F5184">
            <w:pPr>
              <w:pStyle w:val="NormalWeb"/>
              <w:jc w:val="left"/>
              <w:rPr>
                <w:sz w:val="18"/>
                <w:szCs w:val="18"/>
              </w:rPr>
            </w:pPr>
            <w:r w:rsidRPr="0094662C">
              <w:rPr>
                <w:sz w:val="18"/>
                <w:szCs w:val="18"/>
              </w:rPr>
              <w:t>Data source</w:t>
            </w:r>
            <w:r>
              <w:rPr>
                <w:sz w:val="18"/>
                <w:szCs w:val="18"/>
              </w:rPr>
              <w:t xml:space="preserve"> </w:t>
            </w:r>
            <w:r w:rsidRPr="00DB691A">
              <w:rPr>
                <w:sz w:val="18"/>
                <w:szCs w:val="18"/>
                <w:vertAlign w:val="superscript"/>
              </w:rPr>
              <w:t>a</w:t>
            </w:r>
          </w:p>
        </w:tc>
        <w:tc>
          <w:tcPr>
            <w:tcW w:w="0" w:type="auto"/>
            <w:tcBorders>
              <w:bottom w:val="single" w:sz="2" w:space="0" w:color="808080" w:themeColor="background1" w:themeShade="80"/>
            </w:tcBorders>
            <w:vAlign w:val="top"/>
            <w:hideMark/>
          </w:tcPr>
          <w:p w14:paraId="1357C803" w14:textId="77777777" w:rsidR="00953D82" w:rsidRPr="0094662C" w:rsidRDefault="00953D82" w:rsidP="009F5184">
            <w:pPr>
              <w:pStyle w:val="NormalWeb"/>
              <w:jc w:val="left"/>
              <w:rPr>
                <w:sz w:val="18"/>
                <w:szCs w:val="18"/>
              </w:rPr>
            </w:pPr>
            <w:r w:rsidRPr="0094662C">
              <w:rPr>
                <w:sz w:val="18"/>
                <w:szCs w:val="18"/>
              </w:rPr>
              <w:t>Criteria</w:t>
            </w:r>
            <w:r>
              <w:rPr>
                <w:sz w:val="18"/>
                <w:szCs w:val="18"/>
              </w:rPr>
              <w:t xml:space="preserve"> </w:t>
            </w:r>
            <w:r w:rsidRPr="00DB691A">
              <w:rPr>
                <w:sz w:val="18"/>
                <w:szCs w:val="18"/>
                <w:vertAlign w:val="superscript"/>
              </w:rPr>
              <w:t>a</w:t>
            </w:r>
          </w:p>
        </w:tc>
        <w:tc>
          <w:tcPr>
            <w:tcW w:w="2278" w:type="dxa"/>
            <w:tcBorders>
              <w:bottom w:val="single" w:sz="2" w:space="0" w:color="808080" w:themeColor="background1" w:themeShade="80"/>
            </w:tcBorders>
            <w:vAlign w:val="top"/>
            <w:hideMark/>
          </w:tcPr>
          <w:p w14:paraId="29A0DA55" w14:textId="77777777" w:rsidR="00953D82" w:rsidRPr="0094662C" w:rsidRDefault="00953D82" w:rsidP="009F5184">
            <w:pPr>
              <w:pStyle w:val="NormalWeb"/>
              <w:jc w:val="left"/>
              <w:rPr>
                <w:sz w:val="18"/>
                <w:szCs w:val="18"/>
              </w:rPr>
            </w:pPr>
            <w:r w:rsidRPr="0094662C">
              <w:rPr>
                <w:sz w:val="18"/>
                <w:szCs w:val="18"/>
              </w:rPr>
              <w:t>Records (n)</w:t>
            </w:r>
          </w:p>
        </w:tc>
      </w:tr>
      <w:tr w:rsidR="00953D82" w:rsidRPr="0094662C" w14:paraId="1D32B58E" w14:textId="77777777" w:rsidTr="00DC0B8C">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1F5BA8E" w14:textId="77777777" w:rsidR="00953D82" w:rsidRPr="0094662C" w:rsidRDefault="00953D82" w:rsidP="009F5184">
            <w:pPr>
              <w:pStyle w:val="NormalWeb"/>
              <w:jc w:val="left"/>
              <w:rPr>
                <w:sz w:val="18"/>
                <w:szCs w:val="18"/>
              </w:rPr>
            </w:pPr>
            <w:r w:rsidRPr="0094662C">
              <w:rPr>
                <w:sz w:val="18"/>
                <w:szCs w:val="18"/>
              </w:rPr>
              <w:t>TBCU – TST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B02BC44" w14:textId="77777777" w:rsidR="00953D82" w:rsidRPr="0094662C" w:rsidRDefault="00953D82" w:rsidP="009F5184">
            <w:pPr>
              <w:pStyle w:val="NormalWeb"/>
              <w:jc w:val="left"/>
              <w:rPr>
                <w:sz w:val="18"/>
                <w:szCs w:val="18"/>
              </w:rPr>
            </w:pPr>
            <w:r w:rsidRPr="0094662C">
              <w:rPr>
                <w:sz w:val="18"/>
                <w:szCs w:val="18"/>
              </w:rPr>
              <w:t xml:space="preserve">Raw data received: clinic </w:t>
            </w:r>
            <w:proofErr w:type="gramStart"/>
            <w:r w:rsidRPr="0094662C">
              <w:rPr>
                <w:sz w:val="18"/>
                <w:szCs w:val="18"/>
              </w:rPr>
              <w:t>encounters</w:t>
            </w:r>
            <w:proofErr w:type="gramEnd"/>
            <w:r w:rsidRPr="0094662C">
              <w:rPr>
                <w:sz w:val="18"/>
                <w:szCs w:val="18"/>
              </w:rPr>
              <w:t xml:space="preserve"> for tuberculin skin testing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FD5F03" w14:textId="77777777" w:rsidR="00953D82" w:rsidRPr="0094662C" w:rsidRDefault="00953D82" w:rsidP="009F5184">
            <w:pPr>
              <w:pStyle w:val="NormalWeb"/>
              <w:jc w:val="left"/>
              <w:rPr>
                <w:sz w:val="18"/>
                <w:szCs w:val="18"/>
              </w:rPr>
            </w:pPr>
            <w:r w:rsidRPr="0094662C">
              <w:rPr>
                <w:sz w:val="18"/>
                <w:szCs w:val="18"/>
              </w:rPr>
              <w:t>11,899</w:t>
            </w:r>
          </w:p>
        </w:tc>
      </w:tr>
      <w:tr w:rsidR="002A4841" w:rsidRPr="0094662C" w14:paraId="1010B01F"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D6BDCA8"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DFCEB3A" w14:textId="77777777" w:rsidR="00953D82" w:rsidRPr="0094662C" w:rsidRDefault="00953D82" w:rsidP="009F5184">
            <w:pPr>
              <w:pStyle w:val="NormalWeb"/>
              <w:jc w:val="left"/>
              <w:rPr>
                <w:sz w:val="18"/>
                <w:szCs w:val="18"/>
              </w:rPr>
            </w:pPr>
            <w:r w:rsidRPr="0094662C">
              <w:rPr>
                <w:sz w:val="18"/>
                <w:szCs w:val="18"/>
              </w:rPr>
              <w:t>Removed: date of birth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AD8F3E1" w14:textId="77777777" w:rsidR="00953D82" w:rsidRPr="0094662C" w:rsidRDefault="00953D82" w:rsidP="009F5184">
            <w:pPr>
              <w:pStyle w:val="NormalWeb"/>
              <w:jc w:val="left"/>
              <w:rPr>
                <w:sz w:val="18"/>
                <w:szCs w:val="18"/>
              </w:rPr>
            </w:pPr>
            <w:r w:rsidRPr="0094662C">
              <w:rPr>
                <w:sz w:val="18"/>
                <w:szCs w:val="18"/>
              </w:rPr>
              <w:t>5</w:t>
            </w:r>
          </w:p>
        </w:tc>
      </w:tr>
      <w:tr w:rsidR="00953D82" w:rsidRPr="0094662C" w14:paraId="46754024"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B413D45"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0D8801E" w14:textId="77777777" w:rsidR="00953D82" w:rsidRPr="0094662C" w:rsidRDefault="00953D82" w:rsidP="009F5184">
            <w:pPr>
              <w:pStyle w:val="NormalWeb"/>
              <w:jc w:val="left"/>
              <w:rPr>
                <w:sz w:val="18"/>
                <w:szCs w:val="18"/>
              </w:rPr>
            </w:pPr>
            <w:r w:rsidRPr="0094662C">
              <w:rPr>
                <w:sz w:val="18"/>
                <w:szCs w:val="18"/>
              </w:rPr>
              <w:t>Removed: sex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CB7E912" w14:textId="77777777" w:rsidR="00953D82" w:rsidRPr="0094662C" w:rsidRDefault="00953D82" w:rsidP="009F5184">
            <w:pPr>
              <w:pStyle w:val="NormalWeb"/>
              <w:jc w:val="left"/>
              <w:rPr>
                <w:sz w:val="18"/>
                <w:szCs w:val="18"/>
              </w:rPr>
            </w:pPr>
            <w:r w:rsidRPr="0094662C">
              <w:rPr>
                <w:sz w:val="18"/>
                <w:szCs w:val="18"/>
              </w:rPr>
              <w:t>14</w:t>
            </w:r>
          </w:p>
        </w:tc>
      </w:tr>
      <w:tr w:rsidR="002A4841" w:rsidRPr="0094662C" w14:paraId="5B45619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B2A6E6F"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DB6B7F" w14:textId="77777777" w:rsidR="00953D82" w:rsidRPr="0094662C" w:rsidRDefault="00953D82" w:rsidP="009F5184">
            <w:pPr>
              <w:pStyle w:val="NormalWeb"/>
              <w:jc w:val="left"/>
              <w:rPr>
                <w:sz w:val="18"/>
                <w:szCs w:val="18"/>
              </w:rPr>
            </w:pPr>
            <w:r w:rsidRPr="0094662C">
              <w:rPr>
                <w:sz w:val="18"/>
                <w:szCs w:val="18"/>
              </w:rPr>
              <w:t>Removed: outside specified study period (2016–2020)</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DB7B271" w14:textId="77777777" w:rsidR="00953D82" w:rsidRPr="0094662C" w:rsidRDefault="00953D82" w:rsidP="009F5184">
            <w:pPr>
              <w:pStyle w:val="NormalWeb"/>
              <w:jc w:val="left"/>
              <w:rPr>
                <w:sz w:val="18"/>
                <w:szCs w:val="18"/>
              </w:rPr>
            </w:pPr>
            <w:r w:rsidRPr="0094662C">
              <w:rPr>
                <w:sz w:val="18"/>
                <w:szCs w:val="18"/>
              </w:rPr>
              <w:t>1,555</w:t>
            </w:r>
          </w:p>
        </w:tc>
      </w:tr>
      <w:tr w:rsidR="00953D82" w:rsidRPr="0094662C" w14:paraId="489E80AD"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FBD6461"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C08925" w14:textId="77777777" w:rsidR="00953D82" w:rsidRPr="0094662C" w:rsidRDefault="00953D82" w:rsidP="009F5184">
            <w:pPr>
              <w:pStyle w:val="NormalWeb"/>
              <w:jc w:val="left"/>
              <w:rPr>
                <w:sz w:val="18"/>
                <w:szCs w:val="18"/>
              </w:rPr>
            </w:pPr>
            <w:r w:rsidRPr="0094662C">
              <w:rPr>
                <w:sz w:val="18"/>
                <w:szCs w:val="18"/>
              </w:rPr>
              <w:t>Removed: outcome = ‘did not attend’</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5A3B37" w14:textId="77777777" w:rsidR="00953D82" w:rsidRPr="0094662C" w:rsidRDefault="00953D82" w:rsidP="009F5184">
            <w:pPr>
              <w:pStyle w:val="NormalWeb"/>
              <w:jc w:val="left"/>
              <w:rPr>
                <w:sz w:val="18"/>
                <w:szCs w:val="18"/>
              </w:rPr>
            </w:pPr>
            <w:r w:rsidRPr="0094662C">
              <w:rPr>
                <w:sz w:val="18"/>
                <w:szCs w:val="18"/>
              </w:rPr>
              <w:t>18</w:t>
            </w:r>
          </w:p>
        </w:tc>
      </w:tr>
      <w:tr w:rsidR="002A4841" w:rsidRPr="0094662C" w14:paraId="05B9E1E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3BB4292"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1F586B9" w14:textId="77777777" w:rsidR="00953D82" w:rsidRPr="0094662C" w:rsidRDefault="00953D82" w:rsidP="009F5184">
            <w:pPr>
              <w:pStyle w:val="NormalWeb"/>
              <w:jc w:val="left"/>
              <w:rPr>
                <w:sz w:val="18"/>
                <w:szCs w:val="18"/>
              </w:rPr>
            </w:pPr>
            <w:r w:rsidRPr="0094662C">
              <w:rPr>
                <w:sz w:val="18"/>
                <w:szCs w:val="18"/>
              </w:rPr>
              <w:t>Removed: duplicate test result to same person</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33E3D14" w14:textId="77777777" w:rsidR="00953D82" w:rsidRPr="0094662C" w:rsidRDefault="00953D82" w:rsidP="009F5184">
            <w:pPr>
              <w:pStyle w:val="NormalWeb"/>
              <w:jc w:val="left"/>
              <w:rPr>
                <w:sz w:val="18"/>
                <w:szCs w:val="18"/>
              </w:rPr>
            </w:pPr>
            <w:r w:rsidRPr="0094662C">
              <w:rPr>
                <w:sz w:val="18"/>
                <w:szCs w:val="18"/>
              </w:rPr>
              <w:t>2</w:t>
            </w:r>
          </w:p>
        </w:tc>
      </w:tr>
      <w:tr w:rsidR="00953D82" w:rsidRPr="0094662C" w14:paraId="0B663E52"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71B8F18"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74D5D16" w14:textId="77777777" w:rsidR="00953D82" w:rsidRPr="0094662C" w:rsidRDefault="00953D82" w:rsidP="009F5184">
            <w:pPr>
              <w:pStyle w:val="NormalWeb"/>
              <w:jc w:val="left"/>
              <w:rPr>
                <w:sz w:val="18"/>
                <w:szCs w:val="18"/>
              </w:rPr>
            </w:pPr>
            <w:r w:rsidRPr="0094662C">
              <w:rPr>
                <w:sz w:val="18"/>
                <w:szCs w:val="18"/>
              </w:rPr>
              <w:t xml:space="preserve">Removed: all clinic </w:t>
            </w:r>
            <w:proofErr w:type="gramStart"/>
            <w:r w:rsidRPr="0094662C">
              <w:rPr>
                <w:sz w:val="18"/>
                <w:szCs w:val="18"/>
              </w:rPr>
              <w:t>encounters</w:t>
            </w:r>
            <w:proofErr w:type="gramEnd"/>
            <w:r w:rsidRPr="0094662C">
              <w:rPr>
                <w:sz w:val="18"/>
                <w:szCs w:val="18"/>
              </w:rPr>
              <w:t xml:space="preserve"> without TST reads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DF8C339" w14:textId="77777777" w:rsidR="00953D82" w:rsidRPr="0094662C" w:rsidRDefault="00953D82" w:rsidP="009F5184">
            <w:pPr>
              <w:pStyle w:val="NormalWeb"/>
              <w:jc w:val="left"/>
              <w:rPr>
                <w:sz w:val="18"/>
                <w:szCs w:val="18"/>
              </w:rPr>
            </w:pPr>
            <w:r w:rsidRPr="0094662C">
              <w:rPr>
                <w:sz w:val="18"/>
                <w:szCs w:val="18"/>
              </w:rPr>
              <w:t>5,263</w:t>
            </w:r>
          </w:p>
        </w:tc>
      </w:tr>
      <w:tr w:rsidR="002A4841" w:rsidRPr="0094662C" w14:paraId="5D852063"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C7196BE"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CB0F7C0" w14:textId="77777777" w:rsidR="00953D82" w:rsidRPr="0094662C" w:rsidRDefault="00953D82" w:rsidP="009F5184">
            <w:pPr>
              <w:pStyle w:val="NormalWeb"/>
              <w:jc w:val="left"/>
              <w:rPr>
                <w:sz w:val="18"/>
                <w:szCs w:val="18"/>
              </w:rPr>
            </w:pPr>
            <w:r w:rsidRPr="0094662C">
              <w:rPr>
                <w:sz w:val="18"/>
                <w:szCs w:val="18"/>
              </w:rPr>
              <w:t>Removed: two-step or duplicate reads – kept latest only</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C1D5CFD" w14:textId="77777777" w:rsidR="00953D82" w:rsidRPr="0094662C" w:rsidRDefault="00953D82" w:rsidP="009F5184">
            <w:pPr>
              <w:pStyle w:val="NormalWeb"/>
              <w:jc w:val="left"/>
              <w:rPr>
                <w:sz w:val="18"/>
                <w:szCs w:val="18"/>
              </w:rPr>
            </w:pPr>
            <w:r w:rsidRPr="0094662C">
              <w:rPr>
                <w:sz w:val="18"/>
                <w:szCs w:val="18"/>
              </w:rPr>
              <w:t>1,143</w:t>
            </w:r>
          </w:p>
        </w:tc>
      </w:tr>
      <w:tr w:rsidR="00953D82" w:rsidRPr="0094662C" w14:paraId="197A13CE"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73864EF"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984FF0A" w14:textId="77777777" w:rsidR="00953D82" w:rsidRPr="0094662C" w:rsidRDefault="00953D82" w:rsidP="009F5184">
            <w:pPr>
              <w:pStyle w:val="NormalWeb"/>
              <w:jc w:val="left"/>
              <w:rPr>
                <w:sz w:val="18"/>
                <w:szCs w:val="18"/>
              </w:rPr>
            </w:pPr>
            <w:r w:rsidRPr="0094662C">
              <w:rPr>
                <w:sz w:val="18"/>
                <w:szCs w:val="18"/>
              </w:rPr>
              <w:t>Remaining individuals with final TST read for analysis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38F0C8" w14:textId="77777777" w:rsidR="00953D82" w:rsidRPr="0094662C" w:rsidRDefault="00953D82" w:rsidP="009F5184">
            <w:pPr>
              <w:pStyle w:val="NormalWeb"/>
              <w:jc w:val="left"/>
              <w:rPr>
                <w:sz w:val="18"/>
                <w:szCs w:val="18"/>
              </w:rPr>
            </w:pPr>
            <w:r w:rsidRPr="0094662C">
              <w:rPr>
                <w:sz w:val="18"/>
                <w:szCs w:val="18"/>
              </w:rPr>
              <w:t>3,899</w:t>
            </w:r>
          </w:p>
        </w:tc>
      </w:tr>
      <w:tr w:rsidR="002A4841" w:rsidRPr="0094662C" w14:paraId="7D1227C3"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B569615" w14:textId="77777777" w:rsidR="00953D82" w:rsidRPr="0094662C" w:rsidRDefault="00953D82" w:rsidP="009F5184">
            <w:pPr>
              <w:pStyle w:val="NormalWeb"/>
              <w:jc w:val="left"/>
              <w:rPr>
                <w:sz w:val="18"/>
                <w:szCs w:val="18"/>
              </w:rPr>
            </w:pPr>
            <w:r w:rsidRPr="0094662C">
              <w:rPr>
                <w:sz w:val="18"/>
                <w:szCs w:val="18"/>
              </w:rPr>
              <w:t>Private pathology provider – TST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3C89213" w14:textId="77777777" w:rsidR="00953D82" w:rsidRPr="0094662C" w:rsidRDefault="00953D82" w:rsidP="009F5184">
            <w:pPr>
              <w:pStyle w:val="NormalWeb"/>
              <w:jc w:val="left"/>
              <w:rPr>
                <w:sz w:val="18"/>
                <w:szCs w:val="18"/>
              </w:rPr>
            </w:pPr>
            <w:r w:rsidRPr="0094662C">
              <w:rPr>
                <w:sz w:val="18"/>
                <w:szCs w:val="18"/>
              </w:rPr>
              <w:t>Raw data received: tuberculin skin tests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98B2DB" w14:textId="77777777" w:rsidR="00953D82" w:rsidRPr="0094662C" w:rsidRDefault="00953D82" w:rsidP="009F5184">
            <w:pPr>
              <w:pStyle w:val="NormalWeb"/>
              <w:jc w:val="left"/>
              <w:rPr>
                <w:sz w:val="18"/>
                <w:szCs w:val="18"/>
              </w:rPr>
            </w:pPr>
            <w:r w:rsidRPr="0094662C">
              <w:rPr>
                <w:sz w:val="18"/>
                <w:szCs w:val="18"/>
              </w:rPr>
              <w:t>5,535</w:t>
            </w:r>
          </w:p>
        </w:tc>
      </w:tr>
      <w:tr w:rsidR="00953D82" w:rsidRPr="0094662C" w14:paraId="0C69D676"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C8C6A7D"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1DE0C28" w14:textId="77777777" w:rsidR="00953D82" w:rsidRPr="0094662C" w:rsidRDefault="00953D82" w:rsidP="009F5184">
            <w:pPr>
              <w:pStyle w:val="NormalWeb"/>
              <w:jc w:val="left"/>
              <w:rPr>
                <w:sz w:val="18"/>
                <w:szCs w:val="18"/>
              </w:rPr>
            </w:pPr>
            <w:r w:rsidRPr="0094662C">
              <w:rPr>
                <w:sz w:val="18"/>
                <w:szCs w:val="18"/>
              </w:rPr>
              <w:t>Removed: sex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85570F" w14:textId="77777777" w:rsidR="00953D82" w:rsidRPr="0094662C" w:rsidRDefault="00953D82" w:rsidP="009F5184">
            <w:pPr>
              <w:pStyle w:val="NormalWeb"/>
              <w:jc w:val="left"/>
              <w:rPr>
                <w:sz w:val="18"/>
                <w:szCs w:val="18"/>
              </w:rPr>
            </w:pPr>
            <w:r w:rsidRPr="0094662C">
              <w:rPr>
                <w:sz w:val="18"/>
                <w:szCs w:val="18"/>
              </w:rPr>
              <w:t>3</w:t>
            </w:r>
          </w:p>
        </w:tc>
      </w:tr>
      <w:tr w:rsidR="002A4841" w:rsidRPr="0094662C" w14:paraId="3A36359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35511A8"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1933AFE" w14:textId="77777777" w:rsidR="00953D82" w:rsidRPr="0094662C" w:rsidRDefault="00953D82" w:rsidP="009F5184">
            <w:pPr>
              <w:pStyle w:val="NormalWeb"/>
              <w:jc w:val="left"/>
              <w:rPr>
                <w:sz w:val="18"/>
                <w:szCs w:val="18"/>
              </w:rPr>
            </w:pPr>
            <w:r w:rsidRPr="0094662C">
              <w:rPr>
                <w:sz w:val="18"/>
                <w:szCs w:val="18"/>
              </w:rPr>
              <w:t>Removed: test interpretation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84AD767" w14:textId="77777777" w:rsidR="00953D82" w:rsidRPr="0094662C" w:rsidRDefault="00953D82" w:rsidP="009F5184">
            <w:pPr>
              <w:pStyle w:val="NormalWeb"/>
              <w:jc w:val="left"/>
              <w:rPr>
                <w:sz w:val="18"/>
                <w:szCs w:val="18"/>
              </w:rPr>
            </w:pPr>
            <w:r w:rsidRPr="0094662C">
              <w:rPr>
                <w:sz w:val="18"/>
                <w:szCs w:val="18"/>
              </w:rPr>
              <w:t>12</w:t>
            </w:r>
          </w:p>
        </w:tc>
      </w:tr>
      <w:tr w:rsidR="00953D82" w:rsidRPr="0094662C" w14:paraId="324BE3D8"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CB245B8"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E2988FF" w14:textId="77777777" w:rsidR="00953D82" w:rsidRPr="0094662C" w:rsidRDefault="00953D82" w:rsidP="009F5184">
            <w:pPr>
              <w:pStyle w:val="NormalWeb"/>
              <w:jc w:val="left"/>
              <w:rPr>
                <w:sz w:val="18"/>
                <w:szCs w:val="18"/>
              </w:rPr>
            </w:pPr>
            <w:r w:rsidRPr="0094662C">
              <w:rPr>
                <w:sz w:val="18"/>
                <w:szCs w:val="18"/>
              </w:rPr>
              <w:t>Removed: repeat tests with same outcome – kept earliest test</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A7980B8" w14:textId="77777777" w:rsidR="00953D82" w:rsidRPr="0094662C" w:rsidRDefault="00953D82" w:rsidP="009F5184">
            <w:pPr>
              <w:pStyle w:val="NormalWeb"/>
              <w:jc w:val="left"/>
              <w:rPr>
                <w:sz w:val="18"/>
                <w:szCs w:val="18"/>
              </w:rPr>
            </w:pPr>
            <w:r w:rsidRPr="0094662C">
              <w:rPr>
                <w:sz w:val="18"/>
                <w:szCs w:val="18"/>
              </w:rPr>
              <w:t>57</w:t>
            </w:r>
          </w:p>
        </w:tc>
      </w:tr>
      <w:tr w:rsidR="002A4841" w:rsidRPr="0094662C" w14:paraId="03C7AD08"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709682"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E4AC62E" w14:textId="77777777" w:rsidR="00953D82" w:rsidRPr="0094662C" w:rsidRDefault="00953D82" w:rsidP="009F5184">
            <w:pPr>
              <w:pStyle w:val="NormalWeb"/>
              <w:jc w:val="left"/>
              <w:rPr>
                <w:sz w:val="18"/>
                <w:szCs w:val="18"/>
              </w:rPr>
            </w:pPr>
            <w:r w:rsidRPr="0094662C">
              <w:rPr>
                <w:sz w:val="18"/>
                <w:szCs w:val="18"/>
              </w:rPr>
              <w:t>Remaining number of TSTs for analysis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5A19B17" w14:textId="77777777" w:rsidR="00953D82" w:rsidRPr="0094662C" w:rsidRDefault="00953D82" w:rsidP="009F5184">
            <w:pPr>
              <w:pStyle w:val="NormalWeb"/>
              <w:jc w:val="left"/>
              <w:rPr>
                <w:sz w:val="18"/>
                <w:szCs w:val="18"/>
              </w:rPr>
            </w:pPr>
            <w:r w:rsidRPr="0094662C">
              <w:rPr>
                <w:sz w:val="18"/>
                <w:szCs w:val="18"/>
              </w:rPr>
              <w:t>5,463</w:t>
            </w:r>
          </w:p>
        </w:tc>
      </w:tr>
      <w:tr w:rsidR="00953D82" w:rsidRPr="0094662C" w14:paraId="5E835A7D" w14:textId="77777777" w:rsidTr="00DC0B8C">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E45C00F" w14:textId="77777777" w:rsidR="00953D82" w:rsidRPr="0094662C" w:rsidRDefault="00953D82" w:rsidP="009F5184">
            <w:pPr>
              <w:pStyle w:val="NormalWeb"/>
              <w:jc w:val="left"/>
              <w:rPr>
                <w:sz w:val="18"/>
                <w:szCs w:val="18"/>
              </w:rPr>
            </w:pPr>
            <w:r w:rsidRPr="0094662C">
              <w:rPr>
                <w:sz w:val="18"/>
                <w:szCs w:val="18"/>
              </w:rPr>
              <w:t>Private pathology provider – IGRA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4E5C31B" w14:textId="77777777" w:rsidR="00953D82" w:rsidRPr="0094662C" w:rsidRDefault="00953D82" w:rsidP="009F5184">
            <w:pPr>
              <w:pStyle w:val="NormalWeb"/>
              <w:jc w:val="left"/>
              <w:rPr>
                <w:sz w:val="18"/>
                <w:szCs w:val="18"/>
              </w:rPr>
            </w:pPr>
            <w:r w:rsidRPr="0094662C">
              <w:rPr>
                <w:sz w:val="18"/>
                <w:szCs w:val="18"/>
              </w:rPr>
              <w:t>Raw data received: QuantiFERON-Tb Gold Plus tests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7AE3D6" w14:textId="77777777" w:rsidR="00953D82" w:rsidRPr="0094662C" w:rsidRDefault="00953D82" w:rsidP="009F5184">
            <w:pPr>
              <w:pStyle w:val="NormalWeb"/>
              <w:jc w:val="left"/>
              <w:rPr>
                <w:sz w:val="18"/>
                <w:szCs w:val="18"/>
              </w:rPr>
            </w:pPr>
            <w:r w:rsidRPr="0094662C">
              <w:rPr>
                <w:sz w:val="18"/>
                <w:szCs w:val="18"/>
              </w:rPr>
              <w:t>32,728</w:t>
            </w:r>
          </w:p>
        </w:tc>
      </w:tr>
      <w:tr w:rsidR="002A4841" w:rsidRPr="0094662C" w14:paraId="6F89C16F"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0334DC4"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B3B48AB" w14:textId="77777777" w:rsidR="00953D82" w:rsidRPr="0094662C" w:rsidRDefault="00953D82" w:rsidP="009F5184">
            <w:pPr>
              <w:pStyle w:val="NormalWeb"/>
              <w:jc w:val="left"/>
              <w:rPr>
                <w:sz w:val="18"/>
                <w:szCs w:val="18"/>
              </w:rPr>
            </w:pPr>
            <w:r w:rsidRPr="0094662C">
              <w:rPr>
                <w:sz w:val="18"/>
                <w:szCs w:val="18"/>
              </w:rPr>
              <w:t>Removed: sex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C5FBAB0" w14:textId="77777777" w:rsidR="00953D82" w:rsidRPr="0094662C" w:rsidRDefault="00953D82" w:rsidP="009F5184">
            <w:pPr>
              <w:pStyle w:val="NormalWeb"/>
              <w:jc w:val="left"/>
              <w:rPr>
                <w:sz w:val="18"/>
                <w:szCs w:val="18"/>
              </w:rPr>
            </w:pPr>
            <w:r w:rsidRPr="0094662C">
              <w:rPr>
                <w:sz w:val="18"/>
                <w:szCs w:val="18"/>
              </w:rPr>
              <w:t>23</w:t>
            </w:r>
          </w:p>
        </w:tc>
      </w:tr>
      <w:tr w:rsidR="00953D82" w:rsidRPr="0094662C" w14:paraId="127CA43F"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2CEB4D1"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EFB6236" w14:textId="77777777" w:rsidR="00953D82" w:rsidRPr="0094662C" w:rsidRDefault="00953D82" w:rsidP="009F5184">
            <w:pPr>
              <w:pStyle w:val="NormalWeb"/>
              <w:jc w:val="left"/>
              <w:rPr>
                <w:sz w:val="18"/>
                <w:szCs w:val="18"/>
              </w:rPr>
            </w:pPr>
            <w:r w:rsidRPr="0094662C">
              <w:rPr>
                <w:sz w:val="18"/>
                <w:szCs w:val="18"/>
              </w:rPr>
              <w:t>Removed: test interpretation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CF37282" w14:textId="77777777" w:rsidR="00953D82" w:rsidRPr="0094662C" w:rsidRDefault="00953D82" w:rsidP="009F5184">
            <w:pPr>
              <w:pStyle w:val="NormalWeb"/>
              <w:jc w:val="left"/>
              <w:rPr>
                <w:sz w:val="18"/>
                <w:szCs w:val="18"/>
              </w:rPr>
            </w:pPr>
            <w:r w:rsidRPr="0094662C">
              <w:rPr>
                <w:sz w:val="18"/>
                <w:szCs w:val="18"/>
              </w:rPr>
              <w:t>1</w:t>
            </w:r>
          </w:p>
        </w:tc>
      </w:tr>
      <w:tr w:rsidR="002A4841" w:rsidRPr="0094662C" w14:paraId="26BEF47A"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B5AF25"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0D095E" w14:textId="77777777" w:rsidR="00953D82" w:rsidRPr="0094662C" w:rsidRDefault="00953D82" w:rsidP="009F5184">
            <w:pPr>
              <w:pStyle w:val="NormalWeb"/>
              <w:jc w:val="left"/>
              <w:rPr>
                <w:sz w:val="18"/>
                <w:szCs w:val="18"/>
              </w:rPr>
            </w:pPr>
            <w:r w:rsidRPr="0094662C">
              <w:rPr>
                <w:sz w:val="18"/>
                <w:szCs w:val="18"/>
              </w:rPr>
              <w:t>Removed: date of birth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22D1657" w14:textId="77777777" w:rsidR="00953D82" w:rsidRPr="0094662C" w:rsidRDefault="00953D82" w:rsidP="009F5184">
            <w:pPr>
              <w:pStyle w:val="NormalWeb"/>
              <w:jc w:val="left"/>
              <w:rPr>
                <w:sz w:val="18"/>
                <w:szCs w:val="18"/>
              </w:rPr>
            </w:pPr>
            <w:r w:rsidRPr="0094662C">
              <w:rPr>
                <w:sz w:val="18"/>
                <w:szCs w:val="18"/>
              </w:rPr>
              <w:t>3</w:t>
            </w:r>
          </w:p>
        </w:tc>
      </w:tr>
      <w:tr w:rsidR="00953D82" w:rsidRPr="0094662C" w14:paraId="39B4EA7E"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6B5C33E"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60FC99D" w14:textId="77777777" w:rsidR="00953D82" w:rsidRPr="0094662C" w:rsidRDefault="00953D82" w:rsidP="009F5184">
            <w:pPr>
              <w:pStyle w:val="NormalWeb"/>
              <w:jc w:val="left"/>
              <w:rPr>
                <w:sz w:val="18"/>
                <w:szCs w:val="18"/>
              </w:rPr>
            </w:pPr>
            <w:r w:rsidRPr="0094662C">
              <w:rPr>
                <w:sz w:val="18"/>
                <w:szCs w:val="18"/>
              </w:rPr>
              <w:t>Removed: duplicate test result to same person</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6B64655" w14:textId="77777777" w:rsidR="00953D82" w:rsidRPr="0094662C" w:rsidRDefault="00953D82" w:rsidP="009F5184">
            <w:pPr>
              <w:pStyle w:val="NormalWeb"/>
              <w:jc w:val="left"/>
              <w:rPr>
                <w:sz w:val="18"/>
                <w:szCs w:val="18"/>
              </w:rPr>
            </w:pPr>
            <w:r w:rsidRPr="0094662C">
              <w:rPr>
                <w:sz w:val="18"/>
                <w:szCs w:val="18"/>
              </w:rPr>
              <w:t>4</w:t>
            </w:r>
          </w:p>
        </w:tc>
      </w:tr>
      <w:tr w:rsidR="002A4841" w:rsidRPr="0094662C" w14:paraId="351F9DA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C94C5C7"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274539D" w14:textId="77777777" w:rsidR="00953D82" w:rsidRPr="0094662C" w:rsidRDefault="00953D82" w:rsidP="009F5184">
            <w:pPr>
              <w:pStyle w:val="NormalWeb"/>
              <w:jc w:val="left"/>
              <w:rPr>
                <w:sz w:val="18"/>
                <w:szCs w:val="18"/>
              </w:rPr>
            </w:pPr>
            <w:r w:rsidRPr="0094662C">
              <w:rPr>
                <w:sz w:val="18"/>
                <w:szCs w:val="18"/>
              </w:rPr>
              <w:t>Removed: repeat tests with same outcome – kept earliest test</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3B86C4C" w14:textId="77777777" w:rsidR="00953D82" w:rsidRPr="0094662C" w:rsidRDefault="00953D82" w:rsidP="009F5184">
            <w:pPr>
              <w:pStyle w:val="NormalWeb"/>
              <w:jc w:val="left"/>
              <w:rPr>
                <w:sz w:val="18"/>
                <w:szCs w:val="18"/>
              </w:rPr>
            </w:pPr>
            <w:r w:rsidRPr="0094662C">
              <w:rPr>
                <w:sz w:val="18"/>
                <w:szCs w:val="18"/>
              </w:rPr>
              <w:t>1,041</w:t>
            </w:r>
          </w:p>
        </w:tc>
      </w:tr>
      <w:tr w:rsidR="00953D82" w:rsidRPr="0094662C" w14:paraId="5A3A11CF"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8EF63FD"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2DB985C" w14:textId="77777777" w:rsidR="00953D82" w:rsidRPr="0094662C" w:rsidRDefault="00953D82" w:rsidP="009F5184">
            <w:pPr>
              <w:pStyle w:val="NormalWeb"/>
              <w:jc w:val="left"/>
              <w:rPr>
                <w:sz w:val="18"/>
                <w:szCs w:val="18"/>
              </w:rPr>
            </w:pPr>
            <w:r w:rsidRPr="0094662C">
              <w:rPr>
                <w:sz w:val="18"/>
                <w:szCs w:val="18"/>
              </w:rPr>
              <w:t>Remaining number of QFTB tests for analysis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D70C4C9" w14:textId="77777777" w:rsidR="00953D82" w:rsidRPr="0094662C" w:rsidRDefault="00953D82" w:rsidP="009F5184">
            <w:pPr>
              <w:pStyle w:val="NormalWeb"/>
              <w:jc w:val="left"/>
              <w:rPr>
                <w:sz w:val="18"/>
                <w:szCs w:val="18"/>
              </w:rPr>
            </w:pPr>
            <w:r w:rsidRPr="0094662C">
              <w:rPr>
                <w:sz w:val="18"/>
                <w:szCs w:val="18"/>
              </w:rPr>
              <w:t>31,656</w:t>
            </w:r>
          </w:p>
        </w:tc>
      </w:tr>
      <w:tr w:rsidR="002A4841" w:rsidRPr="0094662C" w14:paraId="028FC991"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CA1449" w14:textId="77777777" w:rsidR="00953D82" w:rsidRPr="0094662C" w:rsidRDefault="00953D82" w:rsidP="009F5184">
            <w:pPr>
              <w:pStyle w:val="NormalWeb"/>
              <w:jc w:val="left"/>
              <w:rPr>
                <w:sz w:val="18"/>
                <w:szCs w:val="18"/>
              </w:rPr>
            </w:pPr>
            <w:r w:rsidRPr="0094662C">
              <w:rPr>
                <w:sz w:val="18"/>
                <w:szCs w:val="18"/>
              </w:rPr>
              <w:t>Pathology Queensland – MTBC</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378DF14" w14:textId="77777777" w:rsidR="00953D82" w:rsidRPr="0094662C" w:rsidRDefault="00953D82" w:rsidP="009F5184">
            <w:pPr>
              <w:pStyle w:val="NormalWeb"/>
              <w:jc w:val="left"/>
              <w:rPr>
                <w:sz w:val="18"/>
                <w:szCs w:val="18"/>
              </w:rPr>
            </w:pPr>
            <w:r w:rsidRPr="0094662C">
              <w:rPr>
                <w:sz w:val="18"/>
                <w:szCs w:val="18"/>
              </w:rPr>
              <w:t>Raw data received: Mycobacterium tuberculosis complex results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F12E2B3" w14:textId="77777777" w:rsidR="00953D82" w:rsidRPr="0094662C" w:rsidRDefault="00953D82" w:rsidP="009F5184">
            <w:pPr>
              <w:pStyle w:val="NormalWeb"/>
              <w:jc w:val="left"/>
              <w:rPr>
                <w:sz w:val="18"/>
                <w:szCs w:val="18"/>
              </w:rPr>
            </w:pPr>
            <w:r w:rsidRPr="0094662C">
              <w:rPr>
                <w:sz w:val="18"/>
                <w:szCs w:val="18"/>
              </w:rPr>
              <w:t>3,983</w:t>
            </w:r>
          </w:p>
        </w:tc>
      </w:tr>
      <w:tr w:rsidR="00953D82" w:rsidRPr="0094662C" w14:paraId="1D89BD86"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1347FAA"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6127B3F" w14:textId="77777777" w:rsidR="00953D82" w:rsidRPr="0094662C" w:rsidRDefault="00953D82" w:rsidP="009F5184">
            <w:pPr>
              <w:pStyle w:val="NormalWeb"/>
              <w:jc w:val="left"/>
              <w:rPr>
                <w:sz w:val="18"/>
                <w:szCs w:val="18"/>
              </w:rPr>
            </w:pPr>
            <w:r w:rsidRPr="0094662C">
              <w:rPr>
                <w:sz w:val="18"/>
                <w:szCs w:val="18"/>
              </w:rPr>
              <w:t>Removed: ‘date of birth’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7E0EEC3C" w14:textId="77777777" w:rsidR="00953D82" w:rsidRPr="0094662C" w:rsidRDefault="00953D82" w:rsidP="009F5184">
            <w:pPr>
              <w:pStyle w:val="NormalWeb"/>
              <w:jc w:val="left"/>
              <w:rPr>
                <w:sz w:val="18"/>
                <w:szCs w:val="18"/>
              </w:rPr>
            </w:pPr>
            <w:r w:rsidRPr="0094662C">
              <w:rPr>
                <w:sz w:val="18"/>
                <w:szCs w:val="18"/>
              </w:rPr>
              <w:t>1,436</w:t>
            </w:r>
          </w:p>
        </w:tc>
      </w:tr>
      <w:tr w:rsidR="002A4841" w:rsidRPr="0094662C" w14:paraId="25BB5373"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387DBE"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A3CC77A" w14:textId="77777777" w:rsidR="00953D82" w:rsidRPr="0094662C" w:rsidRDefault="00953D82" w:rsidP="009F5184">
            <w:pPr>
              <w:pStyle w:val="NormalWeb"/>
              <w:jc w:val="left"/>
              <w:rPr>
                <w:sz w:val="18"/>
                <w:szCs w:val="18"/>
              </w:rPr>
            </w:pPr>
            <w:r w:rsidRPr="0094662C">
              <w:rPr>
                <w:sz w:val="18"/>
                <w:szCs w:val="18"/>
              </w:rPr>
              <w:t>Removed: ‘sex’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BD6AE9" w14:textId="77777777" w:rsidR="00953D82" w:rsidRPr="0094662C" w:rsidRDefault="00953D82" w:rsidP="009F5184">
            <w:pPr>
              <w:pStyle w:val="NormalWeb"/>
              <w:jc w:val="left"/>
              <w:rPr>
                <w:sz w:val="18"/>
                <w:szCs w:val="18"/>
              </w:rPr>
            </w:pPr>
            <w:r w:rsidRPr="0094662C">
              <w:rPr>
                <w:sz w:val="18"/>
                <w:szCs w:val="18"/>
              </w:rPr>
              <w:t>7</w:t>
            </w:r>
          </w:p>
        </w:tc>
      </w:tr>
      <w:tr w:rsidR="00953D82" w:rsidRPr="0094662C" w14:paraId="6FC648C4"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E7D1E59"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101FF51" w14:textId="77777777" w:rsidR="00953D82" w:rsidRPr="0094662C" w:rsidRDefault="00953D82" w:rsidP="009F5184">
            <w:pPr>
              <w:pStyle w:val="NormalWeb"/>
              <w:jc w:val="left"/>
              <w:rPr>
                <w:sz w:val="18"/>
                <w:szCs w:val="18"/>
              </w:rPr>
            </w:pPr>
            <w:r w:rsidRPr="0094662C">
              <w:rPr>
                <w:sz w:val="18"/>
                <w:szCs w:val="18"/>
              </w:rPr>
              <w:t>Removed: duplicate results per person – kept earliest result</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ACAF1B" w14:textId="77777777" w:rsidR="00953D82" w:rsidRPr="0094662C" w:rsidRDefault="00953D82" w:rsidP="009F5184">
            <w:pPr>
              <w:pStyle w:val="NormalWeb"/>
              <w:jc w:val="left"/>
              <w:rPr>
                <w:sz w:val="18"/>
                <w:szCs w:val="18"/>
              </w:rPr>
            </w:pPr>
            <w:r w:rsidRPr="0094662C">
              <w:rPr>
                <w:sz w:val="18"/>
                <w:szCs w:val="18"/>
              </w:rPr>
              <w:t>1,758</w:t>
            </w:r>
          </w:p>
        </w:tc>
      </w:tr>
      <w:tr w:rsidR="002A4841" w:rsidRPr="0094662C" w14:paraId="16746D5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E27C9E"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D38527" w14:textId="77777777" w:rsidR="00953D82" w:rsidRPr="0094662C" w:rsidRDefault="00953D82" w:rsidP="009F5184">
            <w:pPr>
              <w:pStyle w:val="NormalWeb"/>
              <w:jc w:val="left"/>
              <w:rPr>
                <w:sz w:val="18"/>
                <w:szCs w:val="18"/>
              </w:rPr>
            </w:pPr>
            <w:proofErr w:type="gramStart"/>
            <w:r w:rsidRPr="0094662C">
              <w:rPr>
                <w:sz w:val="18"/>
                <w:szCs w:val="18"/>
              </w:rPr>
              <w:t>Remaining</w:t>
            </w:r>
            <w:proofErr w:type="gramEnd"/>
            <w:r w:rsidRPr="0094662C">
              <w:rPr>
                <w:sz w:val="18"/>
                <w:szCs w:val="18"/>
              </w:rPr>
              <w:t xml:space="preserve"> individual MTBC results for matching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0A7F526" w14:textId="77777777" w:rsidR="00953D82" w:rsidRPr="0094662C" w:rsidRDefault="00953D82" w:rsidP="009F5184">
            <w:pPr>
              <w:pStyle w:val="NormalWeb"/>
              <w:jc w:val="left"/>
              <w:rPr>
                <w:sz w:val="18"/>
                <w:szCs w:val="18"/>
              </w:rPr>
            </w:pPr>
            <w:r w:rsidRPr="0094662C">
              <w:rPr>
                <w:sz w:val="18"/>
                <w:szCs w:val="18"/>
              </w:rPr>
              <w:t>782</w:t>
            </w:r>
          </w:p>
        </w:tc>
      </w:tr>
      <w:tr w:rsidR="00953D82" w:rsidRPr="0094662C" w14:paraId="6691DC2A" w14:textId="77777777" w:rsidTr="00DC0B8C">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B92DDAD" w14:textId="77777777" w:rsidR="00953D82" w:rsidRPr="0094662C" w:rsidRDefault="00953D82" w:rsidP="009F5184">
            <w:pPr>
              <w:pStyle w:val="NormalWeb"/>
              <w:jc w:val="left"/>
              <w:rPr>
                <w:sz w:val="18"/>
                <w:szCs w:val="18"/>
              </w:rPr>
            </w:pPr>
            <w:r w:rsidRPr="0094662C">
              <w:rPr>
                <w:sz w:val="18"/>
                <w:szCs w:val="18"/>
              </w:rPr>
              <w:t>Pathology Queensland – IGRA</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C4EE521" w14:textId="77777777" w:rsidR="00953D82" w:rsidRPr="0094662C" w:rsidRDefault="00953D82" w:rsidP="009F5184">
            <w:pPr>
              <w:pStyle w:val="NormalWeb"/>
              <w:jc w:val="left"/>
              <w:rPr>
                <w:sz w:val="18"/>
                <w:szCs w:val="18"/>
              </w:rPr>
            </w:pPr>
            <w:r w:rsidRPr="0094662C">
              <w:rPr>
                <w:sz w:val="18"/>
                <w:szCs w:val="18"/>
              </w:rPr>
              <w:t>Raw data received: QuantiFERON-Tb Gold Plus tests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9B8EE12" w14:textId="77777777" w:rsidR="00953D82" w:rsidRPr="0094662C" w:rsidRDefault="00953D82" w:rsidP="009F5184">
            <w:pPr>
              <w:pStyle w:val="NormalWeb"/>
              <w:jc w:val="left"/>
              <w:rPr>
                <w:sz w:val="18"/>
                <w:szCs w:val="18"/>
              </w:rPr>
            </w:pPr>
            <w:r w:rsidRPr="0094662C">
              <w:rPr>
                <w:sz w:val="18"/>
                <w:szCs w:val="18"/>
              </w:rPr>
              <w:t>41,229</w:t>
            </w:r>
          </w:p>
        </w:tc>
      </w:tr>
      <w:tr w:rsidR="002A4841" w:rsidRPr="0094662C" w14:paraId="7CB038B3"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4B816DF"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55213CC" w14:textId="77777777" w:rsidR="00953D82" w:rsidRPr="0094662C" w:rsidRDefault="00953D82" w:rsidP="009F5184">
            <w:pPr>
              <w:pStyle w:val="NormalWeb"/>
              <w:jc w:val="left"/>
              <w:rPr>
                <w:sz w:val="18"/>
                <w:szCs w:val="18"/>
              </w:rPr>
            </w:pPr>
            <w:r w:rsidRPr="0094662C">
              <w:rPr>
                <w:sz w:val="18"/>
                <w:szCs w:val="18"/>
              </w:rPr>
              <w:t>Removed: date of birth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8CE4815" w14:textId="77777777" w:rsidR="00953D82" w:rsidRPr="0094662C" w:rsidRDefault="00953D82" w:rsidP="009F5184">
            <w:pPr>
              <w:pStyle w:val="NormalWeb"/>
              <w:jc w:val="left"/>
              <w:rPr>
                <w:sz w:val="18"/>
                <w:szCs w:val="18"/>
              </w:rPr>
            </w:pPr>
            <w:r w:rsidRPr="0094662C">
              <w:rPr>
                <w:sz w:val="18"/>
                <w:szCs w:val="18"/>
              </w:rPr>
              <w:t>6</w:t>
            </w:r>
          </w:p>
        </w:tc>
      </w:tr>
      <w:tr w:rsidR="00953D82" w:rsidRPr="0094662C" w14:paraId="2B874E8A"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F7C1A86"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71244F2" w14:textId="77777777" w:rsidR="00953D82" w:rsidRPr="0094662C" w:rsidRDefault="00953D82" w:rsidP="009F5184">
            <w:pPr>
              <w:pStyle w:val="NormalWeb"/>
              <w:jc w:val="left"/>
              <w:rPr>
                <w:sz w:val="18"/>
                <w:szCs w:val="18"/>
              </w:rPr>
            </w:pPr>
            <w:r w:rsidRPr="0094662C">
              <w:rPr>
                <w:sz w:val="18"/>
                <w:szCs w:val="18"/>
              </w:rPr>
              <w:t>Removed: sex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2EBCF96" w14:textId="77777777" w:rsidR="00953D82" w:rsidRPr="0094662C" w:rsidRDefault="00953D82" w:rsidP="009F5184">
            <w:pPr>
              <w:pStyle w:val="NormalWeb"/>
              <w:jc w:val="left"/>
              <w:rPr>
                <w:sz w:val="18"/>
                <w:szCs w:val="18"/>
              </w:rPr>
            </w:pPr>
            <w:r w:rsidRPr="0094662C">
              <w:rPr>
                <w:sz w:val="18"/>
                <w:szCs w:val="18"/>
              </w:rPr>
              <w:t>98</w:t>
            </w:r>
          </w:p>
        </w:tc>
      </w:tr>
      <w:tr w:rsidR="002A4841" w:rsidRPr="0094662C" w14:paraId="5CC05454"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DCBB96"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F151D7E" w14:textId="77777777" w:rsidR="00953D82" w:rsidRPr="0094662C" w:rsidRDefault="00953D82" w:rsidP="009F5184">
            <w:pPr>
              <w:pStyle w:val="NormalWeb"/>
              <w:jc w:val="left"/>
              <w:rPr>
                <w:sz w:val="18"/>
                <w:szCs w:val="18"/>
              </w:rPr>
            </w:pPr>
            <w:r w:rsidRPr="0094662C">
              <w:rPr>
                <w:sz w:val="18"/>
                <w:szCs w:val="18"/>
              </w:rPr>
              <w:t>Removed: collection date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81946DC" w14:textId="77777777" w:rsidR="00953D82" w:rsidRPr="0094662C" w:rsidRDefault="00953D82" w:rsidP="009F5184">
            <w:pPr>
              <w:pStyle w:val="NormalWeb"/>
              <w:jc w:val="left"/>
              <w:rPr>
                <w:sz w:val="18"/>
                <w:szCs w:val="18"/>
              </w:rPr>
            </w:pPr>
            <w:r w:rsidRPr="0094662C">
              <w:rPr>
                <w:sz w:val="18"/>
                <w:szCs w:val="18"/>
              </w:rPr>
              <w:t>6</w:t>
            </w:r>
          </w:p>
        </w:tc>
      </w:tr>
      <w:tr w:rsidR="00953D82" w:rsidRPr="0094662C" w14:paraId="2EA09896"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96FF9F9"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7D5AF08" w14:textId="77777777" w:rsidR="00953D82" w:rsidRPr="0094662C" w:rsidRDefault="00953D82" w:rsidP="009F5184">
            <w:pPr>
              <w:pStyle w:val="NormalWeb"/>
              <w:jc w:val="left"/>
              <w:rPr>
                <w:sz w:val="18"/>
                <w:szCs w:val="18"/>
              </w:rPr>
            </w:pPr>
            <w:r w:rsidRPr="0094662C">
              <w:rPr>
                <w:sz w:val="18"/>
                <w:szCs w:val="18"/>
              </w:rPr>
              <w:t>Removed: test interpretation missing</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BA89D20" w14:textId="77777777" w:rsidR="00953D82" w:rsidRPr="0094662C" w:rsidRDefault="00953D82" w:rsidP="009F5184">
            <w:pPr>
              <w:pStyle w:val="NormalWeb"/>
              <w:jc w:val="left"/>
              <w:rPr>
                <w:sz w:val="18"/>
                <w:szCs w:val="18"/>
              </w:rPr>
            </w:pPr>
            <w:r w:rsidRPr="0094662C">
              <w:rPr>
                <w:sz w:val="18"/>
                <w:szCs w:val="18"/>
              </w:rPr>
              <w:t>215</w:t>
            </w:r>
          </w:p>
        </w:tc>
      </w:tr>
      <w:tr w:rsidR="002A4841" w:rsidRPr="0094662C" w14:paraId="7A9EF71A"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20A82AA"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8439B3C" w14:textId="77777777" w:rsidR="00953D82" w:rsidRPr="0094662C" w:rsidRDefault="00953D82" w:rsidP="009F5184">
            <w:pPr>
              <w:pStyle w:val="NormalWeb"/>
              <w:jc w:val="left"/>
              <w:rPr>
                <w:sz w:val="18"/>
                <w:szCs w:val="18"/>
              </w:rPr>
            </w:pPr>
            <w:r w:rsidRPr="0094662C">
              <w:rPr>
                <w:sz w:val="18"/>
                <w:szCs w:val="18"/>
              </w:rPr>
              <w:t>Removed: duplicates with same test result</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4A720B7" w14:textId="77777777" w:rsidR="00953D82" w:rsidRPr="0094662C" w:rsidRDefault="00953D82" w:rsidP="009F5184">
            <w:pPr>
              <w:pStyle w:val="NormalWeb"/>
              <w:jc w:val="left"/>
              <w:rPr>
                <w:sz w:val="18"/>
                <w:szCs w:val="18"/>
              </w:rPr>
            </w:pPr>
            <w:r w:rsidRPr="0094662C">
              <w:rPr>
                <w:sz w:val="18"/>
                <w:szCs w:val="18"/>
              </w:rPr>
              <w:t>11</w:t>
            </w:r>
          </w:p>
        </w:tc>
      </w:tr>
      <w:tr w:rsidR="00953D82" w:rsidRPr="0094662C" w14:paraId="77429C14"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F7A8C7E"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B6C94EA" w14:textId="77777777" w:rsidR="00953D82" w:rsidRPr="0094662C" w:rsidRDefault="00953D82" w:rsidP="009F5184">
            <w:pPr>
              <w:pStyle w:val="NormalWeb"/>
              <w:jc w:val="left"/>
              <w:rPr>
                <w:sz w:val="18"/>
                <w:szCs w:val="18"/>
              </w:rPr>
            </w:pPr>
            <w:r w:rsidRPr="0094662C">
              <w:rPr>
                <w:sz w:val="18"/>
                <w:szCs w:val="18"/>
              </w:rPr>
              <w:t>Removed: people with MTBC diagnosis prior to QFTB</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F99B85C" w14:textId="77777777" w:rsidR="00953D82" w:rsidRPr="0094662C" w:rsidRDefault="00953D82" w:rsidP="009F5184">
            <w:pPr>
              <w:pStyle w:val="NormalWeb"/>
              <w:jc w:val="left"/>
              <w:rPr>
                <w:sz w:val="18"/>
                <w:szCs w:val="18"/>
              </w:rPr>
            </w:pPr>
            <w:r w:rsidRPr="0094662C">
              <w:rPr>
                <w:sz w:val="18"/>
                <w:szCs w:val="18"/>
              </w:rPr>
              <w:t>48</w:t>
            </w:r>
          </w:p>
        </w:tc>
      </w:tr>
      <w:tr w:rsidR="002A4841" w:rsidRPr="0094662C" w14:paraId="57D61B1C"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16A9271"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080D78A" w14:textId="77777777" w:rsidR="00953D82" w:rsidRPr="0094662C" w:rsidRDefault="00953D82" w:rsidP="009F5184">
            <w:pPr>
              <w:pStyle w:val="NormalWeb"/>
              <w:jc w:val="left"/>
              <w:rPr>
                <w:sz w:val="18"/>
                <w:szCs w:val="18"/>
              </w:rPr>
            </w:pPr>
            <w:r w:rsidRPr="0094662C">
              <w:rPr>
                <w:sz w:val="18"/>
                <w:szCs w:val="18"/>
              </w:rPr>
              <w:t>Removed: people with MTBC diagnosis within 3 months after QFTB</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69D97E7B" w14:textId="77777777" w:rsidR="00953D82" w:rsidRPr="0094662C" w:rsidRDefault="00953D82" w:rsidP="009F5184">
            <w:pPr>
              <w:pStyle w:val="NormalWeb"/>
              <w:jc w:val="left"/>
              <w:rPr>
                <w:sz w:val="18"/>
                <w:szCs w:val="18"/>
              </w:rPr>
            </w:pPr>
            <w:r w:rsidRPr="0094662C">
              <w:rPr>
                <w:sz w:val="18"/>
                <w:szCs w:val="18"/>
              </w:rPr>
              <w:t>132</w:t>
            </w:r>
          </w:p>
        </w:tc>
      </w:tr>
      <w:tr w:rsidR="00953D82" w:rsidRPr="0094662C" w14:paraId="6BD7591C"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BDAF217"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9862BEE" w14:textId="77777777" w:rsidR="00953D82" w:rsidRPr="0094662C" w:rsidRDefault="00953D82" w:rsidP="009F5184">
            <w:pPr>
              <w:pStyle w:val="NormalWeb"/>
              <w:jc w:val="left"/>
              <w:rPr>
                <w:sz w:val="18"/>
                <w:szCs w:val="18"/>
              </w:rPr>
            </w:pPr>
            <w:r w:rsidRPr="0094662C">
              <w:rPr>
                <w:sz w:val="18"/>
                <w:szCs w:val="18"/>
              </w:rPr>
              <w:t>Removed: repeat tests with same outcome – kept earliest test</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B501F8E" w14:textId="77777777" w:rsidR="00953D82" w:rsidRPr="0094662C" w:rsidRDefault="00953D82" w:rsidP="009F5184">
            <w:pPr>
              <w:pStyle w:val="NormalWeb"/>
              <w:jc w:val="left"/>
              <w:rPr>
                <w:sz w:val="18"/>
                <w:szCs w:val="18"/>
              </w:rPr>
            </w:pPr>
            <w:r w:rsidRPr="0094662C">
              <w:rPr>
                <w:sz w:val="18"/>
                <w:szCs w:val="18"/>
              </w:rPr>
              <w:t>2,911</w:t>
            </w:r>
          </w:p>
        </w:tc>
      </w:tr>
      <w:tr w:rsidR="002A4841" w:rsidRPr="0094662C" w14:paraId="561C87DB"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F826ECC"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09E16A0B" w14:textId="77777777" w:rsidR="00953D82" w:rsidRPr="0094662C" w:rsidRDefault="00953D82" w:rsidP="009F5184">
            <w:pPr>
              <w:pStyle w:val="NormalWeb"/>
              <w:jc w:val="left"/>
              <w:rPr>
                <w:sz w:val="18"/>
                <w:szCs w:val="18"/>
              </w:rPr>
            </w:pPr>
            <w:r w:rsidRPr="0094662C">
              <w:rPr>
                <w:sz w:val="18"/>
                <w:szCs w:val="18"/>
              </w:rPr>
              <w:t>Remaining number of QFTB tests for analysis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7ADEAFC" w14:textId="77777777" w:rsidR="00953D82" w:rsidRPr="0094662C" w:rsidRDefault="00953D82" w:rsidP="009F5184">
            <w:pPr>
              <w:pStyle w:val="NormalWeb"/>
              <w:jc w:val="left"/>
              <w:rPr>
                <w:sz w:val="18"/>
                <w:szCs w:val="18"/>
              </w:rPr>
            </w:pPr>
            <w:r w:rsidRPr="0094662C">
              <w:rPr>
                <w:sz w:val="18"/>
                <w:szCs w:val="18"/>
              </w:rPr>
              <w:t>37,802</w:t>
            </w:r>
          </w:p>
        </w:tc>
      </w:tr>
      <w:tr w:rsidR="00953D82" w:rsidRPr="0094662C" w14:paraId="366B19A9" w14:textId="77777777" w:rsidTr="00DC0B8C">
        <w:trPr>
          <w:divId w:val="1330868351"/>
        </w:trPr>
        <w:tc>
          <w:tcPr>
            <w:tcW w:w="0" w:type="auto"/>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F94D33F" w14:textId="77777777" w:rsidR="00953D82" w:rsidRPr="0094662C" w:rsidRDefault="00953D82" w:rsidP="009F5184">
            <w:pPr>
              <w:pStyle w:val="NormalWeb"/>
              <w:jc w:val="left"/>
              <w:rPr>
                <w:sz w:val="18"/>
                <w:szCs w:val="18"/>
              </w:rPr>
            </w:pPr>
            <w:r w:rsidRPr="0094662C">
              <w:rPr>
                <w:sz w:val="18"/>
                <w:szCs w:val="18"/>
              </w:rPr>
              <w:t>Queensland Notifiable Conditions System</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B78E6F0" w14:textId="77777777" w:rsidR="00953D82" w:rsidRPr="0094662C" w:rsidRDefault="00953D82" w:rsidP="009F5184">
            <w:pPr>
              <w:pStyle w:val="NormalWeb"/>
              <w:jc w:val="left"/>
              <w:rPr>
                <w:sz w:val="18"/>
                <w:szCs w:val="18"/>
              </w:rPr>
            </w:pPr>
            <w:r w:rsidRPr="0094662C">
              <w:rPr>
                <w:sz w:val="18"/>
                <w:szCs w:val="18"/>
              </w:rPr>
              <w:t>Raw data received: probable/confirmed TB notifications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584050DD" w14:textId="77777777" w:rsidR="00953D82" w:rsidRPr="0094662C" w:rsidRDefault="00953D82" w:rsidP="009F5184">
            <w:pPr>
              <w:pStyle w:val="NormalWeb"/>
              <w:jc w:val="left"/>
              <w:rPr>
                <w:sz w:val="18"/>
                <w:szCs w:val="18"/>
              </w:rPr>
            </w:pPr>
            <w:r w:rsidRPr="0094662C">
              <w:rPr>
                <w:sz w:val="18"/>
                <w:szCs w:val="18"/>
              </w:rPr>
              <w:t>943</w:t>
            </w:r>
          </w:p>
        </w:tc>
      </w:tr>
      <w:tr w:rsidR="002A4841" w:rsidRPr="0094662C" w14:paraId="40FFAD2B" w14:textId="77777777" w:rsidTr="00DC0B8C">
        <w:trPr>
          <w:cnfStyle w:val="000000010000" w:firstRow="0" w:lastRow="0" w:firstColumn="0" w:lastColumn="0" w:oddVBand="0" w:evenVBand="0" w:oddHBand="0" w:evenHBand="1" w:firstRowFirstColumn="0" w:firstRowLastColumn="0" w:lastRowFirstColumn="0" w:lastRowLastColumn="0"/>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45C42709"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111A586B" w14:textId="77777777" w:rsidR="00953D82" w:rsidRPr="0094662C" w:rsidRDefault="00953D82" w:rsidP="009F5184">
            <w:pPr>
              <w:pStyle w:val="NormalWeb"/>
              <w:jc w:val="left"/>
              <w:rPr>
                <w:sz w:val="18"/>
                <w:szCs w:val="18"/>
              </w:rPr>
            </w:pPr>
            <w:r w:rsidRPr="0094662C">
              <w:rPr>
                <w:sz w:val="18"/>
                <w:szCs w:val="18"/>
              </w:rPr>
              <w:t>Removed: relapse cases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3ABEB3AC" w14:textId="77777777" w:rsidR="00953D82" w:rsidRPr="0094662C" w:rsidRDefault="00953D82" w:rsidP="009F5184">
            <w:pPr>
              <w:pStyle w:val="NormalWeb"/>
              <w:jc w:val="left"/>
              <w:rPr>
                <w:sz w:val="18"/>
                <w:szCs w:val="18"/>
              </w:rPr>
            </w:pPr>
            <w:r w:rsidRPr="0094662C">
              <w:rPr>
                <w:sz w:val="18"/>
                <w:szCs w:val="18"/>
              </w:rPr>
              <w:t>7</w:t>
            </w:r>
          </w:p>
        </w:tc>
      </w:tr>
      <w:tr w:rsidR="00953D82" w:rsidRPr="0094662C" w14:paraId="6E3FED3D" w14:textId="77777777" w:rsidTr="00DC0B8C">
        <w:trPr>
          <w:divId w:val="1330868351"/>
        </w:trPr>
        <w:tc>
          <w:tcPr>
            <w:tcW w:w="0" w:type="auto"/>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BA322BD" w14:textId="77777777" w:rsidR="00953D82" w:rsidRPr="0094662C" w:rsidRDefault="00953D82" w:rsidP="009F5184">
            <w:pPr>
              <w:rPr>
                <w:sz w:val="18"/>
                <w:szCs w:val="18"/>
              </w:rPr>
            </w:pP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C787784" w14:textId="77777777" w:rsidR="00953D82" w:rsidRPr="0094662C" w:rsidRDefault="00953D82" w:rsidP="009F5184">
            <w:pPr>
              <w:pStyle w:val="NormalWeb"/>
              <w:jc w:val="left"/>
              <w:rPr>
                <w:sz w:val="18"/>
                <w:szCs w:val="18"/>
              </w:rPr>
            </w:pPr>
            <w:r w:rsidRPr="0094662C">
              <w:rPr>
                <w:sz w:val="18"/>
                <w:szCs w:val="18"/>
              </w:rPr>
              <w:t>Remaining number of TB notifications for reference analysis</w:t>
            </w:r>
          </w:p>
        </w:tc>
        <w:tc>
          <w:tcPr>
            <w:tcW w:w="22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top"/>
            <w:hideMark/>
          </w:tcPr>
          <w:p w14:paraId="248DC80A" w14:textId="77777777" w:rsidR="00953D82" w:rsidRPr="0094662C" w:rsidRDefault="00953D82" w:rsidP="009F5184">
            <w:pPr>
              <w:pStyle w:val="NormalWeb"/>
              <w:jc w:val="left"/>
              <w:rPr>
                <w:sz w:val="18"/>
                <w:szCs w:val="18"/>
              </w:rPr>
            </w:pPr>
            <w:r w:rsidRPr="0094662C">
              <w:rPr>
                <w:sz w:val="18"/>
                <w:szCs w:val="18"/>
              </w:rPr>
              <w:t>936</w:t>
            </w:r>
          </w:p>
        </w:tc>
      </w:tr>
    </w:tbl>
    <w:p w14:paraId="257D338C" w14:textId="77777777" w:rsidR="00953D82" w:rsidRDefault="00953D82" w:rsidP="00953D82">
      <w:pPr>
        <w:pStyle w:val="CDIfootnotes"/>
        <w:divId w:val="1330868351"/>
        <w:rPr>
          <w:lang w:val="en-GB"/>
        </w:rPr>
      </w:pPr>
      <w:proofErr w:type="gramStart"/>
      <w:r>
        <w:rPr>
          <w:lang w:val="en-GB"/>
        </w:rPr>
        <w:t>a</w:t>
      </w:r>
      <w:proofErr w:type="gramEnd"/>
      <w:r>
        <w:rPr>
          <w:lang w:val="en-GB"/>
        </w:rPr>
        <w:tab/>
        <w:t>IGRA: interferon gamma release assay (in this instance, QuantiFERON-Tb Gold Plus [QFTB]); MTBC: Mycobacterium tuberculosis complex; TB: tuberculosis; TBCU: tuberculosis control unit; TST: tuberculin skin test.</w:t>
      </w:r>
    </w:p>
    <w:p w14:paraId="617268C6" w14:textId="77777777" w:rsidR="008B5348" w:rsidRDefault="008B5348">
      <w:pPr>
        <w:rPr>
          <w:rStyle w:val="A10"/>
        </w:rPr>
      </w:pPr>
      <w:r>
        <w:rPr>
          <w:rStyle w:val="A10"/>
        </w:rPr>
        <w:br w:type="page"/>
      </w:r>
    </w:p>
    <w:p w14:paraId="7D2A6418"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5E4EE9B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46850F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0F704E0" w14:textId="77777777" w:rsidR="000A5F42" w:rsidRPr="000606CC" w:rsidRDefault="000A5F42" w:rsidP="000A5F42">
      <w:pPr>
        <w:pStyle w:val="NoSpacing"/>
        <w:rPr>
          <w:rStyle w:val="URI"/>
          <w:rFonts w:cstheme="minorHAnsi"/>
          <w:sz w:val="20"/>
          <w:szCs w:val="18"/>
        </w:rPr>
      </w:pPr>
    </w:p>
    <w:p w14:paraId="1F82C37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6928280" w14:textId="77777777" w:rsidR="000A5F42" w:rsidRPr="000606CC" w:rsidRDefault="000A5F42" w:rsidP="000A5F42">
      <w:pPr>
        <w:pStyle w:val="NoSpacing"/>
        <w:rPr>
          <w:rStyle w:val="Strong"/>
          <w:rFonts w:cstheme="minorHAnsi"/>
          <w:sz w:val="20"/>
          <w:szCs w:val="18"/>
        </w:rPr>
      </w:pPr>
    </w:p>
    <w:p w14:paraId="6DA56A0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DE0E0E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721332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FB4E17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2939B0AD" w14:textId="77777777" w:rsidR="000A5F42" w:rsidRPr="000606CC" w:rsidRDefault="000A5F42" w:rsidP="000A5F42">
      <w:pPr>
        <w:pStyle w:val="NoSpacing"/>
        <w:rPr>
          <w:rStyle w:val="Strong"/>
          <w:rFonts w:cstheme="minorHAnsi"/>
          <w:sz w:val="20"/>
          <w:szCs w:val="18"/>
        </w:rPr>
      </w:pPr>
    </w:p>
    <w:p w14:paraId="253BA3A8" w14:textId="42B7B13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C023074" w14:textId="77777777" w:rsidR="000A5F42" w:rsidRPr="000606CC" w:rsidRDefault="000A5F42" w:rsidP="000A5F42">
      <w:pPr>
        <w:pStyle w:val="NoSpacing"/>
        <w:rPr>
          <w:rStyle w:val="Strong"/>
          <w:rFonts w:cstheme="minorHAnsi"/>
          <w:sz w:val="20"/>
          <w:szCs w:val="18"/>
        </w:rPr>
      </w:pPr>
    </w:p>
    <w:p w14:paraId="7B09DCD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4469B99C" w14:textId="77777777" w:rsidR="000A5F42" w:rsidRPr="000606CC" w:rsidRDefault="000A5F42" w:rsidP="000A5F42">
      <w:pPr>
        <w:pStyle w:val="NoSpacing"/>
        <w:rPr>
          <w:rStyle w:val="Strong"/>
          <w:rFonts w:cstheme="minorHAnsi"/>
          <w:sz w:val="20"/>
          <w:szCs w:val="18"/>
        </w:rPr>
      </w:pPr>
    </w:p>
    <w:p w14:paraId="2702749C" w14:textId="0E00893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4403D78" w14:textId="77777777" w:rsidR="000A5F42" w:rsidRPr="000606CC" w:rsidRDefault="000A5F42" w:rsidP="000A5F42">
      <w:pPr>
        <w:pStyle w:val="NoSpacing"/>
        <w:rPr>
          <w:rStyle w:val="Strong"/>
          <w:rFonts w:cstheme="minorHAnsi"/>
          <w:sz w:val="20"/>
          <w:szCs w:val="18"/>
        </w:rPr>
      </w:pPr>
    </w:p>
    <w:p w14:paraId="4F82F24B" w14:textId="6D23A74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D960EF2" w14:textId="6B1D51F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0C842BD" w14:textId="77777777" w:rsidR="000A5F42" w:rsidRPr="000606CC" w:rsidRDefault="000A5F42" w:rsidP="000A5F42">
      <w:pPr>
        <w:pStyle w:val="NoSpacing"/>
        <w:pBdr>
          <w:bottom w:val="single" w:sz="6" w:space="1" w:color="auto"/>
        </w:pBdr>
        <w:rPr>
          <w:rStyle w:val="Strong"/>
          <w:rFonts w:cstheme="minorHAnsi"/>
          <w:sz w:val="12"/>
          <w:szCs w:val="18"/>
        </w:rPr>
      </w:pPr>
    </w:p>
    <w:p w14:paraId="0DB52B00" w14:textId="77777777" w:rsidR="000A5F42" w:rsidRPr="000606CC" w:rsidRDefault="000A5F42" w:rsidP="000A5F42">
      <w:pPr>
        <w:pStyle w:val="NoSpacing"/>
        <w:rPr>
          <w:rFonts w:cstheme="minorHAnsi"/>
          <w:sz w:val="20"/>
          <w:szCs w:val="18"/>
        </w:rPr>
      </w:pPr>
    </w:p>
    <w:p w14:paraId="7A3F466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87D18D0" w14:textId="77777777" w:rsidR="000A5F42" w:rsidRPr="000606CC" w:rsidRDefault="000A5F42" w:rsidP="000A5F42">
      <w:pPr>
        <w:pStyle w:val="NoSpacing"/>
        <w:rPr>
          <w:rFonts w:cstheme="minorHAnsi"/>
          <w:sz w:val="20"/>
          <w:szCs w:val="18"/>
        </w:rPr>
      </w:pPr>
    </w:p>
    <w:p w14:paraId="222DC85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16B973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81628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2794B1C9" w14:textId="6D0747B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E752438" w14:textId="77777777" w:rsidR="000A5F42" w:rsidRPr="000606CC" w:rsidRDefault="000A5F42" w:rsidP="000A5F42">
      <w:pPr>
        <w:pStyle w:val="NoSpacing"/>
        <w:rPr>
          <w:rFonts w:cstheme="minorHAnsi"/>
          <w:sz w:val="20"/>
          <w:szCs w:val="18"/>
        </w:rPr>
      </w:pPr>
    </w:p>
    <w:p w14:paraId="3EFB34A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62019B3" w14:textId="285CF89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886CDD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6941EA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B67D8A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9F0956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D9F81FB" w14:textId="77777777" w:rsidR="000A5F42" w:rsidRPr="000606CC" w:rsidRDefault="000A5F42" w:rsidP="000A5F42">
      <w:pPr>
        <w:pStyle w:val="NoSpacing"/>
        <w:rPr>
          <w:rStyle w:val="Strong"/>
          <w:rFonts w:cstheme="minorHAnsi"/>
          <w:sz w:val="20"/>
          <w:szCs w:val="18"/>
        </w:rPr>
      </w:pPr>
    </w:p>
    <w:p w14:paraId="2B4A488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BCE6FA3" w14:textId="77777777" w:rsidR="000A5F42" w:rsidRPr="000606CC" w:rsidRDefault="000A5F42" w:rsidP="000A5F42">
      <w:pPr>
        <w:pStyle w:val="NoSpacing"/>
        <w:rPr>
          <w:rStyle w:val="Strong"/>
          <w:rFonts w:cstheme="minorHAnsi"/>
          <w:sz w:val="20"/>
          <w:szCs w:val="18"/>
        </w:rPr>
      </w:pPr>
    </w:p>
    <w:p w14:paraId="199DAA51" w14:textId="6E7892B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09BA0B2" w14:textId="77777777" w:rsidR="000A5F42" w:rsidRPr="000606CC" w:rsidRDefault="000A5F42" w:rsidP="000A5F42">
      <w:pPr>
        <w:pStyle w:val="NoSpacing"/>
        <w:rPr>
          <w:rStyle w:val="URI"/>
          <w:rFonts w:cstheme="minorHAnsi"/>
          <w:sz w:val="20"/>
          <w:szCs w:val="18"/>
        </w:rPr>
      </w:pPr>
    </w:p>
    <w:p w14:paraId="7D709A23" w14:textId="18D1557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C9CF" w14:textId="77777777" w:rsidR="00BB40AA" w:rsidRDefault="00BB40AA" w:rsidP="00E54DBA">
      <w:r>
        <w:separator/>
      </w:r>
    </w:p>
    <w:p w14:paraId="71F5E396" w14:textId="77777777" w:rsidR="00BB40AA" w:rsidRDefault="00BB40AA"/>
    <w:p w14:paraId="0128E616" w14:textId="77777777" w:rsidR="00BB40AA" w:rsidRDefault="00BB40AA" w:rsidP="008714B0"/>
  </w:endnote>
  <w:endnote w:type="continuationSeparator" w:id="0">
    <w:p w14:paraId="02969E96" w14:textId="77777777" w:rsidR="00BB40AA" w:rsidRDefault="00BB40AA" w:rsidP="00E54DBA">
      <w:r>
        <w:continuationSeparator/>
      </w:r>
    </w:p>
    <w:p w14:paraId="674E8026" w14:textId="77777777" w:rsidR="00BB40AA" w:rsidRDefault="00BB40AA"/>
    <w:p w14:paraId="499714F9" w14:textId="77777777" w:rsidR="00BB40AA" w:rsidRDefault="00BB40A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9DC7" w14:textId="4434913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F77AF">
      <w:rPr>
        <w:i/>
        <w:sz w:val="18"/>
      </w:rPr>
      <w:t>Commun</w:t>
    </w:r>
    <w:proofErr w:type="spellEnd"/>
    <w:r w:rsidR="00CE342B" w:rsidRPr="002F77AF">
      <w:rPr>
        <w:i/>
        <w:sz w:val="18"/>
      </w:rPr>
      <w:t xml:space="preserve"> Dis </w:t>
    </w:r>
    <w:proofErr w:type="spellStart"/>
    <w:r w:rsidR="00CE342B" w:rsidRPr="002F77AF">
      <w:rPr>
        <w:i/>
        <w:sz w:val="18"/>
      </w:rPr>
      <w:t>Intell</w:t>
    </w:r>
    <w:proofErr w:type="spellEnd"/>
    <w:r w:rsidR="00CE342B" w:rsidRPr="002F77A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1628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1628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20105">
      <w:rPr>
        <w:sz w:val="18"/>
      </w:rPr>
      <w:t>https://doi.org/10.33321/cdi.2023.47.71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20105">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A1A7" w14:textId="1352EC1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F77AF">
      <w:rPr>
        <w:i/>
        <w:sz w:val="18"/>
      </w:rPr>
      <w:t>Commun</w:t>
    </w:r>
    <w:proofErr w:type="spellEnd"/>
    <w:r w:rsidR="00A164D5" w:rsidRPr="002F77AF">
      <w:rPr>
        <w:i/>
        <w:sz w:val="18"/>
      </w:rPr>
      <w:t xml:space="preserve"> Dis </w:t>
    </w:r>
    <w:proofErr w:type="spellStart"/>
    <w:r w:rsidR="00A164D5" w:rsidRPr="002F77AF">
      <w:rPr>
        <w:i/>
        <w:sz w:val="18"/>
      </w:rPr>
      <w:t>Intell</w:t>
    </w:r>
    <w:proofErr w:type="spellEnd"/>
    <w:r w:rsidR="00A164D5" w:rsidRPr="002F77A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1628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1628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20105">
      <w:rPr>
        <w:sz w:val="18"/>
      </w:rPr>
      <w:t>https://doi.org/10.33321/cdi.2023.47.71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C20105">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8233" w14:textId="77777777" w:rsidR="00BB40AA" w:rsidRPr="00B91FB5" w:rsidRDefault="00BB40AA" w:rsidP="00B91FB5">
      <w:pPr>
        <w:spacing w:after="0" w:line="240" w:lineRule="auto"/>
        <w:rPr>
          <w:sz w:val="18"/>
          <w:szCs w:val="18"/>
        </w:rPr>
      </w:pPr>
      <w:r w:rsidRPr="00B91FB5">
        <w:rPr>
          <w:sz w:val="18"/>
          <w:szCs w:val="18"/>
        </w:rPr>
        <w:separator/>
      </w:r>
    </w:p>
  </w:footnote>
  <w:footnote w:type="continuationSeparator" w:id="0">
    <w:p w14:paraId="66B987C8" w14:textId="77777777" w:rsidR="00BB40AA" w:rsidRDefault="00BB40AA" w:rsidP="00E54DBA">
      <w:r>
        <w:continuationSeparator/>
      </w:r>
    </w:p>
  </w:footnote>
  <w:footnote w:type="continuationNotice" w:id="1">
    <w:p w14:paraId="2F3B76C8" w14:textId="77777777" w:rsidR="00BB40AA" w:rsidRPr="00224EFF" w:rsidRDefault="00BB40A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F302" w14:textId="5C25747F" w:rsidR="00257484" w:rsidRPr="00A153B6" w:rsidRDefault="00764E1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2662E">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81E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3AA45DAF" wp14:editId="4EAAD42C">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7F17B2"/>
    <w:multiLevelType w:val="hybridMultilevel"/>
    <w:tmpl w:val="9C526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EB281F"/>
    <w:multiLevelType w:val="multilevel"/>
    <w:tmpl w:val="BCFA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310B2"/>
    <w:multiLevelType w:val="hybridMultilevel"/>
    <w:tmpl w:val="4900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E11A01"/>
    <w:multiLevelType w:val="multilevel"/>
    <w:tmpl w:val="8A3C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8214B"/>
    <w:multiLevelType w:val="multilevel"/>
    <w:tmpl w:val="C52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E8001B"/>
    <w:multiLevelType w:val="hybridMultilevel"/>
    <w:tmpl w:val="77547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6008317">
    <w:abstractNumId w:val="1"/>
  </w:num>
  <w:num w:numId="2" w16cid:durableId="2065373455">
    <w:abstractNumId w:val="3"/>
  </w:num>
  <w:num w:numId="3" w16cid:durableId="1588688767">
    <w:abstractNumId w:val="4"/>
  </w:num>
  <w:num w:numId="4" w16cid:durableId="191770817">
    <w:abstractNumId w:val="0"/>
  </w:num>
  <w:num w:numId="5" w16cid:durableId="357044485">
    <w:abstractNumId w:val="9"/>
  </w:num>
  <w:num w:numId="6" w16cid:durableId="904872496">
    <w:abstractNumId w:val="10"/>
  </w:num>
  <w:num w:numId="7" w16cid:durableId="214203437">
    <w:abstractNumId w:val="8"/>
  </w:num>
  <w:num w:numId="8" w16cid:durableId="613054320">
    <w:abstractNumId w:val="7"/>
  </w:num>
  <w:num w:numId="9" w16cid:durableId="1444690310">
    <w:abstractNumId w:val="5"/>
  </w:num>
  <w:num w:numId="10" w16cid:durableId="518391136">
    <w:abstractNumId w:val="6"/>
  </w:num>
  <w:num w:numId="11" w16cid:durableId="1045299447">
    <w:abstractNumId w:val="2"/>
  </w:num>
  <w:num w:numId="12" w16cid:durableId="139697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81"/>
    <w:rsid w:val="00000B5B"/>
    <w:rsid w:val="00001611"/>
    <w:rsid w:val="000104A8"/>
    <w:rsid w:val="0001246E"/>
    <w:rsid w:val="000124B1"/>
    <w:rsid w:val="00016FE6"/>
    <w:rsid w:val="00031064"/>
    <w:rsid w:val="00031692"/>
    <w:rsid w:val="00032531"/>
    <w:rsid w:val="000325A0"/>
    <w:rsid w:val="000325F0"/>
    <w:rsid w:val="000471BF"/>
    <w:rsid w:val="00047B68"/>
    <w:rsid w:val="00051973"/>
    <w:rsid w:val="00052600"/>
    <w:rsid w:val="00053B36"/>
    <w:rsid w:val="000540C7"/>
    <w:rsid w:val="0005643C"/>
    <w:rsid w:val="0006264A"/>
    <w:rsid w:val="00073D77"/>
    <w:rsid w:val="00081655"/>
    <w:rsid w:val="000864E0"/>
    <w:rsid w:val="000969B3"/>
    <w:rsid w:val="000A5F42"/>
    <w:rsid w:val="000D4B4D"/>
    <w:rsid w:val="00113D58"/>
    <w:rsid w:val="00116C06"/>
    <w:rsid w:val="001200CB"/>
    <w:rsid w:val="00132C57"/>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4841"/>
    <w:rsid w:val="002A569F"/>
    <w:rsid w:val="002A7066"/>
    <w:rsid w:val="002B001E"/>
    <w:rsid w:val="002B09B7"/>
    <w:rsid w:val="002B75A9"/>
    <w:rsid w:val="002C21B0"/>
    <w:rsid w:val="002E2FB3"/>
    <w:rsid w:val="002F327B"/>
    <w:rsid w:val="002F47C6"/>
    <w:rsid w:val="002F77AF"/>
    <w:rsid w:val="00301626"/>
    <w:rsid w:val="003059EC"/>
    <w:rsid w:val="00316CCD"/>
    <w:rsid w:val="00324F7E"/>
    <w:rsid w:val="003323BC"/>
    <w:rsid w:val="00346D42"/>
    <w:rsid w:val="00346E11"/>
    <w:rsid w:val="003601C0"/>
    <w:rsid w:val="003635F5"/>
    <w:rsid w:val="00372A88"/>
    <w:rsid w:val="00381A0F"/>
    <w:rsid w:val="00391BE3"/>
    <w:rsid w:val="003A1B3A"/>
    <w:rsid w:val="003A40F5"/>
    <w:rsid w:val="003B5B8C"/>
    <w:rsid w:val="003C3802"/>
    <w:rsid w:val="003C7841"/>
    <w:rsid w:val="003D79B1"/>
    <w:rsid w:val="003E74EE"/>
    <w:rsid w:val="003F0552"/>
    <w:rsid w:val="003F3BC2"/>
    <w:rsid w:val="003F725B"/>
    <w:rsid w:val="0040011A"/>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344E"/>
    <w:rsid w:val="004C67C6"/>
    <w:rsid w:val="004D29DE"/>
    <w:rsid w:val="00506212"/>
    <w:rsid w:val="00510EAC"/>
    <w:rsid w:val="005172FB"/>
    <w:rsid w:val="00542208"/>
    <w:rsid w:val="00542A57"/>
    <w:rsid w:val="00546069"/>
    <w:rsid w:val="005460B9"/>
    <w:rsid w:val="00565974"/>
    <w:rsid w:val="005732C0"/>
    <w:rsid w:val="0057336D"/>
    <w:rsid w:val="0057489A"/>
    <w:rsid w:val="00574ACF"/>
    <w:rsid w:val="00581588"/>
    <w:rsid w:val="0058540B"/>
    <w:rsid w:val="00587C87"/>
    <w:rsid w:val="00590A8D"/>
    <w:rsid w:val="00590B80"/>
    <w:rsid w:val="005B3134"/>
    <w:rsid w:val="005B4E61"/>
    <w:rsid w:val="005B595A"/>
    <w:rsid w:val="005B66C2"/>
    <w:rsid w:val="005C66A6"/>
    <w:rsid w:val="005D2465"/>
    <w:rsid w:val="005E33DD"/>
    <w:rsid w:val="005E4229"/>
    <w:rsid w:val="005E5181"/>
    <w:rsid w:val="005E540E"/>
    <w:rsid w:val="005E55FB"/>
    <w:rsid w:val="005E77B9"/>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5BE"/>
    <w:rsid w:val="00710F86"/>
    <w:rsid w:val="007111A8"/>
    <w:rsid w:val="00723B5F"/>
    <w:rsid w:val="0072662E"/>
    <w:rsid w:val="00731BC3"/>
    <w:rsid w:val="00741192"/>
    <w:rsid w:val="00743A33"/>
    <w:rsid w:val="00746080"/>
    <w:rsid w:val="0075144A"/>
    <w:rsid w:val="00764E1B"/>
    <w:rsid w:val="00786329"/>
    <w:rsid w:val="00792C7D"/>
    <w:rsid w:val="00794A4D"/>
    <w:rsid w:val="007A5234"/>
    <w:rsid w:val="007B7854"/>
    <w:rsid w:val="007C56A1"/>
    <w:rsid w:val="007C6454"/>
    <w:rsid w:val="007C7BAD"/>
    <w:rsid w:val="007E01E0"/>
    <w:rsid w:val="007E5CA0"/>
    <w:rsid w:val="007F00A6"/>
    <w:rsid w:val="007F0B93"/>
    <w:rsid w:val="007F2ECA"/>
    <w:rsid w:val="00802960"/>
    <w:rsid w:val="00811708"/>
    <w:rsid w:val="00816281"/>
    <w:rsid w:val="00816B90"/>
    <w:rsid w:val="00817799"/>
    <w:rsid w:val="00822F5F"/>
    <w:rsid w:val="00824FD3"/>
    <w:rsid w:val="00826589"/>
    <w:rsid w:val="00834BCC"/>
    <w:rsid w:val="00850D54"/>
    <w:rsid w:val="00852E2B"/>
    <w:rsid w:val="008714B0"/>
    <w:rsid w:val="00876331"/>
    <w:rsid w:val="00880726"/>
    <w:rsid w:val="0089368F"/>
    <w:rsid w:val="008A3544"/>
    <w:rsid w:val="008B48B8"/>
    <w:rsid w:val="008B4DD2"/>
    <w:rsid w:val="008B5348"/>
    <w:rsid w:val="008B58F8"/>
    <w:rsid w:val="008B62FF"/>
    <w:rsid w:val="008C0712"/>
    <w:rsid w:val="008C4520"/>
    <w:rsid w:val="008C5F09"/>
    <w:rsid w:val="008D470F"/>
    <w:rsid w:val="008E1F8F"/>
    <w:rsid w:val="008E4768"/>
    <w:rsid w:val="008E761E"/>
    <w:rsid w:val="008F5114"/>
    <w:rsid w:val="008F77B3"/>
    <w:rsid w:val="009008F5"/>
    <w:rsid w:val="00904CC1"/>
    <w:rsid w:val="009066AF"/>
    <w:rsid w:val="00912050"/>
    <w:rsid w:val="00912E48"/>
    <w:rsid w:val="00912E68"/>
    <w:rsid w:val="0092746F"/>
    <w:rsid w:val="00935DC9"/>
    <w:rsid w:val="009446C0"/>
    <w:rsid w:val="0094662C"/>
    <w:rsid w:val="009502F5"/>
    <w:rsid w:val="00953D82"/>
    <w:rsid w:val="0096082E"/>
    <w:rsid w:val="00961347"/>
    <w:rsid w:val="00967410"/>
    <w:rsid w:val="00967D73"/>
    <w:rsid w:val="0098119A"/>
    <w:rsid w:val="00984AAF"/>
    <w:rsid w:val="00991B09"/>
    <w:rsid w:val="00993CB2"/>
    <w:rsid w:val="009A5166"/>
    <w:rsid w:val="009A76F8"/>
    <w:rsid w:val="009B2B65"/>
    <w:rsid w:val="009B2B83"/>
    <w:rsid w:val="009C013B"/>
    <w:rsid w:val="009C49F8"/>
    <w:rsid w:val="009D77CC"/>
    <w:rsid w:val="009D797A"/>
    <w:rsid w:val="009E2423"/>
    <w:rsid w:val="009E55D7"/>
    <w:rsid w:val="009F4150"/>
    <w:rsid w:val="009F5184"/>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D47BB"/>
    <w:rsid w:val="00AE0209"/>
    <w:rsid w:val="00AE3DCF"/>
    <w:rsid w:val="00AE4452"/>
    <w:rsid w:val="00AE7C38"/>
    <w:rsid w:val="00AF4B03"/>
    <w:rsid w:val="00B01F99"/>
    <w:rsid w:val="00B02B37"/>
    <w:rsid w:val="00B05276"/>
    <w:rsid w:val="00B132DB"/>
    <w:rsid w:val="00B31427"/>
    <w:rsid w:val="00B33861"/>
    <w:rsid w:val="00B40DE2"/>
    <w:rsid w:val="00B425CC"/>
    <w:rsid w:val="00B50210"/>
    <w:rsid w:val="00B50D8D"/>
    <w:rsid w:val="00B53955"/>
    <w:rsid w:val="00B53BFC"/>
    <w:rsid w:val="00B63C79"/>
    <w:rsid w:val="00B6408A"/>
    <w:rsid w:val="00B6478A"/>
    <w:rsid w:val="00B714B8"/>
    <w:rsid w:val="00B82C2C"/>
    <w:rsid w:val="00B8720B"/>
    <w:rsid w:val="00B876EF"/>
    <w:rsid w:val="00B91FB5"/>
    <w:rsid w:val="00BA4697"/>
    <w:rsid w:val="00BB40AA"/>
    <w:rsid w:val="00BB5378"/>
    <w:rsid w:val="00BC0BD3"/>
    <w:rsid w:val="00BD0107"/>
    <w:rsid w:val="00BE0C33"/>
    <w:rsid w:val="00BE262C"/>
    <w:rsid w:val="00BE4C25"/>
    <w:rsid w:val="00BE6C3D"/>
    <w:rsid w:val="00C07606"/>
    <w:rsid w:val="00C12542"/>
    <w:rsid w:val="00C130EE"/>
    <w:rsid w:val="00C20105"/>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93E10"/>
    <w:rsid w:val="00CA1AF4"/>
    <w:rsid w:val="00CA6068"/>
    <w:rsid w:val="00CA664B"/>
    <w:rsid w:val="00CB15E1"/>
    <w:rsid w:val="00CB3D46"/>
    <w:rsid w:val="00CD1A87"/>
    <w:rsid w:val="00CD35F3"/>
    <w:rsid w:val="00CD47D0"/>
    <w:rsid w:val="00CD5C93"/>
    <w:rsid w:val="00CE342B"/>
    <w:rsid w:val="00CF320C"/>
    <w:rsid w:val="00CF3A4B"/>
    <w:rsid w:val="00CF4001"/>
    <w:rsid w:val="00CF75DF"/>
    <w:rsid w:val="00D05837"/>
    <w:rsid w:val="00D12D8A"/>
    <w:rsid w:val="00D13E0C"/>
    <w:rsid w:val="00D25896"/>
    <w:rsid w:val="00D373A1"/>
    <w:rsid w:val="00D37C0F"/>
    <w:rsid w:val="00D42B05"/>
    <w:rsid w:val="00D45661"/>
    <w:rsid w:val="00D45943"/>
    <w:rsid w:val="00D47D22"/>
    <w:rsid w:val="00D51865"/>
    <w:rsid w:val="00D51D0C"/>
    <w:rsid w:val="00D74140"/>
    <w:rsid w:val="00D77F77"/>
    <w:rsid w:val="00DA3611"/>
    <w:rsid w:val="00DA6E56"/>
    <w:rsid w:val="00DA78DD"/>
    <w:rsid w:val="00DB1C65"/>
    <w:rsid w:val="00DB691A"/>
    <w:rsid w:val="00DC0B8C"/>
    <w:rsid w:val="00DC24E5"/>
    <w:rsid w:val="00DC4D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5482"/>
    <w:rsid w:val="00E84370"/>
    <w:rsid w:val="00E92237"/>
    <w:rsid w:val="00E951EF"/>
    <w:rsid w:val="00EA3D54"/>
    <w:rsid w:val="00EA56D9"/>
    <w:rsid w:val="00EA5CE3"/>
    <w:rsid w:val="00EB51C1"/>
    <w:rsid w:val="00EB5AE1"/>
    <w:rsid w:val="00EB5E0B"/>
    <w:rsid w:val="00EC2171"/>
    <w:rsid w:val="00EC6D47"/>
    <w:rsid w:val="00ED442D"/>
    <w:rsid w:val="00ED70C2"/>
    <w:rsid w:val="00EE18FF"/>
    <w:rsid w:val="00EE3E29"/>
    <w:rsid w:val="00EE489F"/>
    <w:rsid w:val="00F0647F"/>
    <w:rsid w:val="00F10CE3"/>
    <w:rsid w:val="00F12006"/>
    <w:rsid w:val="00F13443"/>
    <w:rsid w:val="00F14F3B"/>
    <w:rsid w:val="00F16362"/>
    <w:rsid w:val="00F177A6"/>
    <w:rsid w:val="00F207C7"/>
    <w:rsid w:val="00F36B6D"/>
    <w:rsid w:val="00F43FA3"/>
    <w:rsid w:val="00F55648"/>
    <w:rsid w:val="00F70046"/>
    <w:rsid w:val="00F748C2"/>
    <w:rsid w:val="00F74958"/>
    <w:rsid w:val="00F76C5C"/>
    <w:rsid w:val="00F81EF3"/>
    <w:rsid w:val="00F84496"/>
    <w:rsid w:val="00F85DCB"/>
    <w:rsid w:val="00F86F9C"/>
    <w:rsid w:val="00F90D76"/>
    <w:rsid w:val="00F97558"/>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A5E20"/>
  <w15:docId w15:val="{A36F2703-F07E-40A5-A428-611E23C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330868351">
      <w:bodyDiv w:val="1"/>
      <w:marLeft w:val="0"/>
      <w:marRight w:val="0"/>
      <w:marTop w:val="0"/>
      <w:marBottom w:val="0"/>
      <w:divBdr>
        <w:top w:val="none" w:sz="0" w:space="0" w:color="auto"/>
        <w:left w:val="none" w:sz="0" w:space="0" w:color="auto"/>
        <w:bottom w:val="none" w:sz="0" w:space="0" w:color="auto"/>
        <w:right w:val="none" w:sz="0" w:space="0" w:color="auto"/>
      </w:divBdr>
    </w:div>
    <w:div w:id="185434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29</TotalTime>
  <Pages>15</Pages>
  <Words>6126</Words>
  <Characters>37915</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Communicable Diseases Intelligence - A five-year analysis of latent tuberculosis infection in Queensland, 2016–2020</vt:lpstr>
    </vt:vector>
  </TitlesOfParts>
  <Company>Australian Government, Department of Health</Company>
  <LinksUpToDate>false</LinksUpToDate>
  <CharactersWithSpaces>43954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five-year analysis of latent tuberculosis infection in Queensland, 2016–2020</dc:title>
  <dc:subject>This article describes the features of latent tuberculosis infection testing in Queensland and estimates the range of possible annual notifications were it to be made a notifiable condition. The descriptive analysis includes latent tuberculosis testing data from public pathology providers, one private pathology provider, and one tuberculosis control unit in Queensland between 2016–2020. From the included data sources, an annual average of 1,421 positive results occurred. Using this minimum value, and estimation methods described in the paper, the extrapolated range of possible annual state wide latent tuberculosis infection notifications in Queensland is estimated to be between 2,901 and 6,995.</dc:subject>
  <dc:creator>Marguerite Dalmau; Chris Coulter; Bridget O’Connor; Jennifer Robson; Emma Field; Stephen Lambert</dc:creator>
  <cp:keywords>latent tuberculosis infection; tuberculin skin testing; interferon gamma release assay</cp:keywords>
  <dc:description>© Commonwealth of Australia CC BY-NC-ND ISSN: 2209-6051 (Online)</dc:description>
  <cp:lastModifiedBy>YOUSEFI, Kasra</cp:lastModifiedBy>
  <cp:revision>5</cp:revision>
  <cp:lastPrinted>2018-05-10T02:19:00Z</cp:lastPrinted>
  <dcterms:created xsi:type="dcterms:W3CDTF">2023-11-09T03:17:00Z</dcterms:created>
  <dcterms:modified xsi:type="dcterms:W3CDTF">2023-11-09T03:24:00Z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https://doi.org/10.33321/cdi.2023.47.71</vt:lpwstr>
  </property>
</Properties>
</file>