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688D"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5568CD">
          <w:t>2023</w:t>
        </w:r>
      </w:fldSimple>
      <w:r w:rsidRPr="00B50D8D">
        <w:t xml:space="preserve">, Volume </w:t>
      </w:r>
      <w:fldSimple w:instr=" DOCPROPERTY  Vol  \* MERGEFORMAT ">
        <w:r w:rsidR="005568CD">
          <w:t>47</w:t>
        </w:r>
      </w:fldSimple>
    </w:p>
    <w:p w14:paraId="111CB295" w14:textId="2570C19A" w:rsidR="00B50D8D" w:rsidRPr="00B50D8D" w:rsidRDefault="00091B6A" w:rsidP="00B50D8D">
      <w:pPr>
        <w:pStyle w:val="CDIfootnotes"/>
      </w:pPr>
      <w:fldSimple w:instr=" DOCPROPERTY  DOI  \* MERGEFORMAT ">
        <w:r w:rsidR="00B15346">
          <w:t>https://doi.org/10.33321/cdi.2023.47.70</w:t>
        </w:r>
      </w:fldSimple>
    </w:p>
    <w:p w14:paraId="14FBAAF0" w14:textId="6AB34902" w:rsidR="00B50D8D" w:rsidRPr="00B50D8D" w:rsidRDefault="00B50D8D" w:rsidP="00B50D8D">
      <w:pPr>
        <w:pStyle w:val="CDIfootnotes"/>
      </w:pPr>
      <w:r w:rsidRPr="00B50D8D">
        <w:t xml:space="preserve">Publication date: </w:t>
      </w:r>
      <w:fldSimple w:instr=" DOCPROPERTY  ePubDate  \* MERGEFORMAT ">
        <w:r w:rsidR="00B15346">
          <w:t>16/11/2023</w:t>
        </w:r>
      </w:fldSimple>
    </w:p>
    <w:p w14:paraId="15D9847E" w14:textId="48B6BAD5" w:rsidR="00B50D8D" w:rsidRPr="00B50D8D" w:rsidRDefault="00B15346" w:rsidP="00B50D8D">
      <w:pPr>
        <w:pStyle w:val="CDIfootnotes"/>
      </w:pPr>
      <w:hyperlink r:id="rId9" w:history="1">
        <w:r w:rsidR="00B50D8D" w:rsidRPr="00B50D8D">
          <w:rPr>
            <w:rStyle w:val="Hyperlink"/>
          </w:rPr>
          <w:t>http://health.gov.au/cdi</w:t>
        </w:r>
      </w:hyperlink>
      <w:r w:rsidR="00B50D8D" w:rsidRPr="00B50D8D">
        <w:t xml:space="preserve"> </w:t>
      </w:r>
    </w:p>
    <w:p w14:paraId="276E9E47" w14:textId="77777777" w:rsidR="00037054" w:rsidRPr="00AC6BC2" w:rsidRDefault="00037054" w:rsidP="00AC6BC2">
      <w:pPr>
        <w:pStyle w:val="Title"/>
        <w:divId w:val="568465116"/>
      </w:pPr>
      <w:r w:rsidRPr="00AC6BC2">
        <w:t xml:space="preserve">A cluster of leptospirosis cases associated with crocodile workers in the Northern Territory, Australia, 2022 </w:t>
      </w:r>
    </w:p>
    <w:p w14:paraId="59BAD35F" w14:textId="02EDE7BD" w:rsidR="00037054" w:rsidRDefault="00037054" w:rsidP="00037054">
      <w:pPr>
        <w:divId w:val="568465116"/>
      </w:pPr>
      <w:r>
        <w:t>Astrid M Stark, Michael Nohrenberg, Anthony DK Draper, Kimberley E McMahon, Thalia A Hewitt, Kelly Lomas, Vicki</w:t>
      </w:r>
      <w:r w:rsidR="00845A42">
        <w:t> </w:t>
      </w:r>
      <w:r>
        <w:t>L</w:t>
      </w:r>
      <w:r w:rsidR="00845A42">
        <w:t> </w:t>
      </w:r>
      <w:r>
        <w:t xml:space="preserve">Krause </w:t>
      </w:r>
    </w:p>
    <w:p w14:paraId="6F4BCB96" w14:textId="77777777" w:rsidR="00037054" w:rsidRPr="003F5899" w:rsidRDefault="00037054" w:rsidP="003F5899">
      <w:pPr>
        <w:pStyle w:val="Heading1"/>
        <w:divId w:val="568465116"/>
      </w:pPr>
      <w:r w:rsidRPr="003F5899">
        <w:t xml:space="preserve">Abstract </w:t>
      </w:r>
    </w:p>
    <w:p w14:paraId="49CE1ECC" w14:textId="77777777" w:rsidR="00037054" w:rsidRDefault="00037054" w:rsidP="003F5899">
      <w:pPr>
        <w:divId w:val="568465116"/>
      </w:pPr>
      <w:r>
        <w:t xml:space="preserve">Leptospirosis is a worldwide zoonotic waterborne disease endemic in tropical and subtropical climates. Outbreaks have been </w:t>
      </w:r>
      <w:proofErr w:type="gramStart"/>
      <w:r>
        <w:t>observed</w:t>
      </w:r>
      <w:proofErr w:type="gramEnd"/>
      <w:r>
        <w:t xml:space="preserve"> in the Northern Territory (NT) of Australia. We briefly described the epidemiology of leptospirosis in the NT between 2012 and 2022, and undertook an investigation of a cluster of three leptospirosis cases </w:t>
      </w:r>
      <w:proofErr w:type="gramStart"/>
      <w:r>
        <w:t>observed</w:t>
      </w:r>
      <w:proofErr w:type="gramEnd"/>
      <w:r>
        <w:t xml:space="preserve"> in crocodile workers between January and December 2022 in the Top End of the NT. A descriptive case series was conducted to investigate the cluster; all three cases were male and non-Aboriginal with a median age of 46.5 years; none took chemoprophylaxis; only one of the three cases reported wearing </w:t>
      </w:r>
      <w:proofErr w:type="gramStart"/>
      <w:r>
        <w:t>appropriate protective</w:t>
      </w:r>
      <w:proofErr w:type="gramEnd"/>
      <w:r>
        <w:t xml:space="preserve"> attire; all reported receiving limited to no education about personal protective measures from their associated workplaces. Higher than average rainfall in both February and December 2022 </w:t>
      </w:r>
      <w:proofErr w:type="gramStart"/>
      <w:r>
        <w:t>likely contributed</w:t>
      </w:r>
      <w:proofErr w:type="gramEnd"/>
      <w:r>
        <w:t xml:space="preserve"> to the increased risk of infection in those months. Changing climate patterns are likely to result in more frequent periods of heavy rain, and risk of contracting leptospirosis in the NT may increase, particularly for those who work in wet and muddy conditions. Promoting the use of protective workplace clothing and equipment, the use of waterproof dressings for skin abrasions, regular hand hygiene, and the consideration of chemoprophylaxis in certain circumstances may prevent future cases. </w:t>
      </w:r>
    </w:p>
    <w:p w14:paraId="038041C5" w14:textId="77777777" w:rsidR="00037054" w:rsidRDefault="00037054" w:rsidP="003F5899">
      <w:pPr>
        <w:divId w:val="568465116"/>
      </w:pPr>
      <w:r>
        <w:t xml:space="preserve">Keywords: leptospirosis; </w:t>
      </w:r>
      <w:r w:rsidRPr="003F5899">
        <w:rPr>
          <w:rStyle w:val="Emphasis"/>
          <w:b w:val="0"/>
          <w:bCs w:val="0"/>
        </w:rPr>
        <w:t>Leptospira</w:t>
      </w:r>
      <w:r>
        <w:t xml:space="preserve">; crocodiles; rats; Northern Territory; rainfall; climate change </w:t>
      </w:r>
    </w:p>
    <w:p w14:paraId="6A67C4E2" w14:textId="77777777" w:rsidR="00037054" w:rsidRPr="003F5899" w:rsidRDefault="00037054" w:rsidP="003F5899">
      <w:pPr>
        <w:pStyle w:val="Heading1"/>
        <w:divId w:val="568465116"/>
      </w:pPr>
      <w:r w:rsidRPr="003F5899">
        <w:t xml:space="preserve">Background </w:t>
      </w:r>
    </w:p>
    <w:p w14:paraId="29F8F349" w14:textId="77777777" w:rsidR="00037054" w:rsidRDefault="00037054" w:rsidP="003F5899">
      <w:pPr>
        <w:divId w:val="568465116"/>
      </w:pPr>
      <w:r>
        <w:t xml:space="preserve">Leptospirosis is a zoonotic disease of global significance and </w:t>
      </w:r>
      <w:proofErr w:type="gramStart"/>
      <w:r>
        <w:t>is considered</w:t>
      </w:r>
      <w:proofErr w:type="gramEnd"/>
      <w:r>
        <w:t xml:space="preserve"> endemic in the Top End of the Northern Territory (NT). Previously known as ‘rice field jaundice’ and ‘mud fever’,</w:t>
      </w:r>
      <w:proofErr w:type="gramStart"/>
      <w:r>
        <w:rPr>
          <w:vertAlign w:val="superscript"/>
        </w:rPr>
        <w:t>1</w:t>
      </w:r>
      <w:proofErr w:type="gramEnd"/>
      <w:r>
        <w:t xml:space="preserve"> due to transmission from contaminated water in muddy or swampy environments, leptospirosis is endemic in tropical and subtropical climates. Extreme weather, heavy rainfall, flooding, human migration and urbanisation are predicted to contribute to an increase in cases in coming years.</w:t>
      </w:r>
      <w:r>
        <w:rPr>
          <w:vertAlign w:val="superscript"/>
        </w:rPr>
        <w:t>2,3,</w:t>
      </w:r>
      <w:proofErr w:type="gramStart"/>
      <w:r>
        <w:rPr>
          <w:vertAlign w:val="superscript"/>
        </w:rPr>
        <w:t>4</w:t>
      </w:r>
      <w:proofErr w:type="gramEnd"/>
      <w:r>
        <w:t xml:space="preserve"> </w:t>
      </w:r>
    </w:p>
    <w:p w14:paraId="4E9A018C" w14:textId="77777777" w:rsidR="00037054" w:rsidRDefault="00037054" w:rsidP="003F5899">
      <w:pPr>
        <w:divId w:val="568465116"/>
      </w:pPr>
      <w:r>
        <w:t xml:space="preserve">Transmission is via direct contact with the spiral-shaped </w:t>
      </w:r>
      <w:r w:rsidRPr="003F5899">
        <w:rPr>
          <w:rStyle w:val="Emphasis"/>
          <w:b w:val="0"/>
          <w:bCs w:val="0"/>
        </w:rPr>
        <w:t>Leptospira</w:t>
      </w:r>
      <w:r>
        <w:t xml:space="preserve"> bacteria (spirochetes) from an infected animal or indirectly through contact with water, wet soil or vegetation that is contaminated with an infected animal’s urine.</w:t>
      </w:r>
      <w:r>
        <w:rPr>
          <w:vertAlign w:val="superscript"/>
        </w:rPr>
        <w:t>5,6</w:t>
      </w:r>
      <w:r>
        <w:t xml:space="preserve"> The bacteria can enter via the skin (especially where there are cuts and abrasions), or via mucous membranes such as the conjunctiva, oral or genital surfaces. Leptospirosis has a typical incubation period of around 5–14 days, with a range of 2–30 days.</w:t>
      </w:r>
      <w:r>
        <w:rPr>
          <w:vertAlign w:val="superscript"/>
        </w:rPr>
        <w:t xml:space="preserve">6 </w:t>
      </w:r>
    </w:p>
    <w:p w14:paraId="053A4363" w14:textId="77777777" w:rsidR="00037054" w:rsidRDefault="00037054" w:rsidP="003F5899">
      <w:pPr>
        <w:divId w:val="568465116"/>
      </w:pPr>
      <w:r w:rsidRPr="003F5899">
        <w:rPr>
          <w:rStyle w:val="Emphasis"/>
          <w:b w:val="0"/>
          <w:bCs w:val="0"/>
        </w:rPr>
        <w:t xml:space="preserve">Leptospira </w:t>
      </w:r>
      <w:r>
        <w:t xml:space="preserve">spirochetes </w:t>
      </w:r>
      <w:proofErr w:type="gramStart"/>
      <w:r>
        <w:t>are found</w:t>
      </w:r>
      <w:proofErr w:type="gramEnd"/>
      <w:r>
        <w:t xml:space="preserve"> in various domestic and wild animals, including common water rats, feral rodent species, pigs, cattle, dogs, flying foxes and possums.</w:t>
      </w:r>
      <w:r>
        <w:rPr>
          <w:vertAlign w:val="superscript"/>
        </w:rPr>
        <w:t>6,7</w:t>
      </w:r>
      <w:r>
        <w:t xml:space="preserve"> Rats are considered the primary source of infection worldwide.</w:t>
      </w:r>
      <w:r>
        <w:rPr>
          <w:vertAlign w:val="superscript"/>
        </w:rPr>
        <w:t>1,5</w:t>
      </w:r>
      <w:r>
        <w:t xml:space="preserve"> In Australia, </w:t>
      </w:r>
      <w:r w:rsidRPr="003F5899">
        <w:rPr>
          <w:rStyle w:val="Emphasis"/>
          <w:b w:val="0"/>
          <w:bCs w:val="0"/>
        </w:rPr>
        <w:t xml:space="preserve">Leptospira </w:t>
      </w:r>
      <w:proofErr w:type="spellStart"/>
      <w:r w:rsidRPr="003F5899">
        <w:rPr>
          <w:rStyle w:val="Emphasis"/>
          <w:b w:val="0"/>
          <w:bCs w:val="0"/>
        </w:rPr>
        <w:t>interrogans</w:t>
      </w:r>
      <w:proofErr w:type="spellEnd"/>
      <w:r>
        <w:t xml:space="preserve"> serovar Australis is associated with rats and bandicoots.</w:t>
      </w:r>
      <w:r>
        <w:rPr>
          <w:vertAlign w:val="superscript"/>
        </w:rPr>
        <w:t>7</w:t>
      </w:r>
      <w:r>
        <w:t xml:space="preserve"> </w:t>
      </w:r>
    </w:p>
    <w:p w14:paraId="2737D32E" w14:textId="77777777" w:rsidR="00037054" w:rsidRDefault="00037054" w:rsidP="003F5899">
      <w:pPr>
        <w:divId w:val="568465116"/>
      </w:pPr>
      <w:r>
        <w:lastRenderedPageBreak/>
        <w:t xml:space="preserve">Heavy rains wash </w:t>
      </w:r>
      <w:r w:rsidRPr="003F5899">
        <w:rPr>
          <w:rStyle w:val="Emphasis"/>
          <w:b w:val="0"/>
          <w:bCs w:val="0"/>
        </w:rPr>
        <w:t>Leptospira</w:t>
      </w:r>
      <w:r>
        <w:t xml:space="preserve"> from urine contaminated soil; the bacteria settle in adjacent water bodies.</w:t>
      </w:r>
      <w:r>
        <w:rPr>
          <w:vertAlign w:val="superscript"/>
        </w:rPr>
        <w:t>1</w:t>
      </w:r>
      <w:r>
        <w:t xml:space="preserve"> Flooding and heavy rainfall, occurring during the hot and humid wet season in the Top End of the NT (September to April), creates </w:t>
      </w:r>
      <w:proofErr w:type="gramStart"/>
      <w:r>
        <w:t>optimal</w:t>
      </w:r>
      <w:proofErr w:type="gramEnd"/>
      <w:r>
        <w:t xml:space="preserve"> environmental conditions for the survival and growth of </w:t>
      </w:r>
      <w:r w:rsidRPr="003F5899">
        <w:rPr>
          <w:rStyle w:val="Emphasis"/>
          <w:b w:val="0"/>
          <w:bCs w:val="0"/>
        </w:rPr>
        <w:t>Leptospira</w:t>
      </w:r>
      <w:r>
        <w:t xml:space="preserve"> in water and soil.</w:t>
      </w:r>
      <w:r>
        <w:rPr>
          <w:vertAlign w:val="superscript"/>
        </w:rPr>
        <w:t>2</w:t>
      </w:r>
      <w:r>
        <w:t xml:space="preserve"> </w:t>
      </w:r>
    </w:p>
    <w:p w14:paraId="23AD579E" w14:textId="77777777" w:rsidR="00037054" w:rsidRDefault="00037054" w:rsidP="003F5899">
      <w:pPr>
        <w:divId w:val="568465116"/>
      </w:pPr>
      <w:r>
        <w:t>Large leptospirosis outbreaks following excessive rainfall events led to the recognition of leptospirosis as an emerging infectious disease in the mid-1990s.</w:t>
      </w:r>
      <w:r>
        <w:rPr>
          <w:vertAlign w:val="superscript"/>
        </w:rPr>
        <w:t>5</w:t>
      </w:r>
      <w:r>
        <w:t xml:space="preserve"> The disease is now of public health importance due to the increasing frequency and severity of outbreaks in various settings, the changing epidemiology, and the expanding collection of serovars; there are now over 250 known serovars.</w:t>
      </w:r>
      <w:r>
        <w:rPr>
          <w:vertAlign w:val="superscript"/>
        </w:rPr>
        <w:t>2,8</w:t>
      </w:r>
      <w:r>
        <w:t xml:space="preserve"> </w:t>
      </w:r>
    </w:p>
    <w:p w14:paraId="4C06FBF3" w14:textId="77777777" w:rsidR="00037054" w:rsidRDefault="00037054" w:rsidP="003F5899">
      <w:pPr>
        <w:divId w:val="568465116"/>
      </w:pPr>
      <w:r>
        <w:t>Leptospirosis typically presents as a non-specific sudden febrile illness accompanied by fevers, chills, severe myalgia in the lower limbs, lower back pain, conjunctival suffusion, and headache.</w:t>
      </w:r>
      <w:r>
        <w:rPr>
          <w:vertAlign w:val="superscript"/>
        </w:rPr>
        <w:t>1,5,6</w:t>
      </w:r>
      <w:r>
        <w:t xml:space="preserve"> While often self-limiting, 5–10% of cases progress to severe illness with hepatic, cardiac, pulmonary and neurological involvement.</w:t>
      </w:r>
      <w:r>
        <w:rPr>
          <w:vertAlign w:val="superscript"/>
        </w:rPr>
        <w:t>6</w:t>
      </w:r>
      <w:r>
        <w:t xml:space="preserve"> Severe pulmonary involvement is associated with an increased risk of death, especially when antimicrobial therapy is delayed.</w:t>
      </w:r>
      <w:r>
        <w:rPr>
          <w:vertAlign w:val="superscript"/>
        </w:rPr>
        <w:t>1,6</w:t>
      </w:r>
      <w:r>
        <w:t xml:space="preserve"> </w:t>
      </w:r>
    </w:p>
    <w:p w14:paraId="42FC71EB" w14:textId="77777777" w:rsidR="00037054" w:rsidRDefault="00037054" w:rsidP="003F5899">
      <w:pPr>
        <w:divId w:val="568465116"/>
      </w:pPr>
      <w:r>
        <w:t>Those most at risk of infection include individuals who have close contact with animals that are known carriers, or individuals who are exposed to water, muddy environments, soil or vegetation that may be contaminated with urine from an infected animal.</w:t>
      </w:r>
      <w:r>
        <w:rPr>
          <w:vertAlign w:val="superscript"/>
        </w:rPr>
        <w:t>6</w:t>
      </w:r>
      <w:r>
        <w:t xml:space="preserve"> Several occupations are at higher risk, such as veterinarians, abattoir workers, farm workers, hunters (including crocodile egg collectors)</w:t>
      </w:r>
      <w:r>
        <w:rPr>
          <w:vertAlign w:val="superscript"/>
        </w:rPr>
        <w:t>9,10</w:t>
      </w:r>
      <w:r>
        <w:t xml:space="preserve"> and trappers, animal shelter workers, and those handling animals in laboratories or in fieldwork.</w:t>
      </w:r>
      <w:r>
        <w:rPr>
          <w:vertAlign w:val="superscript"/>
        </w:rPr>
        <w:t>1,5,6</w:t>
      </w:r>
      <w:r>
        <w:t xml:space="preserve"> Those who participate in water sports and other recreational activities in fresh water are also at higher risk.</w:t>
      </w:r>
      <w:r>
        <w:rPr>
          <w:vertAlign w:val="superscript"/>
        </w:rPr>
        <w:t xml:space="preserve">1,6 </w:t>
      </w:r>
    </w:p>
    <w:p w14:paraId="69AB19A3" w14:textId="77777777" w:rsidR="00037054" w:rsidRDefault="00037054" w:rsidP="003F5899">
      <w:pPr>
        <w:divId w:val="568465116"/>
      </w:pPr>
      <w:r>
        <w:t>Leptospirosis is a notifiable disease in the NT, and the NT Centre for Disease Control (CDC) investigates all cases to collect exposure information and to detect potential outbreaks. An outbreak occurred in 2021 amongst cattle workers,</w:t>
      </w:r>
      <w:proofErr w:type="gramStart"/>
      <w:r>
        <w:rPr>
          <w:vertAlign w:val="superscript"/>
        </w:rPr>
        <w:t>11</w:t>
      </w:r>
      <w:proofErr w:type="gramEnd"/>
      <w:r>
        <w:t xml:space="preserve"> following higher than usual rainfall. Between January and December 2022, a cluster of cases of leptospirosis in crocodile workers </w:t>
      </w:r>
      <w:proofErr w:type="gramStart"/>
      <w:r>
        <w:t>was detected</w:t>
      </w:r>
      <w:proofErr w:type="gramEnd"/>
      <w:r>
        <w:t xml:space="preserve"> in the greater Darwin region. We describe the investigation of this cluster as well as briefly describe the epidemiology of leptospirosis in the NT between 2012 and 2022. </w:t>
      </w:r>
    </w:p>
    <w:p w14:paraId="6403772D" w14:textId="77777777" w:rsidR="00037054" w:rsidRPr="003F5899" w:rsidRDefault="00037054" w:rsidP="003F5899">
      <w:pPr>
        <w:pStyle w:val="Heading1"/>
        <w:divId w:val="568465116"/>
      </w:pPr>
      <w:r w:rsidRPr="003F5899">
        <w:t xml:space="preserve">Methods </w:t>
      </w:r>
    </w:p>
    <w:p w14:paraId="73FFE7F0" w14:textId="77777777" w:rsidR="00037054" w:rsidRPr="003F5899" w:rsidRDefault="00037054" w:rsidP="003F5899">
      <w:pPr>
        <w:pStyle w:val="Heading2"/>
        <w:divId w:val="568465116"/>
      </w:pPr>
      <w:r w:rsidRPr="003F5899">
        <w:t xml:space="preserve">Descriptive epidemiology of leptospirosis in the NT, 2012–2022 </w:t>
      </w:r>
    </w:p>
    <w:p w14:paraId="3B71E649" w14:textId="77777777" w:rsidR="00037054" w:rsidRDefault="00037054" w:rsidP="003F5899">
      <w:pPr>
        <w:divId w:val="568465116"/>
      </w:pPr>
      <w:r>
        <w:t xml:space="preserve">We briefly described the epidemiology of all cases of leptospirosis notified to the Northern Territory Notifiable Disease System (NTNDS) between 1 January 2012 and 31 December 2022. Electronic medical records and hard copy case investigation forms </w:t>
      </w:r>
      <w:proofErr w:type="gramStart"/>
      <w:r>
        <w:t>were reviewed</w:t>
      </w:r>
      <w:proofErr w:type="gramEnd"/>
      <w:r>
        <w:t xml:space="preserve"> to cross-reference notifiable disease data. We undertook descriptive analysis of cases by the </w:t>
      </w:r>
      <w:proofErr w:type="gramStart"/>
      <w:r>
        <w:t>most likely location</w:t>
      </w:r>
      <w:proofErr w:type="gramEnd"/>
      <w:r>
        <w:t xml:space="preserve"> of acquisition, and by the time of onset during each year: the ‘wet’ season (September–April) or the ‘dry’ season (May–August). We used Microsoft Excel to undertake descriptive analysis and produce graphs. </w:t>
      </w:r>
    </w:p>
    <w:p w14:paraId="1B9C615A" w14:textId="77777777" w:rsidR="00037054" w:rsidRPr="003F5899" w:rsidRDefault="00037054" w:rsidP="003F5899">
      <w:pPr>
        <w:pStyle w:val="Heading2"/>
        <w:divId w:val="568465116"/>
      </w:pPr>
      <w:r w:rsidRPr="003F5899">
        <w:t xml:space="preserve">Epidemiological cluster investigation </w:t>
      </w:r>
    </w:p>
    <w:p w14:paraId="594F8393" w14:textId="77777777" w:rsidR="00037054" w:rsidRDefault="00037054" w:rsidP="003F5899">
      <w:pPr>
        <w:divId w:val="568465116"/>
      </w:pPr>
      <w:r>
        <w:t>A confirmed cluster case was defined as any person notified with leptospirosis in the NT (as per national case definition – Appendix A)</w:t>
      </w:r>
      <w:proofErr w:type="gramStart"/>
      <w:r>
        <w:rPr>
          <w:vertAlign w:val="superscript"/>
        </w:rPr>
        <w:t>12</w:t>
      </w:r>
      <w:proofErr w:type="gramEnd"/>
      <w:r>
        <w:t xml:space="preserve"> with onset between 1 January 2022 and 31 December 2022 who was involved in crocodile related work. For each case we undertook routine surveillance activities and administered a standardised questionnaire,</w:t>
      </w:r>
      <w:r>
        <w:rPr>
          <w:vertAlign w:val="superscript"/>
        </w:rPr>
        <w:t xml:space="preserve">13 </w:t>
      </w:r>
      <w:r>
        <w:t xml:space="preserve">by telephone, </w:t>
      </w:r>
      <w:proofErr w:type="gramStart"/>
      <w:r>
        <w:t>that</w:t>
      </w:r>
      <w:proofErr w:type="gramEnd"/>
      <w:r>
        <w:t xml:space="preserve"> collected information including demographics, symptoms, risk factors, co-workers or known others with similar symptoms and the most likely location where the infection was acquired. The </w:t>
      </w:r>
      <w:proofErr w:type="gramStart"/>
      <w:r>
        <w:t>most likely location</w:t>
      </w:r>
      <w:proofErr w:type="gramEnd"/>
      <w:r>
        <w:t xml:space="preserve"> of infection was derived after consideration of the exposure period based on onset dates and responses to the standardised questionnaire.</w:t>
      </w:r>
      <w:r>
        <w:rPr>
          <w:vertAlign w:val="superscript"/>
        </w:rPr>
        <w:t>13</w:t>
      </w:r>
      <w:r>
        <w:t xml:space="preserve"> This included occupational contact including workplace location, recreational exposure and animal exposure risk factors. This information </w:t>
      </w:r>
      <w:proofErr w:type="gramStart"/>
      <w:r>
        <w:t>was coupled</w:t>
      </w:r>
      <w:proofErr w:type="gramEnd"/>
      <w:r>
        <w:t xml:space="preserve"> with the significant rainfall </w:t>
      </w:r>
      <w:r>
        <w:lastRenderedPageBreak/>
        <w:t xml:space="preserve">events associated with higher leptospirosis risk during the twelve-month period. Information </w:t>
      </w:r>
      <w:proofErr w:type="gramStart"/>
      <w:r>
        <w:t>was stored</w:t>
      </w:r>
      <w:proofErr w:type="gramEnd"/>
      <w:r>
        <w:t xml:space="preserve"> on a secure Research Electronic Data Capture (</w:t>
      </w:r>
      <w:proofErr w:type="spellStart"/>
      <w:r>
        <w:t>REDCap</w:t>
      </w:r>
      <w:proofErr w:type="spellEnd"/>
      <w:r>
        <w:t xml:space="preserve">) online database platform. </w:t>
      </w:r>
    </w:p>
    <w:p w14:paraId="5A777BFD" w14:textId="77777777" w:rsidR="00037054" w:rsidRPr="003F5899" w:rsidRDefault="00037054" w:rsidP="003F5899">
      <w:pPr>
        <w:pStyle w:val="Heading2"/>
        <w:divId w:val="568465116"/>
      </w:pPr>
      <w:r w:rsidRPr="003F5899">
        <w:t xml:space="preserve">Laboratory investigation </w:t>
      </w:r>
    </w:p>
    <w:p w14:paraId="34DC6DBB" w14:textId="77777777" w:rsidR="00037054" w:rsidRDefault="00037054" w:rsidP="00EC4603">
      <w:pPr>
        <w:divId w:val="568465116"/>
      </w:pPr>
      <w:r>
        <w:t xml:space="preserve">Notified cases had serum collected for polymerase chain reaction (PCR) testing or for serological testing, dependent on the type of sample requested by the treating clinician. Serological testing measuring immunoglobulin M (IgM) using microscopic agglutination test (MAT), for serovar identification, </w:t>
      </w:r>
      <w:proofErr w:type="gramStart"/>
      <w:r>
        <w:t>was performed</w:t>
      </w:r>
      <w:proofErr w:type="gramEnd"/>
      <w:r>
        <w:t xml:space="preserve"> on acute phase serum as well as repeat serum collected at least two weeks later. Serovars </w:t>
      </w:r>
      <w:proofErr w:type="gramStart"/>
      <w:r>
        <w:t>tested</w:t>
      </w:r>
      <w:proofErr w:type="gramEnd"/>
      <w:r>
        <w:t xml:space="preserve"> were Arborea, Australis, </w:t>
      </w:r>
      <w:proofErr w:type="spellStart"/>
      <w:r>
        <w:t>Bataviae</w:t>
      </w:r>
      <w:proofErr w:type="spellEnd"/>
      <w:r>
        <w:t xml:space="preserve">, </w:t>
      </w:r>
      <w:proofErr w:type="spellStart"/>
      <w:r>
        <w:t>Bulgarica</w:t>
      </w:r>
      <w:proofErr w:type="spellEnd"/>
      <w:r>
        <w:t xml:space="preserve">, </w:t>
      </w:r>
      <w:proofErr w:type="spellStart"/>
      <w:r>
        <w:t>Canicola</w:t>
      </w:r>
      <w:proofErr w:type="spellEnd"/>
      <w:r>
        <w:t xml:space="preserve">, </w:t>
      </w:r>
      <w:proofErr w:type="spellStart"/>
      <w:r>
        <w:t>Celledoni</w:t>
      </w:r>
      <w:proofErr w:type="spellEnd"/>
      <w:r>
        <w:t xml:space="preserve">, </w:t>
      </w:r>
      <w:proofErr w:type="spellStart"/>
      <w:r>
        <w:t>Copenhageni</w:t>
      </w:r>
      <w:proofErr w:type="spellEnd"/>
      <w:r>
        <w:t xml:space="preserve">, </w:t>
      </w:r>
      <w:proofErr w:type="spellStart"/>
      <w:r>
        <w:t>Cynopteri</w:t>
      </w:r>
      <w:proofErr w:type="spellEnd"/>
      <w:r>
        <w:t xml:space="preserve">, </w:t>
      </w:r>
      <w:proofErr w:type="spellStart"/>
      <w:r>
        <w:t>Djasiman</w:t>
      </w:r>
      <w:proofErr w:type="spellEnd"/>
      <w:r>
        <w:t xml:space="preserve">, </w:t>
      </w:r>
      <w:proofErr w:type="spellStart"/>
      <w:r>
        <w:t>Grippotyphosa</w:t>
      </w:r>
      <w:proofErr w:type="spellEnd"/>
      <w:r>
        <w:t xml:space="preserve">, </w:t>
      </w:r>
      <w:proofErr w:type="spellStart"/>
      <w:r>
        <w:t>Hardjo</w:t>
      </w:r>
      <w:proofErr w:type="spellEnd"/>
      <w:r>
        <w:t xml:space="preserve">, </w:t>
      </w:r>
      <w:proofErr w:type="spellStart"/>
      <w:r>
        <w:t>Javanica</w:t>
      </w:r>
      <w:proofErr w:type="spellEnd"/>
      <w:r>
        <w:t xml:space="preserve">, </w:t>
      </w:r>
      <w:proofErr w:type="spellStart"/>
      <w:r>
        <w:t>Kremastos</w:t>
      </w:r>
      <w:proofErr w:type="spellEnd"/>
      <w:r>
        <w:t xml:space="preserve">, </w:t>
      </w:r>
      <w:proofErr w:type="spellStart"/>
      <w:r>
        <w:t>Mendanensis</w:t>
      </w:r>
      <w:proofErr w:type="spellEnd"/>
      <w:r>
        <w:t xml:space="preserve">, Panama, Pomona, </w:t>
      </w:r>
      <w:proofErr w:type="spellStart"/>
      <w:r>
        <w:t>Robinsoni</w:t>
      </w:r>
      <w:proofErr w:type="spellEnd"/>
      <w:r>
        <w:t xml:space="preserve">, </w:t>
      </w:r>
      <w:proofErr w:type="spellStart"/>
      <w:r>
        <w:t>Shermani</w:t>
      </w:r>
      <w:proofErr w:type="spellEnd"/>
      <w:r>
        <w:t xml:space="preserve">, </w:t>
      </w:r>
      <w:proofErr w:type="spellStart"/>
      <w:r>
        <w:t>Szwajizak</w:t>
      </w:r>
      <w:proofErr w:type="spellEnd"/>
      <w:r>
        <w:t xml:space="preserve">, </w:t>
      </w:r>
      <w:proofErr w:type="spellStart"/>
      <w:r>
        <w:t>Tarassovi</w:t>
      </w:r>
      <w:proofErr w:type="spellEnd"/>
      <w:r>
        <w:t xml:space="preserve">, </w:t>
      </w:r>
      <w:proofErr w:type="spellStart"/>
      <w:r>
        <w:t>Zanoni</w:t>
      </w:r>
      <w:proofErr w:type="spellEnd"/>
      <w:r>
        <w:t xml:space="preserve"> and Topaz. </w:t>
      </w:r>
    </w:p>
    <w:p w14:paraId="076A6A17" w14:textId="77777777" w:rsidR="00037054" w:rsidRPr="00EC4603" w:rsidRDefault="00037054" w:rsidP="00EC4603">
      <w:pPr>
        <w:pStyle w:val="Heading2"/>
        <w:divId w:val="568465116"/>
      </w:pPr>
      <w:r w:rsidRPr="00EC4603">
        <w:t xml:space="preserve">Environmental and meteorological investigation </w:t>
      </w:r>
    </w:p>
    <w:p w14:paraId="1874AEF4" w14:textId="77777777" w:rsidR="00037054" w:rsidRDefault="00037054" w:rsidP="00EC4603">
      <w:pPr>
        <w:divId w:val="568465116"/>
      </w:pPr>
      <w:r>
        <w:t xml:space="preserve">The geographical distribution of rodent populations in the NT </w:t>
      </w:r>
      <w:proofErr w:type="gramStart"/>
      <w:r>
        <w:t>was confirmed</w:t>
      </w:r>
      <w:proofErr w:type="gramEnd"/>
      <w:r>
        <w:t xml:space="preserve"> by literature review. Rainfall patterns of the Top End of the NT during February and December 2022 </w:t>
      </w:r>
      <w:proofErr w:type="gramStart"/>
      <w:r>
        <w:t>were reviewed</w:t>
      </w:r>
      <w:proofErr w:type="gramEnd"/>
      <w:r>
        <w:t xml:space="preserve"> using data from the Bureau of Meteorology (BoM).</w:t>
      </w:r>
      <w:r>
        <w:rPr>
          <w:vertAlign w:val="superscript"/>
        </w:rPr>
        <w:t>14,15</w:t>
      </w:r>
      <w:r>
        <w:t xml:space="preserve"> </w:t>
      </w:r>
    </w:p>
    <w:p w14:paraId="4F687BC4" w14:textId="77777777" w:rsidR="00037054" w:rsidRPr="00EC4603" w:rsidRDefault="00037054" w:rsidP="00EC4603">
      <w:pPr>
        <w:pStyle w:val="Heading1"/>
        <w:divId w:val="568465116"/>
      </w:pPr>
      <w:r w:rsidRPr="00EC4603">
        <w:t xml:space="preserve">Ethics approval </w:t>
      </w:r>
    </w:p>
    <w:p w14:paraId="7660DFB9" w14:textId="77777777" w:rsidR="00037054" w:rsidRDefault="00037054" w:rsidP="00EC4603">
      <w:pPr>
        <w:divId w:val="568465116"/>
      </w:pPr>
      <w:r>
        <w:t xml:space="preserve">This project </w:t>
      </w:r>
      <w:proofErr w:type="gramStart"/>
      <w:r>
        <w:t>was approved</w:t>
      </w:r>
      <w:proofErr w:type="gramEnd"/>
      <w:r>
        <w:t xml:space="preserve"> by the Human Research Ethics Committee of the Northern Territory Department of Health and Menzies School of Health Research [HREC 23-4593]. Written informed consent </w:t>
      </w:r>
      <w:proofErr w:type="gramStart"/>
      <w:r>
        <w:t>was obtained</w:t>
      </w:r>
      <w:proofErr w:type="gramEnd"/>
      <w:r>
        <w:t xml:space="preserve"> from all three cluster cases. </w:t>
      </w:r>
    </w:p>
    <w:p w14:paraId="7D73AE05" w14:textId="77777777" w:rsidR="00037054" w:rsidRPr="00EC4603" w:rsidRDefault="00037054" w:rsidP="00EC4603">
      <w:pPr>
        <w:pStyle w:val="Heading1"/>
        <w:divId w:val="568465116"/>
      </w:pPr>
      <w:r w:rsidRPr="00EC4603">
        <w:t xml:space="preserve">Results </w:t>
      </w:r>
    </w:p>
    <w:p w14:paraId="59E7F2B8" w14:textId="77777777" w:rsidR="00037054" w:rsidRDefault="00037054" w:rsidP="00EC4603">
      <w:pPr>
        <w:divId w:val="568465116"/>
      </w:pPr>
      <w:r>
        <w:t>During the period 2012–2022, there were 72 cases of leptospirosis notified in the NT, with an average of 6.5 cases per year (Figure 1) and with the peak number of cases occurring in 2021; this peak was associated with a large outbreak among cattle workers.</w:t>
      </w:r>
      <w:r>
        <w:rPr>
          <w:vertAlign w:val="superscript"/>
        </w:rPr>
        <w:t>11</w:t>
      </w:r>
      <w:r>
        <w:t xml:space="preserve"> The average annual incidence rate in the NT was 2.7 cases per 100,000 population per year, compared to the rest of Australia which had an average incidence rate of 0.5 cases per 100,000 population per year.</w:t>
      </w:r>
      <w:r>
        <w:rPr>
          <w:vertAlign w:val="superscript"/>
        </w:rPr>
        <w:t>16</w:t>
      </w:r>
      <w:r>
        <w:t xml:space="preserve"> </w:t>
      </w:r>
    </w:p>
    <w:p w14:paraId="32577541" w14:textId="77777777" w:rsidR="00037054" w:rsidRDefault="00037054" w:rsidP="00EC4603">
      <w:pPr>
        <w:divId w:val="568465116"/>
      </w:pPr>
      <w:r>
        <w:t xml:space="preserve">Most cases (60/72; 83%) were male; most were non-Aboriginal (67/72; 93%); and the median age was 28.5 years (range: 11–64 years) (Table 1). Fever (68/72; 94%), headache (62/72; 86%) and myalgia (53/72; 74%) were the most common symptoms. Of the 40 (56%) who were hospitalised, the median duration of stay was four days (range: 1–13 days). There were no deaths. </w:t>
      </w:r>
    </w:p>
    <w:p w14:paraId="603A147B" w14:textId="77777777" w:rsidR="00037054" w:rsidRDefault="00037054" w:rsidP="00EC4603">
      <w:pPr>
        <w:divId w:val="568465116"/>
      </w:pPr>
      <w:r w:rsidRPr="003F5899">
        <w:rPr>
          <w:rStyle w:val="Emphasis"/>
          <w:b w:val="0"/>
          <w:bCs w:val="0"/>
        </w:rPr>
        <w:t>L</w:t>
      </w:r>
      <w:r>
        <w:t xml:space="preserve">. </w:t>
      </w:r>
      <w:proofErr w:type="spellStart"/>
      <w:r>
        <w:t>Hardjo</w:t>
      </w:r>
      <w:proofErr w:type="spellEnd"/>
      <w:r>
        <w:t xml:space="preserve"> was the most common serovar (27/72; 38%), followed by Australis (13/72; 18.1%). Most cases (53/72; 73.6%) were acquired in the Darwin region; 6/72 (8.3%) cases were </w:t>
      </w:r>
      <w:proofErr w:type="gramStart"/>
      <w:r>
        <w:t>likely acquired</w:t>
      </w:r>
      <w:proofErr w:type="gramEnd"/>
      <w:r>
        <w:t xml:space="preserve"> overseas; none were acquired interstate; 43/72 (60%) cases were associated with exposure to cattle, mostly working on cattle stations. </w:t>
      </w:r>
      <w:proofErr w:type="gramStart"/>
      <w:r>
        <w:t>The majority of</w:t>
      </w:r>
      <w:proofErr w:type="gramEnd"/>
      <w:r>
        <w:t xml:space="preserve"> cases (67/72; 93.1%) were notified during the wet season. </w:t>
      </w:r>
    </w:p>
    <w:p w14:paraId="356FE3E5" w14:textId="77777777" w:rsidR="00B477CF" w:rsidRDefault="00B477CF">
      <w:pPr>
        <w:rPr>
          <w:rFonts w:asciiTheme="majorHAnsi" w:eastAsiaTheme="majorEastAsia" w:hAnsiTheme="majorHAnsi" w:cstheme="majorBidi"/>
          <w:b/>
          <w:bCs/>
          <w:sz w:val="26"/>
          <w:szCs w:val="26"/>
        </w:rPr>
      </w:pPr>
      <w:r>
        <w:br w:type="page"/>
      </w:r>
    </w:p>
    <w:p w14:paraId="208692BF" w14:textId="77777777" w:rsidR="00B477CF" w:rsidRPr="00A32B35" w:rsidRDefault="00B477CF" w:rsidP="00B477CF">
      <w:pPr>
        <w:pStyle w:val="CDIFigures"/>
        <w:divId w:val="568465116"/>
      </w:pPr>
      <w:r w:rsidRPr="00A32B35">
        <w:rPr>
          <w:rStyle w:val="Strong"/>
          <w:b/>
          <w:bCs w:val="0"/>
        </w:rPr>
        <w:lastRenderedPageBreak/>
        <w:t>Figure 1: Epidemic curve of leptospirosis cases notified in the Northern Territory, Australia (2012–2022)</w:t>
      </w:r>
    </w:p>
    <w:p w14:paraId="65B878F5" w14:textId="77777777" w:rsidR="00B477CF" w:rsidRDefault="00B477CF" w:rsidP="00B477CF">
      <w:pPr>
        <w:divId w:val="568465116"/>
        <w:rPr>
          <w:rFonts w:eastAsia="Times New Roman"/>
          <w:lang w:val="en-GB"/>
        </w:rPr>
      </w:pPr>
      <w:r>
        <w:rPr>
          <w:rFonts w:eastAsia="Times New Roman"/>
          <w:noProof/>
          <w:lang w:val="en-GB"/>
        </w:rPr>
        <w:drawing>
          <wp:inline distT="0" distB="0" distL="0" distR="0" wp14:anchorId="71054B75" wp14:editId="732CBC64">
            <wp:extent cx="6625742" cy="4591118"/>
            <wp:effectExtent l="0" t="0" r="3810" b="0"/>
            <wp:docPr id="4" name="Picture 4" descr="Epidemic curve of leptospirosis cases notified in the Northern Territory, Australia (2012-2021).&#10;&#10;Figure 1 shows the numbers of leptospirosis cases notified in the Northern Territory between 2012 and 2022 per year. Between 2012 and 2022 there were 72 cases of leptospirosis notified in the NT, with an average of 6.5 cases per year with the peak number of 16 cases occurring in 2021 and was associated with a large outbreak amongst cattle work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demic curve of leptospirosis cases notified in the Northern Territory, Australia (2012-2021).&#10;&#10;Figure 1 shows the numbers of leptospirosis cases notified in the Northern Territory between 2012 and 2022 per year. Between 2012 and 2022 there were 72 cases of leptospirosis notified in the NT, with an average of 6.5 cases per year with the peak number of 16 cases occurring in 2021 and was associated with a large outbreak amongst cattle workers.&#10;"/>
                    <pic:cNvPicPr>
                      <a:picLocks noChangeAspect="1" noChangeArrowheads="1"/>
                    </pic:cNvPicPr>
                  </pic:nvPicPr>
                  <pic:blipFill>
                    <a:blip r:link="rId10">
                      <a:extLst>
                        <a:ext uri="{28A0092B-C50C-407E-A947-70E740481C1C}">
                          <a14:useLocalDpi xmlns:a14="http://schemas.microsoft.com/office/drawing/2010/main" val="0"/>
                        </a:ext>
                      </a:extLst>
                    </a:blip>
                    <a:stretch>
                      <a:fillRect/>
                    </a:stretch>
                  </pic:blipFill>
                  <pic:spPr bwMode="auto">
                    <a:xfrm>
                      <a:off x="0" y="0"/>
                      <a:ext cx="6633603" cy="4596565"/>
                    </a:xfrm>
                    <a:prstGeom prst="rect">
                      <a:avLst/>
                    </a:prstGeom>
                  </pic:spPr>
                </pic:pic>
              </a:graphicData>
            </a:graphic>
          </wp:inline>
        </w:drawing>
      </w:r>
    </w:p>
    <w:p w14:paraId="5D09B4E1" w14:textId="77777777" w:rsidR="00BA7FD2" w:rsidRDefault="00BA7FD2">
      <w:pPr>
        <w:rPr>
          <w:rFonts w:asciiTheme="majorHAnsi" w:eastAsiaTheme="majorEastAsia" w:hAnsiTheme="majorHAnsi" w:cstheme="majorBidi"/>
          <w:b/>
          <w:bCs/>
          <w:sz w:val="26"/>
          <w:szCs w:val="26"/>
        </w:rPr>
      </w:pPr>
      <w:r>
        <w:br w:type="page"/>
      </w:r>
    </w:p>
    <w:p w14:paraId="586CF6DA" w14:textId="77777777" w:rsidR="00BA7FD2" w:rsidRPr="00A32B35" w:rsidRDefault="00BA7FD2" w:rsidP="00BA7FD2">
      <w:pPr>
        <w:pStyle w:val="CDIFigures"/>
        <w:divId w:val="568465116"/>
      </w:pPr>
      <w:r w:rsidRPr="00A32B35">
        <w:rPr>
          <w:rStyle w:val="Strong"/>
          <w:b/>
          <w:bCs w:val="0"/>
        </w:rPr>
        <w:lastRenderedPageBreak/>
        <w:t>Table 1: Demographic and clinical characteristics of leptospirosis cases notified in the Northern Territory, Australia, 2012–2022 (n = 72)</w:t>
      </w:r>
    </w:p>
    <w:tbl>
      <w:tblPr>
        <w:tblStyle w:val="CDI-StandardTable"/>
        <w:tblW w:w="0" w:type="auto"/>
        <w:tblCellMar>
          <w:top w:w="28" w:type="dxa"/>
          <w:bottom w:w="28" w:type="dxa"/>
        </w:tblCellMar>
        <w:tblLook w:val="04A0" w:firstRow="1" w:lastRow="0" w:firstColumn="1" w:lastColumn="0" w:noHBand="0" w:noVBand="1"/>
        <w:tblDescription w:val="Table 1. Table 1. Demographic and clinical characteristics of leptospirosis cases notified in the Northern Territory, Australia, 2012-2022 (n=72). &#10;&#10;Table 1 shows that the majority of cases were notified in the 21-30 year old age group (28/72, 38.9%); 60/72 (83.3%) were male; the majority (43/72, 59.7%) were most likely exposed through occupational exposure to cattle; the majority of cases likely acquired their infection in the Darwin region (53/72, 73.6%), and 67/72 (93.1%) of cases were infected in the west season. The most commonly reported serovar was L. Hardjo (27/72, 37.5%) followed by L. Australis (13/72. 18.1%) and L. Pomona (11/72, 15.3%); 10/72 (13.9%) of cases were of unknown/untyped serovar. "/>
      </w:tblPr>
      <w:tblGrid>
        <w:gridCol w:w="4253"/>
        <w:gridCol w:w="3402"/>
        <w:gridCol w:w="1559"/>
        <w:gridCol w:w="1226"/>
      </w:tblGrid>
      <w:tr w:rsidR="00BA7FD2" w:rsidRPr="00A32B35" w14:paraId="021727E4" w14:textId="77777777" w:rsidTr="00BA7FD2">
        <w:trPr>
          <w:cnfStyle w:val="100000000000" w:firstRow="1" w:lastRow="0" w:firstColumn="0" w:lastColumn="0" w:oddVBand="0" w:evenVBand="0" w:oddHBand="0" w:evenHBand="0" w:firstRowFirstColumn="0" w:firstRowLastColumn="0" w:lastRowFirstColumn="0" w:lastRowLastColumn="0"/>
          <w:divId w:val="568465116"/>
          <w:tblHeader/>
        </w:trPr>
        <w:tc>
          <w:tcPr>
            <w:tcW w:w="4253" w:type="dxa"/>
            <w:tcBorders>
              <w:bottom w:val="single" w:sz="4" w:space="0" w:color="808080" w:themeColor="background1" w:themeShade="80"/>
            </w:tcBorders>
            <w:hideMark/>
          </w:tcPr>
          <w:p w14:paraId="6746E9B3" w14:textId="77777777" w:rsidR="00BA7FD2" w:rsidRPr="00A32B35" w:rsidRDefault="00BA7FD2" w:rsidP="00506087">
            <w:pPr>
              <w:pStyle w:val="NormalWeb"/>
              <w:jc w:val="left"/>
              <w:rPr>
                <w:sz w:val="18"/>
                <w:szCs w:val="18"/>
              </w:rPr>
            </w:pPr>
            <w:r w:rsidRPr="00A32B35">
              <w:rPr>
                <w:sz w:val="18"/>
                <w:szCs w:val="18"/>
              </w:rPr>
              <w:t>Characteristic</w:t>
            </w:r>
          </w:p>
        </w:tc>
        <w:tc>
          <w:tcPr>
            <w:tcW w:w="3402" w:type="dxa"/>
            <w:tcBorders>
              <w:bottom w:val="single" w:sz="4" w:space="0" w:color="808080" w:themeColor="background1" w:themeShade="80"/>
            </w:tcBorders>
            <w:hideMark/>
          </w:tcPr>
          <w:p w14:paraId="2680766F" w14:textId="77777777" w:rsidR="00BA7FD2" w:rsidRPr="00A32B35" w:rsidRDefault="00BA7FD2" w:rsidP="00A95018">
            <w:pPr>
              <w:pStyle w:val="NormalWeb"/>
              <w:rPr>
                <w:sz w:val="18"/>
                <w:szCs w:val="18"/>
              </w:rPr>
            </w:pPr>
            <w:r w:rsidRPr="00A32B35">
              <w:rPr>
                <w:sz w:val="18"/>
                <w:szCs w:val="18"/>
              </w:rPr>
              <w:t>Classification</w:t>
            </w:r>
          </w:p>
        </w:tc>
        <w:tc>
          <w:tcPr>
            <w:tcW w:w="1559" w:type="dxa"/>
            <w:tcBorders>
              <w:bottom w:val="single" w:sz="4" w:space="0" w:color="808080" w:themeColor="background1" w:themeShade="80"/>
            </w:tcBorders>
            <w:hideMark/>
          </w:tcPr>
          <w:p w14:paraId="294C4436" w14:textId="77777777" w:rsidR="00BA7FD2" w:rsidRPr="00A32B35" w:rsidRDefault="00BA7FD2" w:rsidP="00506087">
            <w:pPr>
              <w:pStyle w:val="NormalWeb"/>
              <w:rPr>
                <w:sz w:val="18"/>
                <w:szCs w:val="18"/>
              </w:rPr>
            </w:pPr>
            <w:r w:rsidRPr="00A32B35">
              <w:rPr>
                <w:sz w:val="18"/>
                <w:szCs w:val="18"/>
              </w:rPr>
              <w:t>Number of cases</w:t>
            </w:r>
          </w:p>
        </w:tc>
        <w:tc>
          <w:tcPr>
            <w:tcW w:w="1226" w:type="dxa"/>
            <w:tcBorders>
              <w:bottom w:val="single" w:sz="4" w:space="0" w:color="808080" w:themeColor="background1" w:themeShade="80"/>
            </w:tcBorders>
            <w:hideMark/>
          </w:tcPr>
          <w:p w14:paraId="6DE194D2" w14:textId="77777777" w:rsidR="00BA7FD2" w:rsidRPr="00A32B35" w:rsidRDefault="00BA7FD2" w:rsidP="00506087">
            <w:pPr>
              <w:pStyle w:val="NormalWeb"/>
              <w:rPr>
                <w:sz w:val="18"/>
                <w:szCs w:val="18"/>
              </w:rPr>
            </w:pPr>
            <w:r w:rsidRPr="00A32B35">
              <w:rPr>
                <w:sz w:val="18"/>
                <w:szCs w:val="18"/>
              </w:rPr>
              <w:t>Proportion</w:t>
            </w:r>
          </w:p>
        </w:tc>
      </w:tr>
      <w:tr w:rsidR="00BA7FD2" w:rsidRPr="00A32B35" w14:paraId="71869AD0" w14:textId="77777777" w:rsidTr="00BA7FD2">
        <w:trPr>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4D620302" w14:textId="77777777" w:rsidR="00BA7FD2" w:rsidRPr="00A32B35" w:rsidRDefault="00BA7FD2" w:rsidP="00506087">
            <w:pPr>
              <w:pStyle w:val="NormalWeb"/>
              <w:jc w:val="left"/>
              <w:rPr>
                <w:sz w:val="18"/>
                <w:szCs w:val="18"/>
              </w:rPr>
            </w:pPr>
            <w:r w:rsidRPr="00A32B35">
              <w:rPr>
                <w:sz w:val="18"/>
                <w:szCs w:val="18"/>
              </w:rPr>
              <w:t>Age group in years</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41A51E0" w14:textId="77777777" w:rsidR="00BA7FD2" w:rsidRPr="00A32B35" w:rsidRDefault="00BA7FD2" w:rsidP="00A95018">
            <w:pPr>
              <w:pStyle w:val="NormalWeb"/>
              <w:rPr>
                <w:sz w:val="18"/>
                <w:szCs w:val="18"/>
              </w:rPr>
            </w:pPr>
            <w:r w:rsidRPr="00A32B35">
              <w:rPr>
                <w:sz w:val="18"/>
                <w:szCs w:val="18"/>
              </w:rPr>
              <w:t>≤ 10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0C3C94E" w14:textId="77777777" w:rsidR="00BA7FD2" w:rsidRPr="00A32B35" w:rsidRDefault="00BA7FD2" w:rsidP="00506087">
            <w:pPr>
              <w:pStyle w:val="NormalWeb"/>
              <w:rPr>
                <w:sz w:val="18"/>
                <w:szCs w:val="18"/>
              </w:rPr>
            </w:pPr>
            <w:r w:rsidRPr="00A32B35">
              <w:rPr>
                <w:sz w:val="18"/>
                <w:szCs w:val="18"/>
              </w:rPr>
              <w:t>0</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20E8164" w14:textId="77777777" w:rsidR="00BA7FD2" w:rsidRPr="00A32B35" w:rsidRDefault="00BA7FD2" w:rsidP="00506087">
            <w:pPr>
              <w:pStyle w:val="NormalWeb"/>
              <w:rPr>
                <w:sz w:val="18"/>
                <w:szCs w:val="18"/>
              </w:rPr>
            </w:pPr>
            <w:r w:rsidRPr="00A32B35">
              <w:rPr>
                <w:sz w:val="18"/>
                <w:szCs w:val="18"/>
              </w:rPr>
              <w:t>0%</w:t>
            </w:r>
          </w:p>
        </w:tc>
      </w:tr>
      <w:tr w:rsidR="00BA7FD2" w:rsidRPr="00A32B35" w14:paraId="2E56C76D"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53EE1453"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F8E8A3E" w14:textId="77777777" w:rsidR="00BA7FD2" w:rsidRPr="00A32B35" w:rsidRDefault="00BA7FD2" w:rsidP="00A95018">
            <w:pPr>
              <w:pStyle w:val="NormalWeb"/>
              <w:rPr>
                <w:sz w:val="18"/>
                <w:szCs w:val="18"/>
              </w:rPr>
            </w:pPr>
            <w:r w:rsidRPr="00A32B35">
              <w:rPr>
                <w:sz w:val="18"/>
                <w:szCs w:val="18"/>
              </w:rPr>
              <w:t>11–20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A5A6169" w14:textId="77777777" w:rsidR="00BA7FD2" w:rsidRPr="00A32B35" w:rsidRDefault="00BA7FD2" w:rsidP="00506087">
            <w:pPr>
              <w:pStyle w:val="NormalWeb"/>
              <w:rPr>
                <w:sz w:val="18"/>
                <w:szCs w:val="18"/>
              </w:rPr>
            </w:pPr>
            <w:r w:rsidRPr="00A32B35">
              <w:rPr>
                <w:sz w:val="18"/>
                <w:szCs w:val="18"/>
              </w:rPr>
              <w:t>11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857E0C6" w14:textId="77777777" w:rsidR="00BA7FD2" w:rsidRPr="00A32B35" w:rsidRDefault="00BA7FD2" w:rsidP="00506087">
            <w:pPr>
              <w:pStyle w:val="NormalWeb"/>
              <w:rPr>
                <w:sz w:val="18"/>
                <w:szCs w:val="18"/>
              </w:rPr>
            </w:pPr>
            <w:r w:rsidRPr="00A32B35">
              <w:rPr>
                <w:sz w:val="18"/>
                <w:szCs w:val="18"/>
              </w:rPr>
              <w:t>15.3%</w:t>
            </w:r>
          </w:p>
        </w:tc>
      </w:tr>
      <w:tr w:rsidR="00BA7FD2" w:rsidRPr="00A32B35" w14:paraId="3BA97F47"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522D5C9D"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3146DFD5" w14:textId="77777777" w:rsidR="00BA7FD2" w:rsidRPr="00A32B35" w:rsidRDefault="00BA7FD2" w:rsidP="00A95018">
            <w:pPr>
              <w:pStyle w:val="NormalWeb"/>
              <w:rPr>
                <w:sz w:val="18"/>
                <w:szCs w:val="18"/>
              </w:rPr>
            </w:pPr>
            <w:r w:rsidRPr="00A32B35">
              <w:rPr>
                <w:sz w:val="18"/>
                <w:szCs w:val="18"/>
              </w:rPr>
              <w:t>21–30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705BE55" w14:textId="77777777" w:rsidR="00BA7FD2" w:rsidRPr="00A32B35" w:rsidRDefault="00BA7FD2" w:rsidP="00506087">
            <w:pPr>
              <w:pStyle w:val="NormalWeb"/>
              <w:rPr>
                <w:sz w:val="18"/>
                <w:szCs w:val="18"/>
              </w:rPr>
            </w:pPr>
            <w:r w:rsidRPr="00A32B35">
              <w:rPr>
                <w:sz w:val="18"/>
                <w:szCs w:val="18"/>
              </w:rPr>
              <w:t>28</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2636F17" w14:textId="77777777" w:rsidR="00BA7FD2" w:rsidRPr="00A32B35" w:rsidRDefault="00BA7FD2" w:rsidP="00506087">
            <w:pPr>
              <w:pStyle w:val="NormalWeb"/>
              <w:rPr>
                <w:sz w:val="18"/>
                <w:szCs w:val="18"/>
              </w:rPr>
            </w:pPr>
            <w:r w:rsidRPr="00A32B35">
              <w:rPr>
                <w:sz w:val="18"/>
                <w:szCs w:val="18"/>
              </w:rPr>
              <w:t>38.9%</w:t>
            </w:r>
          </w:p>
        </w:tc>
      </w:tr>
      <w:tr w:rsidR="00BA7FD2" w:rsidRPr="00A32B35" w14:paraId="672EBA2E"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08489EE"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7AC56B7" w14:textId="77777777" w:rsidR="00BA7FD2" w:rsidRPr="00A32B35" w:rsidRDefault="00BA7FD2" w:rsidP="00A95018">
            <w:pPr>
              <w:pStyle w:val="NormalWeb"/>
              <w:rPr>
                <w:sz w:val="18"/>
                <w:szCs w:val="18"/>
              </w:rPr>
            </w:pPr>
            <w:r w:rsidRPr="00A32B35">
              <w:rPr>
                <w:sz w:val="18"/>
                <w:szCs w:val="18"/>
              </w:rPr>
              <w:t>31–40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198769A6" w14:textId="77777777" w:rsidR="00BA7FD2" w:rsidRPr="00A32B35" w:rsidRDefault="00BA7FD2" w:rsidP="00506087">
            <w:pPr>
              <w:pStyle w:val="NormalWeb"/>
              <w:rPr>
                <w:sz w:val="18"/>
                <w:szCs w:val="18"/>
              </w:rPr>
            </w:pPr>
            <w:r w:rsidRPr="00A32B35">
              <w:rPr>
                <w:sz w:val="18"/>
                <w:szCs w:val="18"/>
              </w:rPr>
              <w:t>18</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7AECBD7F" w14:textId="77777777" w:rsidR="00BA7FD2" w:rsidRPr="00A32B35" w:rsidRDefault="00BA7FD2" w:rsidP="00506087">
            <w:pPr>
              <w:pStyle w:val="NormalWeb"/>
              <w:rPr>
                <w:sz w:val="18"/>
                <w:szCs w:val="18"/>
              </w:rPr>
            </w:pPr>
            <w:r w:rsidRPr="00A32B35">
              <w:rPr>
                <w:sz w:val="18"/>
                <w:szCs w:val="18"/>
              </w:rPr>
              <w:t>25.0%</w:t>
            </w:r>
          </w:p>
        </w:tc>
      </w:tr>
      <w:tr w:rsidR="00BA7FD2" w:rsidRPr="00A32B35" w14:paraId="33B7B4E1"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6A95918"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9CBB427" w14:textId="77777777" w:rsidR="00BA7FD2" w:rsidRPr="00A32B35" w:rsidRDefault="00BA7FD2" w:rsidP="00A95018">
            <w:pPr>
              <w:pStyle w:val="NormalWeb"/>
              <w:rPr>
                <w:sz w:val="18"/>
                <w:szCs w:val="18"/>
              </w:rPr>
            </w:pPr>
            <w:r w:rsidRPr="00A32B35">
              <w:rPr>
                <w:sz w:val="18"/>
                <w:szCs w:val="18"/>
              </w:rPr>
              <w:t>41–50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6CB0C1F" w14:textId="77777777" w:rsidR="00BA7FD2" w:rsidRPr="00A32B35" w:rsidRDefault="00BA7FD2" w:rsidP="00506087">
            <w:pPr>
              <w:pStyle w:val="NormalWeb"/>
              <w:rPr>
                <w:sz w:val="18"/>
                <w:szCs w:val="18"/>
              </w:rPr>
            </w:pPr>
            <w:r w:rsidRPr="00A32B35">
              <w:rPr>
                <w:sz w:val="18"/>
                <w:szCs w:val="18"/>
              </w:rPr>
              <w:t>6</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69CAD78" w14:textId="77777777" w:rsidR="00BA7FD2" w:rsidRPr="00A32B35" w:rsidRDefault="00BA7FD2" w:rsidP="00506087">
            <w:pPr>
              <w:pStyle w:val="NormalWeb"/>
              <w:rPr>
                <w:sz w:val="18"/>
                <w:szCs w:val="18"/>
              </w:rPr>
            </w:pPr>
            <w:r w:rsidRPr="00A32B35">
              <w:rPr>
                <w:sz w:val="18"/>
                <w:szCs w:val="18"/>
              </w:rPr>
              <w:t>8.3%</w:t>
            </w:r>
          </w:p>
        </w:tc>
      </w:tr>
      <w:tr w:rsidR="00BA7FD2" w:rsidRPr="00A32B35" w14:paraId="334E6FCC"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29A2DEE0"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84D079F" w14:textId="77777777" w:rsidR="00BA7FD2" w:rsidRPr="00A32B35" w:rsidRDefault="00BA7FD2" w:rsidP="00A95018">
            <w:pPr>
              <w:pStyle w:val="NormalWeb"/>
              <w:rPr>
                <w:sz w:val="18"/>
                <w:szCs w:val="18"/>
              </w:rPr>
            </w:pPr>
            <w:r w:rsidRPr="00A32B35">
              <w:rPr>
                <w:sz w:val="18"/>
                <w:szCs w:val="18"/>
              </w:rPr>
              <w:t>51–60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6E2A4D34" w14:textId="77777777" w:rsidR="00BA7FD2" w:rsidRPr="00A32B35" w:rsidRDefault="00BA7FD2" w:rsidP="00506087">
            <w:pPr>
              <w:pStyle w:val="NormalWeb"/>
              <w:rPr>
                <w:sz w:val="18"/>
                <w:szCs w:val="18"/>
              </w:rPr>
            </w:pPr>
            <w:r w:rsidRPr="00A32B35">
              <w:rPr>
                <w:sz w:val="18"/>
                <w:szCs w:val="18"/>
              </w:rPr>
              <w:t>8</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67E0BA0D" w14:textId="77777777" w:rsidR="00BA7FD2" w:rsidRPr="00A32B35" w:rsidRDefault="00BA7FD2" w:rsidP="00506087">
            <w:pPr>
              <w:pStyle w:val="NormalWeb"/>
              <w:rPr>
                <w:sz w:val="18"/>
                <w:szCs w:val="18"/>
              </w:rPr>
            </w:pPr>
            <w:r w:rsidRPr="00A32B35">
              <w:rPr>
                <w:sz w:val="18"/>
                <w:szCs w:val="18"/>
              </w:rPr>
              <w:t>11.1%</w:t>
            </w:r>
          </w:p>
        </w:tc>
      </w:tr>
      <w:tr w:rsidR="00BA7FD2" w:rsidRPr="00A32B35" w14:paraId="4C211C8A"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6323AE3D"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AE03EC9" w14:textId="77777777" w:rsidR="00BA7FD2" w:rsidRPr="00A32B35" w:rsidRDefault="00BA7FD2" w:rsidP="00A95018">
            <w:pPr>
              <w:pStyle w:val="NormalWeb"/>
              <w:rPr>
                <w:sz w:val="18"/>
                <w:szCs w:val="18"/>
              </w:rPr>
            </w:pPr>
            <w:r w:rsidRPr="00A32B35">
              <w:rPr>
                <w:sz w:val="18"/>
                <w:szCs w:val="18"/>
              </w:rPr>
              <w:t>&gt; 60</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7D5A30D"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9DCF148" w14:textId="77777777" w:rsidR="00BA7FD2" w:rsidRPr="00A32B35" w:rsidRDefault="00BA7FD2" w:rsidP="00506087">
            <w:pPr>
              <w:pStyle w:val="NormalWeb"/>
              <w:rPr>
                <w:sz w:val="18"/>
                <w:szCs w:val="18"/>
              </w:rPr>
            </w:pPr>
            <w:r w:rsidRPr="00A32B35">
              <w:rPr>
                <w:sz w:val="18"/>
                <w:szCs w:val="18"/>
              </w:rPr>
              <w:t>1.4%</w:t>
            </w:r>
          </w:p>
        </w:tc>
      </w:tr>
      <w:tr w:rsidR="00BA7FD2" w:rsidRPr="00A32B35" w14:paraId="0F563BA0"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2D50BB9E" w14:textId="77777777" w:rsidR="00BA7FD2" w:rsidRPr="00A32B35" w:rsidRDefault="00BA7FD2" w:rsidP="00506087">
            <w:pPr>
              <w:pStyle w:val="NormalWeb"/>
              <w:jc w:val="left"/>
              <w:rPr>
                <w:sz w:val="18"/>
                <w:szCs w:val="18"/>
              </w:rPr>
            </w:pPr>
            <w:r w:rsidRPr="00A32B35">
              <w:rPr>
                <w:sz w:val="18"/>
                <w:szCs w:val="18"/>
              </w:rPr>
              <w:t>Demographics</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0D3A5BF1" w14:textId="77777777" w:rsidR="00BA7FD2" w:rsidRPr="00A32B35" w:rsidRDefault="00BA7FD2" w:rsidP="00A95018">
            <w:pPr>
              <w:pStyle w:val="NormalWeb"/>
              <w:rPr>
                <w:sz w:val="18"/>
                <w:szCs w:val="18"/>
              </w:rPr>
            </w:pPr>
            <w:r w:rsidRPr="00A32B35">
              <w:rPr>
                <w:sz w:val="18"/>
                <w:szCs w:val="18"/>
              </w:rPr>
              <w:t>Male</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12E5E13A" w14:textId="77777777" w:rsidR="00BA7FD2" w:rsidRPr="00A32B35" w:rsidRDefault="00BA7FD2" w:rsidP="00506087">
            <w:pPr>
              <w:pStyle w:val="NormalWeb"/>
              <w:rPr>
                <w:sz w:val="18"/>
                <w:szCs w:val="18"/>
              </w:rPr>
            </w:pPr>
            <w:r w:rsidRPr="00A32B35">
              <w:rPr>
                <w:sz w:val="18"/>
                <w:szCs w:val="18"/>
              </w:rPr>
              <w:t>60</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7FE3C26" w14:textId="77777777" w:rsidR="00BA7FD2" w:rsidRPr="00A32B35" w:rsidRDefault="00BA7FD2" w:rsidP="00506087">
            <w:pPr>
              <w:pStyle w:val="NormalWeb"/>
              <w:rPr>
                <w:sz w:val="18"/>
                <w:szCs w:val="18"/>
              </w:rPr>
            </w:pPr>
            <w:r w:rsidRPr="00A32B35">
              <w:rPr>
                <w:sz w:val="18"/>
                <w:szCs w:val="18"/>
              </w:rPr>
              <w:t>83.3%</w:t>
            </w:r>
          </w:p>
        </w:tc>
      </w:tr>
      <w:tr w:rsidR="00BA7FD2" w:rsidRPr="00A32B35" w14:paraId="18AEEFA5"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A3A16FA"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1907B52" w14:textId="77777777" w:rsidR="00BA7FD2" w:rsidRPr="00A32B35" w:rsidRDefault="00BA7FD2" w:rsidP="00A95018">
            <w:pPr>
              <w:pStyle w:val="NormalWeb"/>
              <w:rPr>
                <w:sz w:val="18"/>
                <w:szCs w:val="18"/>
              </w:rPr>
            </w:pPr>
            <w:r w:rsidRPr="00A32B35">
              <w:rPr>
                <w:sz w:val="18"/>
                <w:szCs w:val="18"/>
              </w:rPr>
              <w:t>Female</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ED7AE10" w14:textId="77777777" w:rsidR="00BA7FD2" w:rsidRPr="00A32B35" w:rsidRDefault="00BA7FD2" w:rsidP="00506087">
            <w:pPr>
              <w:pStyle w:val="NormalWeb"/>
              <w:rPr>
                <w:sz w:val="18"/>
                <w:szCs w:val="18"/>
              </w:rPr>
            </w:pPr>
            <w:r w:rsidRPr="00A32B35">
              <w:rPr>
                <w:sz w:val="18"/>
                <w:szCs w:val="18"/>
              </w:rPr>
              <w:t>12</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733D7B45" w14:textId="77777777" w:rsidR="00BA7FD2" w:rsidRPr="00A32B35" w:rsidRDefault="00BA7FD2" w:rsidP="00506087">
            <w:pPr>
              <w:pStyle w:val="NormalWeb"/>
              <w:rPr>
                <w:sz w:val="18"/>
                <w:szCs w:val="18"/>
              </w:rPr>
            </w:pPr>
            <w:r w:rsidRPr="00A32B35">
              <w:rPr>
                <w:sz w:val="18"/>
                <w:szCs w:val="18"/>
              </w:rPr>
              <w:t>16.7%</w:t>
            </w:r>
          </w:p>
        </w:tc>
      </w:tr>
      <w:tr w:rsidR="00BA7FD2" w:rsidRPr="00A32B35" w14:paraId="25E358A9"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A2C3DE0"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E4E5EF0" w14:textId="77777777" w:rsidR="00BA7FD2" w:rsidRPr="00A32B35" w:rsidRDefault="00BA7FD2" w:rsidP="00A95018">
            <w:pPr>
              <w:pStyle w:val="NormalWeb"/>
              <w:rPr>
                <w:sz w:val="18"/>
                <w:szCs w:val="18"/>
              </w:rPr>
            </w:pPr>
            <w:r w:rsidRPr="00A32B35">
              <w:rPr>
                <w:sz w:val="18"/>
                <w:szCs w:val="18"/>
              </w:rPr>
              <w:t>Non-Aboriginal</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7F9D0F99" w14:textId="77777777" w:rsidR="00BA7FD2" w:rsidRPr="00A32B35" w:rsidRDefault="00BA7FD2" w:rsidP="00506087">
            <w:pPr>
              <w:pStyle w:val="NormalWeb"/>
              <w:rPr>
                <w:sz w:val="18"/>
                <w:szCs w:val="18"/>
              </w:rPr>
            </w:pPr>
            <w:r w:rsidRPr="00A32B35">
              <w:rPr>
                <w:sz w:val="18"/>
                <w:szCs w:val="18"/>
              </w:rPr>
              <w:t>67</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476C6ECC" w14:textId="77777777" w:rsidR="00BA7FD2" w:rsidRPr="00A32B35" w:rsidRDefault="00BA7FD2" w:rsidP="00506087">
            <w:pPr>
              <w:pStyle w:val="NormalWeb"/>
              <w:rPr>
                <w:sz w:val="18"/>
                <w:szCs w:val="18"/>
              </w:rPr>
            </w:pPr>
            <w:r w:rsidRPr="00A32B35">
              <w:rPr>
                <w:sz w:val="18"/>
                <w:szCs w:val="18"/>
              </w:rPr>
              <w:t>93.1%</w:t>
            </w:r>
          </w:p>
        </w:tc>
      </w:tr>
      <w:tr w:rsidR="00BA7FD2" w:rsidRPr="00A32B35" w14:paraId="216DAE93"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1DCD08FD"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DDE9139" w14:textId="77777777" w:rsidR="00BA7FD2" w:rsidRPr="00A32B35" w:rsidRDefault="00BA7FD2" w:rsidP="00A95018">
            <w:pPr>
              <w:pStyle w:val="NormalWeb"/>
              <w:rPr>
                <w:sz w:val="18"/>
                <w:szCs w:val="18"/>
              </w:rPr>
            </w:pPr>
            <w:r w:rsidRPr="00A32B35">
              <w:rPr>
                <w:sz w:val="18"/>
                <w:szCs w:val="18"/>
              </w:rPr>
              <w:t>Aboriginal</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E762434"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5557B954" w14:textId="77777777" w:rsidR="00BA7FD2" w:rsidRPr="00A32B35" w:rsidRDefault="00BA7FD2" w:rsidP="00506087">
            <w:pPr>
              <w:pStyle w:val="NormalWeb"/>
              <w:rPr>
                <w:sz w:val="18"/>
                <w:szCs w:val="18"/>
              </w:rPr>
            </w:pPr>
            <w:r w:rsidRPr="00A32B35">
              <w:rPr>
                <w:sz w:val="18"/>
                <w:szCs w:val="18"/>
              </w:rPr>
              <w:t>6.9%</w:t>
            </w:r>
          </w:p>
        </w:tc>
      </w:tr>
      <w:tr w:rsidR="00BA7FD2" w:rsidRPr="00A32B35" w14:paraId="1D4903BF"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07CEF5D4" w14:textId="77777777" w:rsidR="00BA7FD2" w:rsidRPr="00A32B35" w:rsidRDefault="00BA7FD2" w:rsidP="00506087">
            <w:pPr>
              <w:pStyle w:val="NormalWeb"/>
              <w:jc w:val="left"/>
              <w:rPr>
                <w:sz w:val="18"/>
                <w:szCs w:val="18"/>
              </w:rPr>
            </w:pPr>
            <w:proofErr w:type="gramStart"/>
            <w:r w:rsidRPr="00A32B35">
              <w:rPr>
                <w:sz w:val="18"/>
                <w:szCs w:val="18"/>
              </w:rPr>
              <w:t>Most likely exposure</w:t>
            </w:r>
            <w:proofErr w:type="gramEnd"/>
            <w:r w:rsidRPr="00A32B35">
              <w:rPr>
                <w:sz w:val="18"/>
                <w:szCs w:val="18"/>
              </w:rPr>
              <w:t xml:space="preserve"> source</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9B970E0" w14:textId="77777777" w:rsidR="00BA7FD2" w:rsidRPr="00A32B35" w:rsidRDefault="00BA7FD2" w:rsidP="00A95018">
            <w:pPr>
              <w:pStyle w:val="NormalWeb"/>
              <w:rPr>
                <w:sz w:val="18"/>
                <w:szCs w:val="18"/>
              </w:rPr>
            </w:pPr>
            <w:r w:rsidRPr="00A32B35">
              <w:rPr>
                <w:sz w:val="18"/>
                <w:szCs w:val="18"/>
              </w:rPr>
              <w:t>Cattle/cattle farming</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A2C1751" w14:textId="77777777" w:rsidR="00BA7FD2" w:rsidRPr="00A32B35" w:rsidRDefault="00BA7FD2" w:rsidP="00506087">
            <w:pPr>
              <w:pStyle w:val="NormalWeb"/>
              <w:rPr>
                <w:sz w:val="18"/>
                <w:szCs w:val="18"/>
              </w:rPr>
            </w:pPr>
            <w:r w:rsidRPr="00A32B35">
              <w:rPr>
                <w:sz w:val="18"/>
                <w:szCs w:val="18"/>
              </w:rPr>
              <w:t>43</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8876561" w14:textId="77777777" w:rsidR="00BA7FD2" w:rsidRPr="00A32B35" w:rsidRDefault="00BA7FD2" w:rsidP="00506087">
            <w:pPr>
              <w:pStyle w:val="NormalWeb"/>
              <w:rPr>
                <w:sz w:val="18"/>
                <w:szCs w:val="18"/>
              </w:rPr>
            </w:pPr>
            <w:r w:rsidRPr="00A32B35">
              <w:rPr>
                <w:sz w:val="18"/>
                <w:szCs w:val="18"/>
              </w:rPr>
              <w:t>59.7%</w:t>
            </w:r>
          </w:p>
        </w:tc>
      </w:tr>
      <w:tr w:rsidR="00BA7FD2" w:rsidRPr="00A32B35" w14:paraId="374541EB"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15217122"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3EFDE86A" w14:textId="77777777" w:rsidR="00BA7FD2" w:rsidRPr="00A32B35" w:rsidRDefault="00BA7FD2" w:rsidP="00A95018">
            <w:pPr>
              <w:pStyle w:val="NormalWeb"/>
              <w:rPr>
                <w:sz w:val="18"/>
                <w:szCs w:val="18"/>
              </w:rPr>
            </w:pPr>
            <w:r w:rsidRPr="00A32B35">
              <w:rPr>
                <w:sz w:val="18"/>
                <w:szCs w:val="18"/>
              </w:rPr>
              <w:t>Hunting</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2DC9F3CA" w14:textId="77777777" w:rsidR="00BA7FD2" w:rsidRPr="00A32B35" w:rsidRDefault="00BA7FD2" w:rsidP="00506087">
            <w:pPr>
              <w:pStyle w:val="NormalWeb"/>
              <w:rPr>
                <w:sz w:val="18"/>
                <w:szCs w:val="18"/>
              </w:rPr>
            </w:pPr>
            <w:r w:rsidRPr="00A32B35">
              <w:rPr>
                <w:sz w:val="18"/>
                <w:szCs w:val="18"/>
              </w:rPr>
              <w:t>9</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79A5896" w14:textId="77777777" w:rsidR="00BA7FD2" w:rsidRPr="00A32B35" w:rsidRDefault="00BA7FD2" w:rsidP="00506087">
            <w:pPr>
              <w:pStyle w:val="NormalWeb"/>
              <w:rPr>
                <w:sz w:val="18"/>
                <w:szCs w:val="18"/>
              </w:rPr>
            </w:pPr>
            <w:r w:rsidRPr="00A32B35">
              <w:rPr>
                <w:sz w:val="18"/>
                <w:szCs w:val="18"/>
              </w:rPr>
              <w:t>12.5%</w:t>
            </w:r>
          </w:p>
        </w:tc>
      </w:tr>
      <w:tr w:rsidR="00BA7FD2" w:rsidRPr="00A32B35" w14:paraId="705E8B7B"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6FE9C86"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0C7BDD0" w14:textId="77777777" w:rsidR="00BA7FD2" w:rsidRPr="00A32B35" w:rsidRDefault="00BA7FD2" w:rsidP="00A95018">
            <w:pPr>
              <w:pStyle w:val="NormalWeb"/>
              <w:rPr>
                <w:sz w:val="18"/>
                <w:szCs w:val="18"/>
              </w:rPr>
            </w:pPr>
            <w:r w:rsidRPr="00A32B35">
              <w:rPr>
                <w:sz w:val="18"/>
                <w:szCs w:val="18"/>
              </w:rPr>
              <w:t>Crocodile related</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29C9953A"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56EA28B" w14:textId="77777777" w:rsidR="00BA7FD2" w:rsidRPr="00A32B35" w:rsidRDefault="00BA7FD2" w:rsidP="00506087">
            <w:pPr>
              <w:pStyle w:val="NormalWeb"/>
              <w:rPr>
                <w:sz w:val="18"/>
                <w:szCs w:val="18"/>
              </w:rPr>
            </w:pPr>
            <w:r w:rsidRPr="00A32B35">
              <w:rPr>
                <w:sz w:val="18"/>
                <w:szCs w:val="18"/>
              </w:rPr>
              <w:t>6.9%</w:t>
            </w:r>
          </w:p>
        </w:tc>
      </w:tr>
      <w:tr w:rsidR="00BA7FD2" w:rsidRPr="00A32B35" w14:paraId="2080B896"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619D77B"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86C75CE" w14:textId="77777777" w:rsidR="00BA7FD2" w:rsidRPr="00A32B35" w:rsidRDefault="00BA7FD2" w:rsidP="00A95018">
            <w:pPr>
              <w:pStyle w:val="NormalWeb"/>
              <w:rPr>
                <w:sz w:val="18"/>
                <w:szCs w:val="18"/>
              </w:rPr>
            </w:pPr>
            <w:r w:rsidRPr="00A32B35">
              <w:rPr>
                <w:sz w:val="18"/>
                <w:szCs w:val="18"/>
              </w:rPr>
              <w:t>Hiking</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53F03DDF"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42826C47" w14:textId="77777777" w:rsidR="00BA7FD2" w:rsidRPr="00A32B35" w:rsidRDefault="00BA7FD2" w:rsidP="00506087">
            <w:pPr>
              <w:pStyle w:val="NormalWeb"/>
              <w:rPr>
                <w:sz w:val="18"/>
                <w:szCs w:val="18"/>
              </w:rPr>
            </w:pPr>
            <w:r w:rsidRPr="00A32B35">
              <w:rPr>
                <w:sz w:val="18"/>
                <w:szCs w:val="18"/>
              </w:rPr>
              <w:t>6.9%</w:t>
            </w:r>
          </w:p>
        </w:tc>
      </w:tr>
      <w:tr w:rsidR="00BA7FD2" w:rsidRPr="00A32B35" w14:paraId="555F1F5D"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5360F56"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05F71C9B" w14:textId="77777777" w:rsidR="00BA7FD2" w:rsidRPr="00A32B35" w:rsidRDefault="00BA7FD2" w:rsidP="00A95018">
            <w:pPr>
              <w:pStyle w:val="NormalWeb"/>
              <w:rPr>
                <w:sz w:val="18"/>
                <w:szCs w:val="18"/>
              </w:rPr>
            </w:pPr>
            <w:r w:rsidRPr="00A32B35">
              <w:rPr>
                <w:sz w:val="18"/>
                <w:szCs w:val="18"/>
              </w:rPr>
              <w:t>Swimming</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741108EC" w14:textId="77777777" w:rsidR="00BA7FD2" w:rsidRPr="00A32B35" w:rsidRDefault="00BA7FD2" w:rsidP="00506087">
            <w:pPr>
              <w:pStyle w:val="NormalWeb"/>
              <w:rPr>
                <w:sz w:val="18"/>
                <w:szCs w:val="18"/>
              </w:rPr>
            </w:pPr>
            <w:r w:rsidRPr="00A32B35">
              <w:rPr>
                <w:sz w:val="18"/>
                <w:szCs w:val="18"/>
              </w:rPr>
              <w:t>3</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4C9042CA" w14:textId="77777777" w:rsidR="00BA7FD2" w:rsidRPr="00A32B35" w:rsidRDefault="00BA7FD2" w:rsidP="00506087">
            <w:pPr>
              <w:pStyle w:val="NormalWeb"/>
              <w:rPr>
                <w:sz w:val="18"/>
                <w:szCs w:val="18"/>
              </w:rPr>
            </w:pPr>
            <w:r w:rsidRPr="00A32B35">
              <w:rPr>
                <w:sz w:val="18"/>
                <w:szCs w:val="18"/>
              </w:rPr>
              <w:t>4.2%</w:t>
            </w:r>
          </w:p>
        </w:tc>
      </w:tr>
      <w:tr w:rsidR="00BA7FD2" w:rsidRPr="00A32B35" w14:paraId="0B6B991B"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3D4326C6"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4335AA9" w14:textId="77777777" w:rsidR="00BA7FD2" w:rsidRPr="00A32B35" w:rsidRDefault="00BA7FD2" w:rsidP="00A95018">
            <w:pPr>
              <w:pStyle w:val="NormalWeb"/>
              <w:rPr>
                <w:sz w:val="18"/>
                <w:szCs w:val="18"/>
              </w:rPr>
            </w:pPr>
            <w:r w:rsidRPr="00A32B35">
              <w:rPr>
                <w:sz w:val="18"/>
                <w:szCs w:val="18"/>
              </w:rPr>
              <w:t>Fishing</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5129F257" w14:textId="77777777" w:rsidR="00BA7FD2" w:rsidRPr="00A32B35" w:rsidRDefault="00BA7FD2" w:rsidP="00506087">
            <w:pPr>
              <w:pStyle w:val="NormalWeb"/>
              <w:rPr>
                <w:sz w:val="18"/>
                <w:szCs w:val="18"/>
              </w:rPr>
            </w:pPr>
            <w:r w:rsidRPr="00A32B35">
              <w:rPr>
                <w:sz w:val="18"/>
                <w:szCs w:val="18"/>
              </w:rPr>
              <w:t>2</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5142D17D" w14:textId="77777777" w:rsidR="00BA7FD2" w:rsidRPr="00A32B35" w:rsidRDefault="00BA7FD2" w:rsidP="00506087">
            <w:pPr>
              <w:pStyle w:val="NormalWeb"/>
              <w:rPr>
                <w:sz w:val="18"/>
                <w:szCs w:val="18"/>
              </w:rPr>
            </w:pPr>
            <w:r w:rsidRPr="00A32B35">
              <w:rPr>
                <w:sz w:val="18"/>
                <w:szCs w:val="18"/>
              </w:rPr>
              <w:t>2.8%</w:t>
            </w:r>
          </w:p>
        </w:tc>
      </w:tr>
      <w:tr w:rsidR="00BA7FD2" w:rsidRPr="00A32B35" w14:paraId="6CE32096"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39DD5B7A"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7C0B39C6" w14:textId="77777777" w:rsidR="00BA7FD2" w:rsidRPr="00A32B35" w:rsidRDefault="00BA7FD2" w:rsidP="00A95018">
            <w:pPr>
              <w:pStyle w:val="NormalWeb"/>
              <w:rPr>
                <w:sz w:val="18"/>
                <w:szCs w:val="18"/>
              </w:rPr>
            </w:pPr>
            <w:r w:rsidRPr="00A32B35">
              <w:rPr>
                <w:sz w:val="18"/>
                <w:szCs w:val="18"/>
              </w:rPr>
              <w:t>Other/unknown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55B454B1"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221FC92" w14:textId="77777777" w:rsidR="00BA7FD2" w:rsidRPr="00A32B35" w:rsidRDefault="00BA7FD2" w:rsidP="00506087">
            <w:pPr>
              <w:pStyle w:val="NormalWeb"/>
              <w:rPr>
                <w:sz w:val="18"/>
                <w:szCs w:val="18"/>
              </w:rPr>
            </w:pPr>
            <w:r w:rsidRPr="00A32B35">
              <w:rPr>
                <w:sz w:val="18"/>
                <w:szCs w:val="18"/>
              </w:rPr>
              <w:t>6.9%</w:t>
            </w:r>
          </w:p>
        </w:tc>
      </w:tr>
      <w:tr w:rsidR="00BA7FD2" w:rsidRPr="00A32B35" w14:paraId="52247070" w14:textId="77777777" w:rsidTr="00BA7FD2">
        <w:trPr>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6066197F" w14:textId="77777777" w:rsidR="00BA7FD2" w:rsidRPr="00A32B35" w:rsidRDefault="00BA7FD2" w:rsidP="00506087">
            <w:pPr>
              <w:pStyle w:val="NormalWeb"/>
              <w:jc w:val="left"/>
              <w:rPr>
                <w:sz w:val="18"/>
                <w:szCs w:val="18"/>
              </w:rPr>
            </w:pPr>
            <w:proofErr w:type="gramStart"/>
            <w:r w:rsidRPr="00A32B35">
              <w:rPr>
                <w:sz w:val="18"/>
                <w:szCs w:val="18"/>
              </w:rPr>
              <w:t>Likely region</w:t>
            </w:r>
            <w:proofErr w:type="gramEnd"/>
            <w:r w:rsidRPr="00A32B35">
              <w:rPr>
                <w:sz w:val="18"/>
                <w:szCs w:val="18"/>
              </w:rPr>
              <w:br/>
              <w:t>of acquisition</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7ED0968" w14:textId="77777777" w:rsidR="00BA7FD2" w:rsidRPr="00A32B35" w:rsidRDefault="00BA7FD2" w:rsidP="00A95018">
            <w:pPr>
              <w:pStyle w:val="NormalWeb"/>
              <w:rPr>
                <w:sz w:val="18"/>
                <w:szCs w:val="18"/>
              </w:rPr>
            </w:pPr>
            <w:r w:rsidRPr="00A32B35">
              <w:rPr>
                <w:sz w:val="18"/>
                <w:szCs w:val="18"/>
              </w:rPr>
              <w:t>Darwin region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6B8EC6AD" w14:textId="77777777" w:rsidR="00BA7FD2" w:rsidRPr="00A32B35" w:rsidRDefault="00BA7FD2" w:rsidP="00506087">
            <w:pPr>
              <w:pStyle w:val="NormalWeb"/>
              <w:rPr>
                <w:sz w:val="18"/>
                <w:szCs w:val="18"/>
              </w:rPr>
            </w:pPr>
            <w:r w:rsidRPr="00A32B35">
              <w:rPr>
                <w:sz w:val="18"/>
                <w:szCs w:val="18"/>
              </w:rPr>
              <w:t>53</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5F68CA44" w14:textId="77777777" w:rsidR="00BA7FD2" w:rsidRPr="00A32B35" w:rsidRDefault="00BA7FD2" w:rsidP="00506087">
            <w:pPr>
              <w:pStyle w:val="NormalWeb"/>
              <w:rPr>
                <w:sz w:val="18"/>
                <w:szCs w:val="18"/>
              </w:rPr>
            </w:pPr>
            <w:r w:rsidRPr="00A32B35">
              <w:rPr>
                <w:sz w:val="18"/>
                <w:szCs w:val="18"/>
              </w:rPr>
              <w:t>73.6%</w:t>
            </w:r>
          </w:p>
        </w:tc>
      </w:tr>
      <w:tr w:rsidR="00BA7FD2" w:rsidRPr="00A32B35" w14:paraId="6F0A1CD2"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5AFA5B71"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192E753" w14:textId="77777777" w:rsidR="00BA7FD2" w:rsidRPr="00A32B35" w:rsidRDefault="00BA7FD2" w:rsidP="00A95018">
            <w:pPr>
              <w:pStyle w:val="NormalWeb"/>
              <w:rPr>
                <w:sz w:val="18"/>
                <w:szCs w:val="18"/>
              </w:rPr>
            </w:pPr>
            <w:r w:rsidRPr="00A32B35">
              <w:rPr>
                <w:sz w:val="18"/>
                <w:szCs w:val="18"/>
              </w:rPr>
              <w:t>Big Rivers (Katherine) region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BC13CDD" w14:textId="77777777" w:rsidR="00BA7FD2" w:rsidRPr="00A32B35" w:rsidRDefault="00BA7FD2" w:rsidP="00506087">
            <w:pPr>
              <w:pStyle w:val="NormalWeb"/>
              <w:rPr>
                <w:sz w:val="18"/>
                <w:szCs w:val="18"/>
              </w:rPr>
            </w:pPr>
            <w:r w:rsidRPr="00A32B35">
              <w:rPr>
                <w:sz w:val="18"/>
                <w:szCs w:val="18"/>
              </w:rPr>
              <w:t>9</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F48985F" w14:textId="77777777" w:rsidR="00BA7FD2" w:rsidRPr="00A32B35" w:rsidRDefault="00BA7FD2" w:rsidP="00506087">
            <w:pPr>
              <w:pStyle w:val="NormalWeb"/>
              <w:rPr>
                <w:sz w:val="18"/>
                <w:szCs w:val="18"/>
              </w:rPr>
            </w:pPr>
            <w:r w:rsidRPr="00A32B35">
              <w:rPr>
                <w:sz w:val="18"/>
                <w:szCs w:val="18"/>
              </w:rPr>
              <w:t>12.5%</w:t>
            </w:r>
          </w:p>
        </w:tc>
      </w:tr>
      <w:tr w:rsidR="00BA7FD2" w:rsidRPr="00A32B35" w14:paraId="58248F43"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20099D9"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1C1B19E3" w14:textId="77777777" w:rsidR="00BA7FD2" w:rsidRPr="00A32B35" w:rsidRDefault="00BA7FD2" w:rsidP="00A95018">
            <w:pPr>
              <w:pStyle w:val="NormalWeb"/>
              <w:rPr>
                <w:sz w:val="18"/>
                <w:szCs w:val="18"/>
              </w:rPr>
            </w:pPr>
            <w:r w:rsidRPr="00A32B35">
              <w:rPr>
                <w:sz w:val="18"/>
                <w:szCs w:val="18"/>
              </w:rPr>
              <w:t>Barkly region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56BCDD46" w14:textId="77777777" w:rsidR="00BA7FD2" w:rsidRPr="00A32B35" w:rsidRDefault="00BA7FD2" w:rsidP="00506087">
            <w:pPr>
              <w:pStyle w:val="NormalWeb"/>
              <w:rPr>
                <w:sz w:val="18"/>
                <w:szCs w:val="18"/>
              </w:rPr>
            </w:pPr>
            <w:r w:rsidRPr="00A32B35">
              <w:rPr>
                <w:sz w:val="18"/>
                <w:szCs w:val="18"/>
              </w:rPr>
              <w:t>3</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2681AF08" w14:textId="77777777" w:rsidR="00BA7FD2" w:rsidRPr="00A32B35" w:rsidRDefault="00BA7FD2" w:rsidP="00506087">
            <w:pPr>
              <w:pStyle w:val="NormalWeb"/>
              <w:rPr>
                <w:sz w:val="18"/>
                <w:szCs w:val="18"/>
              </w:rPr>
            </w:pPr>
            <w:r w:rsidRPr="00A32B35">
              <w:rPr>
                <w:sz w:val="18"/>
                <w:szCs w:val="18"/>
              </w:rPr>
              <w:t>4.2%</w:t>
            </w:r>
          </w:p>
        </w:tc>
      </w:tr>
      <w:tr w:rsidR="00BA7FD2" w:rsidRPr="00A32B35" w14:paraId="37849D7D"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D98D083"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3A83FCE5" w14:textId="77777777" w:rsidR="00BA7FD2" w:rsidRPr="00A32B35" w:rsidRDefault="00BA7FD2" w:rsidP="00A95018">
            <w:pPr>
              <w:pStyle w:val="NormalWeb"/>
              <w:rPr>
                <w:sz w:val="18"/>
                <w:szCs w:val="18"/>
              </w:rPr>
            </w:pPr>
            <w:r w:rsidRPr="00A32B35">
              <w:rPr>
                <w:sz w:val="18"/>
                <w:szCs w:val="18"/>
              </w:rPr>
              <w:t>Top End unspecified</w:t>
            </w:r>
            <w:r>
              <w:rPr>
                <w:sz w:val="18"/>
                <w:szCs w:val="18"/>
              </w:rPr>
              <w:t xml:space="preserve"> </w:t>
            </w:r>
            <w:r w:rsidRPr="00D76C20">
              <w:rPr>
                <w:sz w:val="18"/>
                <w:szCs w:val="18"/>
                <w:vertAlign w:val="superscript"/>
              </w:rPr>
              <w:t>a</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7489A5B8"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5FA77D73" w14:textId="77777777" w:rsidR="00BA7FD2" w:rsidRPr="00A32B35" w:rsidRDefault="00BA7FD2" w:rsidP="00506087">
            <w:pPr>
              <w:pStyle w:val="NormalWeb"/>
              <w:rPr>
                <w:sz w:val="18"/>
                <w:szCs w:val="18"/>
              </w:rPr>
            </w:pPr>
            <w:r w:rsidRPr="00A32B35">
              <w:rPr>
                <w:sz w:val="18"/>
                <w:szCs w:val="18"/>
              </w:rPr>
              <w:t>1.4%</w:t>
            </w:r>
          </w:p>
        </w:tc>
      </w:tr>
      <w:tr w:rsidR="00BA7FD2" w:rsidRPr="00A32B35" w14:paraId="303F4CA0"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59A8FC9"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58B07E2" w14:textId="77777777" w:rsidR="00BA7FD2" w:rsidRPr="00A32B35" w:rsidRDefault="00BA7FD2" w:rsidP="00A95018">
            <w:pPr>
              <w:pStyle w:val="NormalWeb"/>
              <w:rPr>
                <w:sz w:val="18"/>
                <w:szCs w:val="18"/>
              </w:rPr>
            </w:pPr>
            <w:r w:rsidRPr="00A32B35">
              <w:rPr>
                <w:sz w:val="18"/>
                <w:szCs w:val="18"/>
              </w:rPr>
              <w:t>Central Australia (Alice Springs region)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1BA384E" w14:textId="77777777" w:rsidR="00BA7FD2" w:rsidRPr="00A32B35" w:rsidRDefault="00BA7FD2" w:rsidP="00506087">
            <w:pPr>
              <w:pStyle w:val="NormalWeb"/>
              <w:rPr>
                <w:sz w:val="18"/>
                <w:szCs w:val="18"/>
              </w:rPr>
            </w:pPr>
            <w:r w:rsidRPr="00A32B35">
              <w:rPr>
                <w:sz w:val="18"/>
                <w:szCs w:val="18"/>
              </w:rPr>
              <w:t>0</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600EBB96" w14:textId="77777777" w:rsidR="00BA7FD2" w:rsidRPr="00A32B35" w:rsidRDefault="00BA7FD2" w:rsidP="00506087">
            <w:pPr>
              <w:pStyle w:val="NormalWeb"/>
              <w:rPr>
                <w:sz w:val="18"/>
                <w:szCs w:val="18"/>
              </w:rPr>
            </w:pPr>
            <w:r w:rsidRPr="00A32B35">
              <w:rPr>
                <w:sz w:val="18"/>
                <w:szCs w:val="18"/>
              </w:rPr>
              <w:t>0%</w:t>
            </w:r>
          </w:p>
        </w:tc>
      </w:tr>
      <w:tr w:rsidR="00BA7FD2" w:rsidRPr="00A32B35" w14:paraId="5A906560"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76B6C85"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3F2EEE5A" w14:textId="77777777" w:rsidR="00BA7FD2" w:rsidRPr="00A32B35" w:rsidRDefault="00BA7FD2" w:rsidP="00A95018">
            <w:pPr>
              <w:pStyle w:val="NormalWeb"/>
              <w:rPr>
                <w:sz w:val="18"/>
                <w:szCs w:val="18"/>
              </w:rPr>
            </w:pPr>
            <w:r w:rsidRPr="00A32B35">
              <w:rPr>
                <w:sz w:val="18"/>
                <w:szCs w:val="18"/>
              </w:rPr>
              <w:t>East Arnhem region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67AC9D7" w14:textId="77777777" w:rsidR="00BA7FD2" w:rsidRPr="00A32B35" w:rsidRDefault="00BA7FD2" w:rsidP="00506087">
            <w:pPr>
              <w:pStyle w:val="NormalWeb"/>
              <w:rPr>
                <w:sz w:val="18"/>
                <w:szCs w:val="18"/>
              </w:rPr>
            </w:pPr>
            <w:r w:rsidRPr="00A32B35">
              <w:rPr>
                <w:sz w:val="18"/>
                <w:szCs w:val="18"/>
              </w:rPr>
              <w:t>0</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2F9DFA19" w14:textId="77777777" w:rsidR="00BA7FD2" w:rsidRPr="00A32B35" w:rsidRDefault="00BA7FD2" w:rsidP="00506087">
            <w:pPr>
              <w:pStyle w:val="NormalWeb"/>
              <w:rPr>
                <w:sz w:val="18"/>
                <w:szCs w:val="18"/>
              </w:rPr>
            </w:pPr>
            <w:r w:rsidRPr="00A32B35">
              <w:rPr>
                <w:sz w:val="18"/>
                <w:szCs w:val="18"/>
              </w:rPr>
              <w:t>0%</w:t>
            </w:r>
          </w:p>
        </w:tc>
      </w:tr>
      <w:tr w:rsidR="00BA7FD2" w:rsidRPr="00A32B35" w14:paraId="5CB3544D"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08DFAF9"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11E22044" w14:textId="77777777" w:rsidR="00BA7FD2" w:rsidRPr="00A32B35" w:rsidRDefault="00BA7FD2" w:rsidP="00A95018">
            <w:pPr>
              <w:pStyle w:val="NormalWeb"/>
              <w:rPr>
                <w:sz w:val="18"/>
                <w:szCs w:val="18"/>
              </w:rPr>
            </w:pPr>
            <w:r w:rsidRPr="00A32B35">
              <w:rPr>
                <w:sz w:val="18"/>
                <w:szCs w:val="18"/>
              </w:rPr>
              <w:t xml:space="preserve">Imported (overseas </w:t>
            </w:r>
            <w:proofErr w:type="gramStart"/>
            <w:r w:rsidRPr="00A32B35">
              <w:rPr>
                <w:sz w:val="18"/>
                <w:szCs w:val="18"/>
              </w:rPr>
              <w:t>acquired</w:t>
            </w:r>
            <w:proofErr w:type="gramEnd"/>
            <w:r w:rsidRPr="00A32B35">
              <w:rPr>
                <w:sz w:val="18"/>
                <w:szCs w:val="18"/>
              </w:rPr>
              <w:t>)</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2AFC8348" w14:textId="77777777" w:rsidR="00BA7FD2" w:rsidRPr="00A32B35" w:rsidRDefault="00BA7FD2" w:rsidP="00506087">
            <w:pPr>
              <w:pStyle w:val="NormalWeb"/>
              <w:rPr>
                <w:sz w:val="18"/>
                <w:szCs w:val="18"/>
              </w:rPr>
            </w:pPr>
            <w:r w:rsidRPr="00A32B35">
              <w:rPr>
                <w:sz w:val="18"/>
                <w:szCs w:val="18"/>
              </w:rPr>
              <w:t>6</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4452BF0" w14:textId="77777777" w:rsidR="00BA7FD2" w:rsidRPr="00A32B35" w:rsidRDefault="00BA7FD2" w:rsidP="00506087">
            <w:pPr>
              <w:pStyle w:val="NormalWeb"/>
              <w:rPr>
                <w:sz w:val="18"/>
                <w:szCs w:val="18"/>
              </w:rPr>
            </w:pPr>
            <w:r w:rsidRPr="00A32B35">
              <w:rPr>
                <w:sz w:val="18"/>
                <w:szCs w:val="18"/>
              </w:rPr>
              <w:t>8.3%</w:t>
            </w:r>
          </w:p>
        </w:tc>
      </w:tr>
      <w:tr w:rsidR="00BA7FD2" w:rsidRPr="00A32B35" w14:paraId="3DBADBD8"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66B5FE10" w14:textId="77777777" w:rsidR="00BA7FD2" w:rsidRPr="00A32B35" w:rsidRDefault="00BA7FD2" w:rsidP="00506087">
            <w:pPr>
              <w:pStyle w:val="NormalWeb"/>
              <w:jc w:val="left"/>
              <w:rPr>
                <w:sz w:val="18"/>
                <w:szCs w:val="18"/>
              </w:rPr>
            </w:pPr>
            <w:r w:rsidRPr="00A32B35">
              <w:rPr>
                <w:sz w:val="18"/>
                <w:szCs w:val="18"/>
              </w:rPr>
              <w:t>Season of onset</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EE0A1D2" w14:textId="77777777" w:rsidR="00BA7FD2" w:rsidRPr="00A32B35" w:rsidRDefault="00BA7FD2" w:rsidP="00A95018">
            <w:pPr>
              <w:pStyle w:val="NormalWeb"/>
              <w:rPr>
                <w:sz w:val="18"/>
                <w:szCs w:val="18"/>
              </w:rPr>
            </w:pPr>
            <w:r w:rsidRPr="00A32B35">
              <w:rPr>
                <w:sz w:val="18"/>
                <w:szCs w:val="18"/>
              </w:rPr>
              <w:t>Wet</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AACF8B7" w14:textId="77777777" w:rsidR="00BA7FD2" w:rsidRPr="00A32B35" w:rsidRDefault="00BA7FD2" w:rsidP="00506087">
            <w:pPr>
              <w:pStyle w:val="NormalWeb"/>
              <w:rPr>
                <w:sz w:val="18"/>
                <w:szCs w:val="18"/>
              </w:rPr>
            </w:pPr>
            <w:r w:rsidRPr="00A32B35">
              <w:rPr>
                <w:sz w:val="18"/>
                <w:szCs w:val="18"/>
              </w:rPr>
              <w:t>67</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8CE4F09" w14:textId="77777777" w:rsidR="00BA7FD2" w:rsidRPr="00A32B35" w:rsidRDefault="00BA7FD2" w:rsidP="00506087">
            <w:pPr>
              <w:pStyle w:val="NormalWeb"/>
              <w:rPr>
                <w:sz w:val="18"/>
                <w:szCs w:val="18"/>
              </w:rPr>
            </w:pPr>
            <w:r w:rsidRPr="00A32B35">
              <w:rPr>
                <w:sz w:val="18"/>
                <w:szCs w:val="18"/>
              </w:rPr>
              <w:t>93.1%</w:t>
            </w:r>
          </w:p>
        </w:tc>
      </w:tr>
      <w:tr w:rsidR="00BA7FD2" w:rsidRPr="00A32B35" w14:paraId="08ADCA36"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4490C390"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00AB39D7" w14:textId="77777777" w:rsidR="00BA7FD2" w:rsidRPr="00A32B35" w:rsidRDefault="00BA7FD2" w:rsidP="00A95018">
            <w:pPr>
              <w:pStyle w:val="NormalWeb"/>
              <w:rPr>
                <w:sz w:val="18"/>
                <w:szCs w:val="18"/>
              </w:rPr>
            </w:pPr>
            <w:r w:rsidRPr="00A32B35">
              <w:rPr>
                <w:sz w:val="18"/>
                <w:szCs w:val="18"/>
              </w:rPr>
              <w:t>Dry</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3D6AE5E"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DEC2E02" w14:textId="77777777" w:rsidR="00BA7FD2" w:rsidRPr="00A32B35" w:rsidRDefault="00BA7FD2" w:rsidP="00506087">
            <w:pPr>
              <w:pStyle w:val="NormalWeb"/>
              <w:rPr>
                <w:sz w:val="18"/>
                <w:szCs w:val="18"/>
              </w:rPr>
            </w:pPr>
            <w:r w:rsidRPr="00A32B35">
              <w:rPr>
                <w:sz w:val="18"/>
                <w:szCs w:val="18"/>
              </w:rPr>
              <w:t>6.9%</w:t>
            </w:r>
          </w:p>
        </w:tc>
      </w:tr>
      <w:tr w:rsidR="00BA7FD2" w:rsidRPr="00A32B35" w14:paraId="05FB9B2B"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val="restart"/>
            <w:tcBorders>
              <w:top w:val="single" w:sz="4" w:space="0" w:color="808080" w:themeColor="background1" w:themeShade="80"/>
              <w:bottom w:val="single" w:sz="4" w:space="0" w:color="808080" w:themeColor="background1" w:themeShade="80"/>
            </w:tcBorders>
            <w:shd w:val="clear" w:color="auto" w:fill="auto"/>
            <w:hideMark/>
          </w:tcPr>
          <w:p w14:paraId="0E333809" w14:textId="77777777" w:rsidR="00BA7FD2" w:rsidRPr="00A32B35" w:rsidRDefault="00BA7FD2" w:rsidP="00506087">
            <w:pPr>
              <w:pStyle w:val="NormalWeb"/>
              <w:jc w:val="left"/>
              <w:rPr>
                <w:sz w:val="18"/>
                <w:szCs w:val="18"/>
              </w:rPr>
            </w:pPr>
            <w:r w:rsidRPr="00A32B35">
              <w:rPr>
                <w:sz w:val="18"/>
                <w:szCs w:val="18"/>
              </w:rPr>
              <w:t>Serovar</w:t>
            </w: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5DF97082" w14:textId="77777777" w:rsidR="00BA7FD2" w:rsidRPr="00A32B35" w:rsidRDefault="00BA7FD2" w:rsidP="00A95018">
            <w:pPr>
              <w:pStyle w:val="NormalWeb"/>
              <w:rPr>
                <w:sz w:val="18"/>
                <w:szCs w:val="18"/>
              </w:rPr>
            </w:pPr>
            <w:proofErr w:type="spellStart"/>
            <w:r w:rsidRPr="00A32B35">
              <w:rPr>
                <w:sz w:val="18"/>
                <w:szCs w:val="18"/>
              </w:rPr>
              <w:t>Hardjo</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55E10C1" w14:textId="77777777" w:rsidR="00BA7FD2" w:rsidRPr="00A32B35" w:rsidRDefault="00BA7FD2" w:rsidP="00506087">
            <w:pPr>
              <w:pStyle w:val="NormalWeb"/>
              <w:rPr>
                <w:sz w:val="18"/>
                <w:szCs w:val="18"/>
              </w:rPr>
            </w:pPr>
            <w:r w:rsidRPr="00A32B35">
              <w:rPr>
                <w:sz w:val="18"/>
                <w:szCs w:val="18"/>
              </w:rPr>
              <w:t>27</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44B59AAC" w14:textId="77777777" w:rsidR="00BA7FD2" w:rsidRPr="00A32B35" w:rsidRDefault="00BA7FD2" w:rsidP="00506087">
            <w:pPr>
              <w:pStyle w:val="NormalWeb"/>
              <w:rPr>
                <w:sz w:val="18"/>
                <w:szCs w:val="18"/>
              </w:rPr>
            </w:pPr>
            <w:r w:rsidRPr="00A32B35">
              <w:rPr>
                <w:sz w:val="18"/>
                <w:szCs w:val="18"/>
              </w:rPr>
              <w:t>37.5%</w:t>
            </w:r>
          </w:p>
        </w:tc>
      </w:tr>
      <w:tr w:rsidR="00BA7FD2" w:rsidRPr="00A32B35" w14:paraId="0D4436CF"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207C7C91"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2C38623" w14:textId="77777777" w:rsidR="00BA7FD2" w:rsidRPr="00A32B35" w:rsidRDefault="00BA7FD2" w:rsidP="00A95018">
            <w:pPr>
              <w:pStyle w:val="NormalWeb"/>
              <w:rPr>
                <w:sz w:val="18"/>
                <w:szCs w:val="18"/>
              </w:rPr>
            </w:pPr>
            <w:r w:rsidRPr="00A32B35">
              <w:rPr>
                <w:sz w:val="18"/>
                <w:szCs w:val="18"/>
              </w:rPr>
              <w:t>Australis</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1FDE727" w14:textId="77777777" w:rsidR="00BA7FD2" w:rsidRPr="00A32B35" w:rsidRDefault="00BA7FD2" w:rsidP="00506087">
            <w:pPr>
              <w:pStyle w:val="NormalWeb"/>
              <w:rPr>
                <w:sz w:val="18"/>
                <w:szCs w:val="18"/>
              </w:rPr>
            </w:pPr>
            <w:r w:rsidRPr="00A32B35">
              <w:rPr>
                <w:sz w:val="18"/>
                <w:szCs w:val="18"/>
              </w:rPr>
              <w:t>13</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4996F01" w14:textId="77777777" w:rsidR="00BA7FD2" w:rsidRPr="00A32B35" w:rsidRDefault="00BA7FD2" w:rsidP="00506087">
            <w:pPr>
              <w:pStyle w:val="NormalWeb"/>
              <w:rPr>
                <w:sz w:val="18"/>
                <w:szCs w:val="18"/>
              </w:rPr>
            </w:pPr>
            <w:r w:rsidRPr="00A32B35">
              <w:rPr>
                <w:sz w:val="18"/>
                <w:szCs w:val="18"/>
              </w:rPr>
              <w:t>18.1%</w:t>
            </w:r>
          </w:p>
        </w:tc>
      </w:tr>
      <w:tr w:rsidR="00BA7FD2" w:rsidRPr="00A32B35" w14:paraId="76B849F9"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CF76B93"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0AE69C75" w14:textId="77777777" w:rsidR="00BA7FD2" w:rsidRPr="00A32B35" w:rsidRDefault="00BA7FD2" w:rsidP="00A95018">
            <w:pPr>
              <w:pStyle w:val="NormalWeb"/>
              <w:rPr>
                <w:sz w:val="18"/>
                <w:szCs w:val="18"/>
              </w:rPr>
            </w:pPr>
            <w:r w:rsidRPr="00A32B35">
              <w:rPr>
                <w:sz w:val="18"/>
                <w:szCs w:val="18"/>
              </w:rPr>
              <w:t>Pomona</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C0CEDF7" w14:textId="77777777" w:rsidR="00BA7FD2" w:rsidRPr="00A32B35" w:rsidRDefault="00BA7FD2" w:rsidP="00506087">
            <w:pPr>
              <w:pStyle w:val="NormalWeb"/>
              <w:rPr>
                <w:sz w:val="18"/>
                <w:szCs w:val="18"/>
              </w:rPr>
            </w:pPr>
            <w:r w:rsidRPr="00A32B35">
              <w:rPr>
                <w:sz w:val="18"/>
                <w:szCs w:val="18"/>
              </w:rPr>
              <w:t>11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2711F387" w14:textId="77777777" w:rsidR="00BA7FD2" w:rsidRPr="00A32B35" w:rsidRDefault="00BA7FD2" w:rsidP="00506087">
            <w:pPr>
              <w:pStyle w:val="NormalWeb"/>
              <w:rPr>
                <w:sz w:val="18"/>
                <w:szCs w:val="18"/>
              </w:rPr>
            </w:pPr>
            <w:r w:rsidRPr="00A32B35">
              <w:rPr>
                <w:sz w:val="18"/>
                <w:szCs w:val="18"/>
              </w:rPr>
              <w:t>15.3%</w:t>
            </w:r>
          </w:p>
        </w:tc>
      </w:tr>
      <w:tr w:rsidR="00BA7FD2" w:rsidRPr="00A32B35" w14:paraId="6AF2D6DE"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16FABDAF"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2C4BAF87" w14:textId="77777777" w:rsidR="00BA7FD2" w:rsidRPr="00A32B35" w:rsidRDefault="00BA7FD2" w:rsidP="00A95018">
            <w:pPr>
              <w:pStyle w:val="NormalWeb"/>
              <w:rPr>
                <w:sz w:val="18"/>
                <w:szCs w:val="18"/>
              </w:rPr>
            </w:pPr>
            <w:r w:rsidRPr="00A32B35">
              <w:rPr>
                <w:sz w:val="18"/>
                <w:szCs w:val="18"/>
              </w:rPr>
              <w:t>Unknown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6E99966C" w14:textId="77777777" w:rsidR="00BA7FD2" w:rsidRPr="00A32B35" w:rsidRDefault="00BA7FD2" w:rsidP="00506087">
            <w:pPr>
              <w:pStyle w:val="NormalWeb"/>
              <w:rPr>
                <w:sz w:val="18"/>
                <w:szCs w:val="18"/>
              </w:rPr>
            </w:pPr>
            <w:r w:rsidRPr="00A32B35">
              <w:rPr>
                <w:sz w:val="18"/>
                <w:szCs w:val="18"/>
              </w:rPr>
              <w:t>10</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152C98E9" w14:textId="77777777" w:rsidR="00BA7FD2" w:rsidRPr="00A32B35" w:rsidRDefault="00BA7FD2" w:rsidP="00506087">
            <w:pPr>
              <w:pStyle w:val="NormalWeb"/>
              <w:rPr>
                <w:sz w:val="18"/>
                <w:szCs w:val="18"/>
              </w:rPr>
            </w:pPr>
            <w:r w:rsidRPr="00A32B35">
              <w:rPr>
                <w:sz w:val="18"/>
                <w:szCs w:val="18"/>
              </w:rPr>
              <w:t>13.9%</w:t>
            </w:r>
          </w:p>
        </w:tc>
      </w:tr>
      <w:tr w:rsidR="00BA7FD2" w:rsidRPr="00A32B35" w14:paraId="73335CFB"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0129F3A5"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174B11F" w14:textId="77777777" w:rsidR="00BA7FD2" w:rsidRPr="00A32B35" w:rsidRDefault="00BA7FD2" w:rsidP="00A95018">
            <w:pPr>
              <w:pStyle w:val="NormalWeb"/>
              <w:rPr>
                <w:sz w:val="18"/>
                <w:szCs w:val="18"/>
              </w:rPr>
            </w:pPr>
            <w:r w:rsidRPr="00A32B35">
              <w:rPr>
                <w:sz w:val="18"/>
                <w:szCs w:val="18"/>
              </w:rPr>
              <w:t>Topaz</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4BBC43C" w14:textId="77777777" w:rsidR="00BA7FD2" w:rsidRPr="00A32B35" w:rsidRDefault="00BA7FD2" w:rsidP="00506087">
            <w:pPr>
              <w:pStyle w:val="NormalWeb"/>
              <w:rPr>
                <w:sz w:val="18"/>
                <w:szCs w:val="18"/>
              </w:rPr>
            </w:pPr>
            <w:r w:rsidRPr="00A32B35">
              <w:rPr>
                <w:sz w:val="18"/>
                <w:szCs w:val="18"/>
              </w:rPr>
              <w:t>5</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22640C2A" w14:textId="77777777" w:rsidR="00BA7FD2" w:rsidRPr="00A32B35" w:rsidRDefault="00BA7FD2" w:rsidP="00506087">
            <w:pPr>
              <w:pStyle w:val="NormalWeb"/>
              <w:rPr>
                <w:sz w:val="18"/>
                <w:szCs w:val="18"/>
              </w:rPr>
            </w:pPr>
            <w:r w:rsidRPr="00A32B35">
              <w:rPr>
                <w:sz w:val="18"/>
                <w:szCs w:val="18"/>
              </w:rPr>
              <w:t>6.9%</w:t>
            </w:r>
          </w:p>
        </w:tc>
      </w:tr>
      <w:tr w:rsidR="00BA7FD2" w:rsidRPr="00A32B35" w14:paraId="1E529BFD"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1482EC18"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7DA7FF33" w14:textId="77777777" w:rsidR="00BA7FD2" w:rsidRPr="00A32B35" w:rsidRDefault="00BA7FD2" w:rsidP="00A95018">
            <w:pPr>
              <w:pStyle w:val="NormalWeb"/>
              <w:rPr>
                <w:sz w:val="18"/>
                <w:szCs w:val="18"/>
              </w:rPr>
            </w:pPr>
            <w:r w:rsidRPr="00A32B35">
              <w:rPr>
                <w:sz w:val="18"/>
                <w:szCs w:val="18"/>
              </w:rPr>
              <w:t>Sari</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0F6475B"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731C4366" w14:textId="77777777" w:rsidR="00BA7FD2" w:rsidRPr="00A32B35" w:rsidRDefault="00BA7FD2" w:rsidP="00506087">
            <w:pPr>
              <w:pStyle w:val="NormalWeb"/>
              <w:rPr>
                <w:sz w:val="18"/>
                <w:szCs w:val="18"/>
              </w:rPr>
            </w:pPr>
            <w:r w:rsidRPr="00A32B35">
              <w:rPr>
                <w:sz w:val="18"/>
                <w:szCs w:val="18"/>
              </w:rPr>
              <w:t>1.4%</w:t>
            </w:r>
          </w:p>
        </w:tc>
      </w:tr>
      <w:tr w:rsidR="00BA7FD2" w:rsidRPr="00A32B35" w14:paraId="3AE6730C"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6236FD2B"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729B46AA" w14:textId="77777777" w:rsidR="00BA7FD2" w:rsidRPr="00A32B35" w:rsidRDefault="00BA7FD2" w:rsidP="00A95018">
            <w:pPr>
              <w:pStyle w:val="NormalWeb"/>
              <w:rPr>
                <w:sz w:val="18"/>
                <w:szCs w:val="18"/>
              </w:rPr>
            </w:pPr>
            <w:proofErr w:type="spellStart"/>
            <w:r w:rsidRPr="00A32B35">
              <w:rPr>
                <w:sz w:val="18"/>
                <w:szCs w:val="18"/>
              </w:rPr>
              <w:t>Copenhageni</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49F2E51D"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64C5F08" w14:textId="77777777" w:rsidR="00BA7FD2" w:rsidRPr="00A32B35" w:rsidRDefault="00BA7FD2" w:rsidP="00506087">
            <w:pPr>
              <w:pStyle w:val="NormalWeb"/>
              <w:rPr>
                <w:sz w:val="18"/>
                <w:szCs w:val="18"/>
              </w:rPr>
            </w:pPr>
            <w:r w:rsidRPr="00A32B35">
              <w:rPr>
                <w:sz w:val="18"/>
                <w:szCs w:val="18"/>
              </w:rPr>
              <w:t>1.4%</w:t>
            </w:r>
          </w:p>
        </w:tc>
      </w:tr>
      <w:tr w:rsidR="00BA7FD2" w:rsidRPr="00A32B35" w14:paraId="183333AA"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35D87597"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C2400B7" w14:textId="77777777" w:rsidR="00BA7FD2" w:rsidRPr="00A32B35" w:rsidRDefault="00BA7FD2" w:rsidP="00A95018">
            <w:pPr>
              <w:pStyle w:val="NormalWeb"/>
              <w:rPr>
                <w:sz w:val="18"/>
                <w:szCs w:val="18"/>
              </w:rPr>
            </w:pPr>
            <w:proofErr w:type="spellStart"/>
            <w:r w:rsidRPr="00A32B35">
              <w:rPr>
                <w:sz w:val="18"/>
                <w:szCs w:val="18"/>
              </w:rPr>
              <w:t>Canicola</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1C3C44AC"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4F234C4E" w14:textId="77777777" w:rsidR="00BA7FD2" w:rsidRPr="00A32B35" w:rsidRDefault="00BA7FD2" w:rsidP="00506087">
            <w:pPr>
              <w:pStyle w:val="NormalWeb"/>
              <w:rPr>
                <w:sz w:val="18"/>
                <w:szCs w:val="18"/>
              </w:rPr>
            </w:pPr>
            <w:r w:rsidRPr="00A32B35">
              <w:rPr>
                <w:sz w:val="18"/>
                <w:szCs w:val="18"/>
              </w:rPr>
              <w:t>1.4%</w:t>
            </w:r>
          </w:p>
        </w:tc>
      </w:tr>
      <w:tr w:rsidR="00BA7FD2" w:rsidRPr="00A32B35" w14:paraId="0A85AD97"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7F51C6BD"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7F423386" w14:textId="77777777" w:rsidR="00BA7FD2" w:rsidRPr="00A32B35" w:rsidRDefault="00BA7FD2" w:rsidP="00A95018">
            <w:pPr>
              <w:pStyle w:val="NormalWeb"/>
              <w:rPr>
                <w:sz w:val="18"/>
                <w:szCs w:val="18"/>
              </w:rPr>
            </w:pPr>
            <w:proofErr w:type="spellStart"/>
            <w:r w:rsidRPr="00A32B35">
              <w:rPr>
                <w:sz w:val="18"/>
                <w:szCs w:val="18"/>
              </w:rPr>
              <w:t>Mendanensis</w:t>
            </w:r>
            <w:proofErr w:type="spellEnd"/>
            <w:r w:rsidRPr="00A32B35">
              <w:rPr>
                <w:sz w:val="18"/>
                <w:szCs w:val="18"/>
              </w:rPr>
              <w:t xml:space="preserve"> and </w:t>
            </w:r>
            <w:proofErr w:type="spellStart"/>
            <w:r w:rsidRPr="00A32B35">
              <w:rPr>
                <w:sz w:val="18"/>
                <w:szCs w:val="18"/>
              </w:rPr>
              <w:t>Szwajizak</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29BF870E"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33ACE2CD" w14:textId="77777777" w:rsidR="00BA7FD2" w:rsidRPr="00A32B35" w:rsidRDefault="00BA7FD2" w:rsidP="00506087">
            <w:pPr>
              <w:pStyle w:val="NormalWeb"/>
              <w:rPr>
                <w:sz w:val="18"/>
                <w:szCs w:val="18"/>
              </w:rPr>
            </w:pPr>
            <w:r w:rsidRPr="00A32B35">
              <w:rPr>
                <w:sz w:val="18"/>
                <w:szCs w:val="18"/>
              </w:rPr>
              <w:t>1.4%</w:t>
            </w:r>
          </w:p>
        </w:tc>
      </w:tr>
      <w:tr w:rsidR="00BA7FD2" w:rsidRPr="00A32B35" w14:paraId="02D1AC7B"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45612889"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3B5CEFD4" w14:textId="77777777" w:rsidR="00BA7FD2" w:rsidRPr="00A32B35" w:rsidRDefault="00BA7FD2" w:rsidP="00A95018">
            <w:pPr>
              <w:pStyle w:val="NormalWeb"/>
              <w:rPr>
                <w:sz w:val="18"/>
                <w:szCs w:val="18"/>
              </w:rPr>
            </w:pPr>
            <w:proofErr w:type="spellStart"/>
            <w:r w:rsidRPr="00A32B35">
              <w:rPr>
                <w:sz w:val="18"/>
                <w:szCs w:val="18"/>
              </w:rPr>
              <w:t>Djasiman</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77696C9B"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22787949" w14:textId="77777777" w:rsidR="00BA7FD2" w:rsidRPr="00A32B35" w:rsidRDefault="00BA7FD2" w:rsidP="00506087">
            <w:pPr>
              <w:pStyle w:val="NormalWeb"/>
              <w:rPr>
                <w:sz w:val="18"/>
                <w:szCs w:val="18"/>
              </w:rPr>
            </w:pPr>
            <w:r w:rsidRPr="00A32B35">
              <w:rPr>
                <w:sz w:val="18"/>
                <w:szCs w:val="18"/>
              </w:rPr>
              <w:t>1.4%</w:t>
            </w:r>
          </w:p>
        </w:tc>
      </w:tr>
      <w:tr w:rsidR="00BA7FD2" w:rsidRPr="00A32B35" w14:paraId="6863AD0E" w14:textId="77777777" w:rsidTr="00BA7FD2">
        <w:trPr>
          <w:cnfStyle w:val="000000010000" w:firstRow="0" w:lastRow="0" w:firstColumn="0" w:lastColumn="0" w:oddVBand="0" w:evenVBand="0" w:oddHBand="0" w:evenHBand="1" w:firstRowFirstColumn="0" w:firstRowLastColumn="0" w:lastRowFirstColumn="0" w:lastRowLastColumn="0"/>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40D29EAF"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6B1E7BA9" w14:textId="77777777" w:rsidR="00BA7FD2" w:rsidRPr="00A32B35" w:rsidRDefault="00BA7FD2" w:rsidP="00A95018">
            <w:pPr>
              <w:pStyle w:val="NormalWeb"/>
              <w:rPr>
                <w:sz w:val="18"/>
                <w:szCs w:val="18"/>
              </w:rPr>
            </w:pPr>
            <w:proofErr w:type="spellStart"/>
            <w:r w:rsidRPr="00A32B35">
              <w:rPr>
                <w:sz w:val="18"/>
                <w:szCs w:val="18"/>
              </w:rPr>
              <w:t>Grippotyphosa</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0B7AFC4E"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082E0432" w14:textId="77777777" w:rsidR="00BA7FD2" w:rsidRPr="00A32B35" w:rsidRDefault="00BA7FD2" w:rsidP="00506087">
            <w:pPr>
              <w:pStyle w:val="NormalWeb"/>
              <w:rPr>
                <w:sz w:val="18"/>
                <w:szCs w:val="18"/>
              </w:rPr>
            </w:pPr>
            <w:r w:rsidRPr="00A32B35">
              <w:rPr>
                <w:sz w:val="18"/>
                <w:szCs w:val="18"/>
              </w:rPr>
              <w:t>1.4%</w:t>
            </w:r>
          </w:p>
        </w:tc>
      </w:tr>
      <w:tr w:rsidR="00BA7FD2" w:rsidRPr="00A32B35" w14:paraId="68449D91" w14:textId="77777777" w:rsidTr="00BA7FD2">
        <w:trPr>
          <w:divId w:val="568465116"/>
        </w:trPr>
        <w:tc>
          <w:tcPr>
            <w:tcW w:w="4253" w:type="dxa"/>
            <w:vMerge/>
            <w:tcBorders>
              <w:top w:val="single" w:sz="4" w:space="0" w:color="808080" w:themeColor="background1" w:themeShade="80"/>
              <w:bottom w:val="single" w:sz="4" w:space="0" w:color="808080" w:themeColor="background1" w:themeShade="80"/>
            </w:tcBorders>
            <w:shd w:val="clear" w:color="auto" w:fill="auto"/>
            <w:hideMark/>
          </w:tcPr>
          <w:p w14:paraId="52F2E972" w14:textId="77777777" w:rsidR="00BA7FD2" w:rsidRPr="00A32B35" w:rsidRDefault="00BA7FD2" w:rsidP="00506087">
            <w:pPr>
              <w:rPr>
                <w:sz w:val="18"/>
                <w:szCs w:val="18"/>
              </w:rPr>
            </w:pPr>
          </w:p>
        </w:tc>
        <w:tc>
          <w:tcPr>
            <w:tcW w:w="3402" w:type="dxa"/>
            <w:tcBorders>
              <w:top w:val="single" w:sz="4" w:space="0" w:color="808080" w:themeColor="background1" w:themeShade="80"/>
              <w:bottom w:val="single" w:sz="4" w:space="0" w:color="808080" w:themeColor="background1" w:themeShade="80"/>
            </w:tcBorders>
            <w:shd w:val="clear" w:color="auto" w:fill="auto"/>
            <w:hideMark/>
          </w:tcPr>
          <w:p w14:paraId="4BF2A1D1" w14:textId="77777777" w:rsidR="00BA7FD2" w:rsidRPr="00A32B35" w:rsidRDefault="00BA7FD2" w:rsidP="00A95018">
            <w:pPr>
              <w:pStyle w:val="NormalWeb"/>
              <w:rPr>
                <w:sz w:val="18"/>
                <w:szCs w:val="18"/>
              </w:rPr>
            </w:pPr>
            <w:r w:rsidRPr="00A32B35">
              <w:rPr>
                <w:sz w:val="18"/>
                <w:szCs w:val="18"/>
              </w:rPr>
              <w:t>Robinson</w:t>
            </w:r>
          </w:p>
        </w:tc>
        <w:tc>
          <w:tcPr>
            <w:tcW w:w="1559" w:type="dxa"/>
            <w:tcBorders>
              <w:top w:val="single" w:sz="4" w:space="0" w:color="808080" w:themeColor="background1" w:themeShade="80"/>
              <w:bottom w:val="single" w:sz="4" w:space="0" w:color="808080" w:themeColor="background1" w:themeShade="80"/>
            </w:tcBorders>
            <w:shd w:val="clear" w:color="auto" w:fill="auto"/>
            <w:hideMark/>
          </w:tcPr>
          <w:p w14:paraId="36369BE1" w14:textId="77777777" w:rsidR="00BA7FD2" w:rsidRPr="00A32B35" w:rsidRDefault="00BA7FD2" w:rsidP="00506087">
            <w:pPr>
              <w:pStyle w:val="NormalWeb"/>
              <w:rPr>
                <w:sz w:val="18"/>
                <w:szCs w:val="18"/>
              </w:rPr>
            </w:pPr>
            <w:r w:rsidRPr="00A32B35">
              <w:rPr>
                <w:sz w:val="18"/>
                <w:szCs w:val="18"/>
              </w:rPr>
              <w:t>1</w:t>
            </w:r>
          </w:p>
        </w:tc>
        <w:tc>
          <w:tcPr>
            <w:tcW w:w="1226" w:type="dxa"/>
            <w:tcBorders>
              <w:top w:val="single" w:sz="4" w:space="0" w:color="808080" w:themeColor="background1" w:themeShade="80"/>
              <w:bottom w:val="single" w:sz="4" w:space="0" w:color="808080" w:themeColor="background1" w:themeShade="80"/>
            </w:tcBorders>
            <w:shd w:val="clear" w:color="auto" w:fill="auto"/>
            <w:hideMark/>
          </w:tcPr>
          <w:p w14:paraId="6806CF1E" w14:textId="77777777" w:rsidR="00BA7FD2" w:rsidRPr="00A32B35" w:rsidRDefault="00BA7FD2" w:rsidP="00506087">
            <w:pPr>
              <w:pStyle w:val="NormalWeb"/>
              <w:rPr>
                <w:sz w:val="18"/>
                <w:szCs w:val="18"/>
              </w:rPr>
            </w:pPr>
            <w:r w:rsidRPr="00A32B35">
              <w:rPr>
                <w:sz w:val="18"/>
                <w:szCs w:val="18"/>
              </w:rPr>
              <w:t>1.4%</w:t>
            </w:r>
          </w:p>
        </w:tc>
      </w:tr>
    </w:tbl>
    <w:p w14:paraId="2B5DC48E" w14:textId="77777777" w:rsidR="00BA7FD2" w:rsidRDefault="00BA7FD2" w:rsidP="00BA7FD2">
      <w:pPr>
        <w:pStyle w:val="CDIfootnotes"/>
        <w:divId w:val="568465116"/>
        <w:rPr>
          <w:lang w:val="en-GB"/>
        </w:rPr>
      </w:pPr>
      <w:proofErr w:type="gramStart"/>
      <w:r>
        <w:rPr>
          <w:lang w:val="en-GB"/>
        </w:rPr>
        <w:t>a</w:t>
      </w:r>
      <w:proofErr w:type="gramEnd"/>
      <w:r>
        <w:rPr>
          <w:lang w:val="en-GB"/>
        </w:rPr>
        <w:tab/>
        <w:t>Acquired either in Darwin region or East Arnhem region – both regions are part of the broader Top End of the Northern Territory.</w:t>
      </w:r>
    </w:p>
    <w:p w14:paraId="151AFD30" w14:textId="77777777" w:rsidR="003D5411" w:rsidRDefault="003D5411">
      <w:pPr>
        <w:rPr>
          <w:rFonts w:asciiTheme="majorHAnsi" w:eastAsiaTheme="majorEastAsia" w:hAnsiTheme="majorHAnsi" w:cstheme="majorBidi"/>
          <w:b/>
          <w:bCs/>
          <w:sz w:val="26"/>
          <w:szCs w:val="26"/>
        </w:rPr>
      </w:pPr>
      <w:r>
        <w:br w:type="page"/>
      </w:r>
    </w:p>
    <w:p w14:paraId="2F3092AB" w14:textId="6851619F" w:rsidR="00037054" w:rsidRPr="00EC4603" w:rsidRDefault="00037054" w:rsidP="00EC4603">
      <w:pPr>
        <w:pStyle w:val="Heading2"/>
        <w:divId w:val="568465116"/>
      </w:pPr>
      <w:r w:rsidRPr="00EC4603">
        <w:lastRenderedPageBreak/>
        <w:t xml:space="preserve">Cluster investigation – epidemiological, </w:t>
      </w:r>
      <w:proofErr w:type="gramStart"/>
      <w:r w:rsidRPr="00EC4603">
        <w:t>meteorological</w:t>
      </w:r>
      <w:proofErr w:type="gramEnd"/>
      <w:r w:rsidRPr="00EC4603">
        <w:t xml:space="preserve"> and environmental factors </w:t>
      </w:r>
    </w:p>
    <w:p w14:paraId="757777BE" w14:textId="77777777" w:rsidR="00037054" w:rsidRDefault="00037054" w:rsidP="00EC4603">
      <w:pPr>
        <w:divId w:val="568465116"/>
      </w:pPr>
      <w:r>
        <w:t>Three cases from 2022 met the cluster definition; all were male and non-</w:t>
      </w:r>
      <w:proofErr w:type="gramStart"/>
      <w:r>
        <w:t>Aboriginal</w:t>
      </w:r>
      <w:proofErr w:type="gramEnd"/>
      <w:r>
        <w:t xml:space="preserve"> and none had comorbidities. Two cases were </w:t>
      </w:r>
      <w:r w:rsidRPr="003F5899">
        <w:rPr>
          <w:rStyle w:val="Emphasis"/>
          <w:b w:val="0"/>
          <w:bCs w:val="0"/>
        </w:rPr>
        <w:t>L</w:t>
      </w:r>
      <w:r>
        <w:t xml:space="preserve">. </w:t>
      </w:r>
      <w:proofErr w:type="gramStart"/>
      <w:r>
        <w:t>Australis</w:t>
      </w:r>
      <w:proofErr w:type="gramEnd"/>
      <w:r>
        <w:t xml:space="preserve"> and one was </w:t>
      </w:r>
      <w:r w:rsidRPr="003F5899">
        <w:rPr>
          <w:rStyle w:val="Emphasis"/>
          <w:b w:val="0"/>
          <w:bCs w:val="0"/>
        </w:rPr>
        <w:t>L</w:t>
      </w:r>
      <w:r>
        <w:t xml:space="preserve">. Pomona. All had fever, myalgia, nausea, and vomiting; 2/3 (66.7%) had abdominal pain, diarrhoea, </w:t>
      </w:r>
      <w:proofErr w:type="gramStart"/>
      <w:r>
        <w:t>headaches</w:t>
      </w:r>
      <w:proofErr w:type="gramEnd"/>
      <w:r>
        <w:t xml:space="preserve"> and photophobia. All cases presented to hospital; two were admitted; none </w:t>
      </w:r>
      <w:proofErr w:type="gramStart"/>
      <w:r>
        <w:t>required</w:t>
      </w:r>
      <w:proofErr w:type="gramEnd"/>
      <w:r>
        <w:t xml:space="preserve"> intensive care admission; none died. </w:t>
      </w:r>
    </w:p>
    <w:p w14:paraId="0339BB20" w14:textId="77777777" w:rsidR="00037054" w:rsidRDefault="00037054" w:rsidP="00EC4603">
      <w:pPr>
        <w:divId w:val="568465116"/>
      </w:pPr>
      <w:r>
        <w:t>Analysis of risk factor information revealed that no cases took chemoprophylaxis; only one of the three cases reported wearing appropriate and full protective attire (that is, long pants, long sleeved shirt, eye protection, gloves and water proof socks); and all reported receiving limited to no education about personal protective measures from their workplaces. Each case was asked, as per standardised questionaire,</w:t>
      </w:r>
      <w:proofErr w:type="gramStart"/>
      <w:r>
        <w:rPr>
          <w:vertAlign w:val="superscript"/>
        </w:rPr>
        <w:t>13</w:t>
      </w:r>
      <w:proofErr w:type="gramEnd"/>
      <w:r>
        <w:t xml:space="preserve"> about co-workers or others with similar symptoms; in regard of this, they were all unaware of others with similar symptoms. There were no additional cases </w:t>
      </w:r>
      <w:proofErr w:type="gramStart"/>
      <w:r>
        <w:t>identified</w:t>
      </w:r>
      <w:proofErr w:type="gramEnd"/>
      <w:r>
        <w:t xml:space="preserve"> when interviewing these individuals. </w:t>
      </w:r>
    </w:p>
    <w:p w14:paraId="58CC5AEB" w14:textId="77777777" w:rsidR="00037054" w:rsidRDefault="00037054" w:rsidP="00EC4603">
      <w:pPr>
        <w:divId w:val="568465116"/>
      </w:pPr>
      <w:r>
        <w:t xml:space="preserve">Further information on cluster cases </w:t>
      </w:r>
      <w:proofErr w:type="gramStart"/>
      <w:r>
        <w:t>is presented</w:t>
      </w:r>
      <w:proofErr w:type="gramEnd"/>
      <w:r>
        <w:t xml:space="preserve"> in Table 2. </w:t>
      </w:r>
    </w:p>
    <w:p w14:paraId="32C8CE3A" w14:textId="77777777" w:rsidR="00037054" w:rsidRDefault="00037054" w:rsidP="00EC4603">
      <w:pPr>
        <w:divId w:val="568465116"/>
      </w:pPr>
      <w:r>
        <w:t xml:space="preserve">The three cases </w:t>
      </w:r>
      <w:proofErr w:type="gramStart"/>
      <w:r>
        <w:t>identified</w:t>
      </w:r>
      <w:proofErr w:type="gramEnd"/>
      <w:r>
        <w:t xml:space="preserve"> in the cluster worked, and likely acquired their infections, in an area less than 50 kilometres apart in the Darwin region. This area, denoted by the yellow circle in Figures 2 and 3, experienced higher than average rainfall for the wet season ending in February 2022 (Figure 2),</w:t>
      </w:r>
      <w:r>
        <w:rPr>
          <w:vertAlign w:val="superscript"/>
        </w:rPr>
        <w:t>14</w:t>
      </w:r>
      <w:r>
        <w:t xml:space="preserve"> as well as in December 2022 (Figure 3); rainfall in December 2022 was 109% above the 1961–1990 average</w:t>
      </w:r>
      <w:r>
        <w:rPr>
          <w:vertAlign w:val="superscript"/>
        </w:rPr>
        <w:t>15</w:t>
      </w:r>
      <w:r>
        <w:t xml:space="preserve"> and the eighth wettest December since records began in 1900.</w:t>
      </w:r>
      <w:r>
        <w:rPr>
          <w:vertAlign w:val="superscript"/>
        </w:rPr>
        <w:t>15</w:t>
      </w:r>
      <w:r>
        <w:t xml:space="preserve"> </w:t>
      </w:r>
    </w:p>
    <w:p w14:paraId="5C9C6448" w14:textId="77777777" w:rsidR="00037054" w:rsidRDefault="00037054" w:rsidP="00EC4603">
      <w:pPr>
        <w:divId w:val="568465116"/>
      </w:pPr>
      <w:r>
        <w:t>Native and introduced rats found in the region where the cluster cases were most likely to have acquired their infections, include black footed tree rats, black rats and dusky rats.</w:t>
      </w:r>
      <w:r>
        <w:rPr>
          <w:vertAlign w:val="superscript"/>
        </w:rPr>
        <w:t>17,18</w:t>
      </w:r>
      <w:r>
        <w:t xml:space="preserve"> Native and introduced rats residing in the Top End are known carriers of </w:t>
      </w:r>
      <w:r w:rsidRPr="003F5899">
        <w:rPr>
          <w:rStyle w:val="Emphasis"/>
          <w:b w:val="0"/>
          <w:bCs w:val="0"/>
        </w:rPr>
        <w:t>L</w:t>
      </w:r>
      <w:r>
        <w:t xml:space="preserve">. Australis as well as </w:t>
      </w:r>
      <w:r w:rsidRPr="003F5899">
        <w:rPr>
          <w:rStyle w:val="Emphasis"/>
          <w:b w:val="0"/>
          <w:bCs w:val="0"/>
        </w:rPr>
        <w:t>L</w:t>
      </w:r>
      <w:r>
        <w:t>. Pomona.</w:t>
      </w:r>
      <w:r>
        <w:rPr>
          <w:vertAlign w:val="superscript"/>
        </w:rPr>
        <w:t>7</w:t>
      </w:r>
      <w:r>
        <w:t xml:space="preserve"> For example, one abundant rodent species in the Top End, the rat </w:t>
      </w:r>
      <w:proofErr w:type="spellStart"/>
      <w:r w:rsidRPr="003F5899">
        <w:rPr>
          <w:rStyle w:val="Emphasis"/>
          <w:b w:val="0"/>
          <w:bCs w:val="0"/>
        </w:rPr>
        <w:t>Melomys</w:t>
      </w:r>
      <w:proofErr w:type="spellEnd"/>
      <w:r w:rsidRPr="003F5899">
        <w:rPr>
          <w:rStyle w:val="Emphasis"/>
          <w:b w:val="0"/>
          <w:bCs w:val="0"/>
        </w:rPr>
        <w:t xml:space="preserve"> burtoni</w:t>
      </w:r>
      <w:r>
        <w:t>,</w:t>
      </w:r>
      <w:r>
        <w:rPr>
          <w:vertAlign w:val="superscript"/>
        </w:rPr>
        <w:t>19</w:t>
      </w:r>
      <w:r>
        <w:t xml:space="preserve"> is a known carrier for </w:t>
      </w:r>
      <w:r w:rsidRPr="003F5899">
        <w:rPr>
          <w:rStyle w:val="Emphasis"/>
          <w:b w:val="0"/>
          <w:bCs w:val="0"/>
        </w:rPr>
        <w:t>L</w:t>
      </w:r>
      <w:r>
        <w:t>. Australis.</w:t>
      </w:r>
      <w:r>
        <w:rPr>
          <w:vertAlign w:val="superscript"/>
        </w:rPr>
        <w:t xml:space="preserve">7 </w:t>
      </w:r>
    </w:p>
    <w:p w14:paraId="76BFF67E" w14:textId="77777777" w:rsidR="00037054" w:rsidRPr="00EC4603" w:rsidRDefault="00037054" w:rsidP="00EC4603">
      <w:pPr>
        <w:pStyle w:val="Heading2"/>
        <w:divId w:val="568465116"/>
      </w:pPr>
      <w:r w:rsidRPr="00EC4603">
        <w:t xml:space="preserve">Public health response to cluster </w:t>
      </w:r>
    </w:p>
    <w:p w14:paraId="68BB6951" w14:textId="77777777" w:rsidR="00D72BC2" w:rsidRDefault="00037054" w:rsidP="00EC4603">
      <w:pPr>
        <w:divId w:val="568465116"/>
        <w:sectPr w:rsidR="00D72BC2"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r>
        <w:t xml:space="preserve">The cases and businesses involved </w:t>
      </w:r>
      <w:proofErr w:type="gramStart"/>
      <w:r>
        <w:t>were contacted</w:t>
      </w:r>
      <w:proofErr w:type="gramEnd"/>
      <w:r>
        <w:t xml:space="preserve"> and education on preventative public health measures was provided. Businesses were encouraged to </w:t>
      </w:r>
      <w:proofErr w:type="gramStart"/>
      <w:r>
        <w:t>provide</w:t>
      </w:r>
      <w:proofErr w:type="gramEnd"/>
      <w:r>
        <w:t xml:space="preserve"> regular training to their employees regarding leptospirosis prevention, such as the use of protective clothing and equipment. Written educational resources </w:t>
      </w:r>
      <w:proofErr w:type="gramStart"/>
      <w:r>
        <w:t>were distributed</w:t>
      </w:r>
      <w:proofErr w:type="gramEnd"/>
      <w:r>
        <w:t xml:space="preserve"> to the crocodile industry stakeholders involved in this cluster. </w:t>
      </w:r>
    </w:p>
    <w:p w14:paraId="094CF020" w14:textId="77777777" w:rsidR="00D72BC2" w:rsidRPr="00D712BE" w:rsidRDefault="00D72BC2" w:rsidP="00D72BC2">
      <w:pPr>
        <w:pStyle w:val="CDIFigures"/>
        <w:divId w:val="568465116"/>
      </w:pPr>
      <w:r w:rsidRPr="00D712BE">
        <w:rPr>
          <w:rStyle w:val="Strong"/>
          <w:b/>
          <w:bCs w:val="0"/>
        </w:rPr>
        <w:lastRenderedPageBreak/>
        <w:t>Table 2: Demographics, testing results, risk factor information and disease severity information for cluster of leptospirosis cases amongst crocodile workers, Northern Territory, Australia, 2022 (n = 3)</w:t>
      </w:r>
    </w:p>
    <w:tbl>
      <w:tblPr>
        <w:tblStyle w:val="CDI-StandardTable"/>
        <w:tblW w:w="0" w:type="auto"/>
        <w:tblCellMar>
          <w:top w:w="113" w:type="dxa"/>
          <w:bottom w:w="113" w:type="dxa"/>
        </w:tblCellMar>
        <w:tblLook w:val="04A0" w:firstRow="1" w:lastRow="0" w:firstColumn="1" w:lastColumn="0" w:noHBand="0" w:noVBand="1"/>
        <w:tblDescription w:val="Table 2. Demographics, testing results, risk factor information and disease severity information for cluster of leptospirosis cases amongst crocodile workers, Northern Territory, Australia, 2022 (n=3).&#10;&#10;Table 2 shows the demographics, serovar, risk factor information and disease severity information for cluster of leptospirosis cases amongst crocodile workers din the Northern Territory of Australia in 2022. Case 1 had an onset of illness in February 2022 and Case 2 and Case 3 had onset of illness in December 2022. All three had abrasions to their body and none reported wearing complete perdonal protective equipment. Case 1 was not admitted to hospital but lost 21 days of work/normal activity; Case 2 was hospitalised for 3 days and lost 10 days of work/normal activity; Case 3 was hospitalised for 1 day and lost 1 day of work/normal activity."/>
      </w:tblPr>
      <w:tblGrid>
        <w:gridCol w:w="3261"/>
        <w:gridCol w:w="3907"/>
        <w:gridCol w:w="3908"/>
        <w:gridCol w:w="3908"/>
      </w:tblGrid>
      <w:tr w:rsidR="00D72BC2" w:rsidRPr="006718E5" w14:paraId="0E6FD12F" w14:textId="77777777" w:rsidTr="00D72BC2">
        <w:trPr>
          <w:cnfStyle w:val="100000000000" w:firstRow="1" w:lastRow="0" w:firstColumn="0" w:lastColumn="0" w:oddVBand="0" w:evenVBand="0" w:oddHBand="0" w:evenHBand="0" w:firstRowFirstColumn="0" w:firstRowLastColumn="0" w:lastRowFirstColumn="0" w:lastRowLastColumn="0"/>
          <w:divId w:val="568465116"/>
          <w:tblHeader/>
        </w:trPr>
        <w:tc>
          <w:tcPr>
            <w:tcW w:w="3261" w:type="dxa"/>
            <w:vAlign w:val="top"/>
            <w:hideMark/>
          </w:tcPr>
          <w:p w14:paraId="67A4AB47" w14:textId="77777777" w:rsidR="00D72BC2" w:rsidRPr="006718E5" w:rsidRDefault="00D72BC2" w:rsidP="00D72BC2">
            <w:pPr>
              <w:pStyle w:val="NormalWeb"/>
              <w:jc w:val="left"/>
              <w:rPr>
                <w:sz w:val="18"/>
                <w:szCs w:val="18"/>
              </w:rPr>
            </w:pPr>
            <w:r w:rsidRPr="006718E5">
              <w:rPr>
                <w:sz w:val="18"/>
                <w:szCs w:val="18"/>
              </w:rPr>
              <w:t>Characteristic</w:t>
            </w:r>
          </w:p>
        </w:tc>
        <w:tc>
          <w:tcPr>
            <w:tcW w:w="3907" w:type="dxa"/>
            <w:vAlign w:val="top"/>
            <w:hideMark/>
          </w:tcPr>
          <w:p w14:paraId="334BB0B7" w14:textId="77777777" w:rsidR="00D72BC2" w:rsidRPr="006718E5" w:rsidRDefault="00D72BC2" w:rsidP="00D72BC2">
            <w:pPr>
              <w:pStyle w:val="NormalWeb"/>
              <w:jc w:val="left"/>
              <w:rPr>
                <w:sz w:val="18"/>
                <w:szCs w:val="18"/>
              </w:rPr>
            </w:pPr>
            <w:r w:rsidRPr="006718E5">
              <w:rPr>
                <w:sz w:val="18"/>
                <w:szCs w:val="18"/>
              </w:rPr>
              <w:t xml:space="preserve">Case </w:t>
            </w:r>
            <w:proofErr w:type="gramStart"/>
            <w:r w:rsidRPr="006718E5">
              <w:rPr>
                <w:sz w:val="18"/>
                <w:szCs w:val="18"/>
              </w:rPr>
              <w:t>1</w:t>
            </w:r>
            <w:proofErr w:type="gramEnd"/>
          </w:p>
        </w:tc>
        <w:tc>
          <w:tcPr>
            <w:tcW w:w="3908" w:type="dxa"/>
            <w:vAlign w:val="top"/>
            <w:hideMark/>
          </w:tcPr>
          <w:p w14:paraId="79C721DC" w14:textId="77777777" w:rsidR="00D72BC2" w:rsidRPr="006718E5" w:rsidRDefault="00D72BC2" w:rsidP="00D72BC2">
            <w:pPr>
              <w:pStyle w:val="NormalWeb"/>
              <w:jc w:val="left"/>
              <w:rPr>
                <w:sz w:val="18"/>
                <w:szCs w:val="18"/>
              </w:rPr>
            </w:pPr>
            <w:r w:rsidRPr="006718E5">
              <w:rPr>
                <w:sz w:val="18"/>
                <w:szCs w:val="18"/>
              </w:rPr>
              <w:t xml:space="preserve">Case </w:t>
            </w:r>
            <w:proofErr w:type="gramStart"/>
            <w:r w:rsidRPr="006718E5">
              <w:rPr>
                <w:sz w:val="18"/>
                <w:szCs w:val="18"/>
              </w:rPr>
              <w:t>2</w:t>
            </w:r>
            <w:proofErr w:type="gramEnd"/>
          </w:p>
        </w:tc>
        <w:tc>
          <w:tcPr>
            <w:tcW w:w="3908" w:type="dxa"/>
            <w:vAlign w:val="top"/>
            <w:hideMark/>
          </w:tcPr>
          <w:p w14:paraId="676AFCC4" w14:textId="77777777" w:rsidR="00D72BC2" w:rsidRPr="006718E5" w:rsidRDefault="00D72BC2" w:rsidP="00D72BC2">
            <w:pPr>
              <w:pStyle w:val="NormalWeb"/>
              <w:jc w:val="left"/>
              <w:rPr>
                <w:sz w:val="18"/>
                <w:szCs w:val="18"/>
              </w:rPr>
            </w:pPr>
            <w:r w:rsidRPr="006718E5">
              <w:rPr>
                <w:sz w:val="18"/>
                <w:szCs w:val="18"/>
              </w:rPr>
              <w:t xml:space="preserve">Case </w:t>
            </w:r>
            <w:proofErr w:type="gramStart"/>
            <w:r w:rsidRPr="006718E5">
              <w:rPr>
                <w:sz w:val="18"/>
                <w:szCs w:val="18"/>
              </w:rPr>
              <w:t>3</w:t>
            </w:r>
            <w:proofErr w:type="gramEnd"/>
          </w:p>
        </w:tc>
      </w:tr>
      <w:tr w:rsidR="00D72BC2" w:rsidRPr="006718E5" w14:paraId="47003512" w14:textId="77777777" w:rsidTr="00D72BC2">
        <w:trPr>
          <w:divId w:val="568465116"/>
        </w:trPr>
        <w:tc>
          <w:tcPr>
            <w:tcW w:w="3261" w:type="dxa"/>
            <w:vAlign w:val="top"/>
            <w:hideMark/>
          </w:tcPr>
          <w:p w14:paraId="72B8B3B7" w14:textId="77777777" w:rsidR="00D72BC2" w:rsidRPr="006718E5" w:rsidRDefault="00D72BC2" w:rsidP="00D72BC2">
            <w:pPr>
              <w:pStyle w:val="NormalWeb"/>
              <w:jc w:val="left"/>
              <w:rPr>
                <w:sz w:val="18"/>
                <w:szCs w:val="18"/>
              </w:rPr>
            </w:pPr>
            <w:r w:rsidRPr="006718E5">
              <w:rPr>
                <w:sz w:val="18"/>
                <w:szCs w:val="18"/>
              </w:rPr>
              <w:t>Onset date</w:t>
            </w:r>
          </w:p>
        </w:tc>
        <w:tc>
          <w:tcPr>
            <w:tcW w:w="3907" w:type="dxa"/>
            <w:vAlign w:val="top"/>
            <w:hideMark/>
          </w:tcPr>
          <w:p w14:paraId="32D363CD" w14:textId="77777777" w:rsidR="00D72BC2" w:rsidRPr="006718E5" w:rsidRDefault="00D72BC2" w:rsidP="00D72BC2">
            <w:pPr>
              <w:pStyle w:val="NormalWeb"/>
              <w:jc w:val="left"/>
              <w:rPr>
                <w:sz w:val="18"/>
                <w:szCs w:val="18"/>
              </w:rPr>
            </w:pPr>
            <w:r w:rsidRPr="006718E5">
              <w:rPr>
                <w:sz w:val="18"/>
                <w:szCs w:val="18"/>
              </w:rPr>
              <w:t>21 February 2022</w:t>
            </w:r>
          </w:p>
        </w:tc>
        <w:tc>
          <w:tcPr>
            <w:tcW w:w="3908" w:type="dxa"/>
            <w:vAlign w:val="top"/>
            <w:hideMark/>
          </w:tcPr>
          <w:p w14:paraId="72A86DBC" w14:textId="77777777" w:rsidR="00D72BC2" w:rsidRPr="006718E5" w:rsidRDefault="00D72BC2" w:rsidP="00D72BC2">
            <w:pPr>
              <w:pStyle w:val="NormalWeb"/>
              <w:jc w:val="left"/>
              <w:rPr>
                <w:sz w:val="18"/>
                <w:szCs w:val="18"/>
              </w:rPr>
            </w:pPr>
            <w:r w:rsidRPr="006718E5">
              <w:rPr>
                <w:sz w:val="18"/>
                <w:szCs w:val="18"/>
              </w:rPr>
              <w:t>25 December 2022</w:t>
            </w:r>
          </w:p>
        </w:tc>
        <w:tc>
          <w:tcPr>
            <w:tcW w:w="3908" w:type="dxa"/>
            <w:vAlign w:val="top"/>
            <w:hideMark/>
          </w:tcPr>
          <w:p w14:paraId="4286C354" w14:textId="77777777" w:rsidR="00D72BC2" w:rsidRPr="006718E5" w:rsidRDefault="00D72BC2" w:rsidP="00D72BC2">
            <w:pPr>
              <w:pStyle w:val="NormalWeb"/>
              <w:jc w:val="left"/>
              <w:rPr>
                <w:sz w:val="18"/>
                <w:szCs w:val="18"/>
              </w:rPr>
            </w:pPr>
            <w:r w:rsidRPr="006718E5">
              <w:rPr>
                <w:sz w:val="18"/>
                <w:szCs w:val="18"/>
              </w:rPr>
              <w:t>26 December 2022</w:t>
            </w:r>
          </w:p>
        </w:tc>
      </w:tr>
      <w:tr w:rsidR="00D72BC2" w:rsidRPr="006718E5" w14:paraId="34EAA8E4" w14:textId="77777777" w:rsidTr="00D72BC2">
        <w:trPr>
          <w:cnfStyle w:val="000000010000" w:firstRow="0" w:lastRow="0" w:firstColumn="0" w:lastColumn="0" w:oddVBand="0" w:evenVBand="0" w:oddHBand="0" w:evenHBand="1" w:firstRowFirstColumn="0" w:firstRowLastColumn="0" w:lastRowFirstColumn="0" w:lastRowLastColumn="0"/>
          <w:divId w:val="568465116"/>
        </w:trPr>
        <w:tc>
          <w:tcPr>
            <w:tcW w:w="3261" w:type="dxa"/>
            <w:vAlign w:val="top"/>
            <w:hideMark/>
          </w:tcPr>
          <w:p w14:paraId="6E00DF49" w14:textId="77777777" w:rsidR="00D72BC2" w:rsidRPr="006718E5" w:rsidRDefault="00D72BC2" w:rsidP="00D72BC2">
            <w:pPr>
              <w:pStyle w:val="NormalWeb"/>
              <w:jc w:val="left"/>
              <w:rPr>
                <w:sz w:val="18"/>
                <w:szCs w:val="18"/>
              </w:rPr>
            </w:pPr>
            <w:r w:rsidRPr="006718E5">
              <w:rPr>
                <w:sz w:val="18"/>
                <w:szCs w:val="18"/>
              </w:rPr>
              <w:t>Test dates and results</w:t>
            </w:r>
            <w:r>
              <w:rPr>
                <w:sz w:val="18"/>
                <w:szCs w:val="18"/>
              </w:rPr>
              <w:t xml:space="preserve"> </w:t>
            </w:r>
            <w:r w:rsidRPr="00314C4B">
              <w:rPr>
                <w:sz w:val="18"/>
                <w:szCs w:val="18"/>
                <w:vertAlign w:val="superscript"/>
              </w:rPr>
              <w:t>a</w:t>
            </w:r>
          </w:p>
        </w:tc>
        <w:tc>
          <w:tcPr>
            <w:tcW w:w="3907" w:type="dxa"/>
            <w:vAlign w:val="top"/>
            <w:hideMark/>
          </w:tcPr>
          <w:p w14:paraId="603246FA" w14:textId="0E477FEB" w:rsidR="00D72BC2" w:rsidRPr="006718E5" w:rsidRDefault="00D72BC2" w:rsidP="00D72BC2">
            <w:pPr>
              <w:pStyle w:val="NormalWeb"/>
              <w:jc w:val="left"/>
              <w:rPr>
                <w:sz w:val="18"/>
                <w:szCs w:val="18"/>
              </w:rPr>
            </w:pPr>
            <w:r w:rsidRPr="006718E5">
              <w:rPr>
                <w:sz w:val="18"/>
                <w:szCs w:val="18"/>
              </w:rPr>
              <w:t>2 March 2022: MAT Pomona 400</w:t>
            </w:r>
            <w:r w:rsidR="00B91544">
              <w:rPr>
                <w:sz w:val="18"/>
                <w:szCs w:val="18"/>
              </w:rPr>
              <w:br/>
            </w:r>
            <w:r w:rsidRPr="006718E5">
              <w:rPr>
                <w:sz w:val="18"/>
                <w:szCs w:val="18"/>
              </w:rPr>
              <w:t>17 March 2022: MAT Pomona 3200</w:t>
            </w:r>
          </w:p>
        </w:tc>
        <w:tc>
          <w:tcPr>
            <w:tcW w:w="3908" w:type="dxa"/>
            <w:vAlign w:val="top"/>
            <w:hideMark/>
          </w:tcPr>
          <w:p w14:paraId="54AD7CF8" w14:textId="575119D9" w:rsidR="00D72BC2" w:rsidRPr="006718E5" w:rsidRDefault="00D72BC2" w:rsidP="00D72BC2">
            <w:pPr>
              <w:pStyle w:val="NormalWeb"/>
              <w:jc w:val="left"/>
              <w:rPr>
                <w:sz w:val="18"/>
                <w:szCs w:val="18"/>
              </w:rPr>
            </w:pPr>
            <w:r w:rsidRPr="006718E5">
              <w:rPr>
                <w:sz w:val="18"/>
                <w:szCs w:val="18"/>
              </w:rPr>
              <w:t>28 December 2022: PCR positive</w:t>
            </w:r>
            <w:r w:rsidR="00B91544">
              <w:rPr>
                <w:sz w:val="18"/>
                <w:szCs w:val="18"/>
              </w:rPr>
              <w:br/>
            </w:r>
            <w:r w:rsidRPr="006718E5">
              <w:rPr>
                <w:sz w:val="18"/>
                <w:szCs w:val="18"/>
              </w:rPr>
              <w:t>12 January 2023: MAT Australis 800</w:t>
            </w:r>
          </w:p>
        </w:tc>
        <w:tc>
          <w:tcPr>
            <w:tcW w:w="3908" w:type="dxa"/>
            <w:vAlign w:val="top"/>
            <w:hideMark/>
          </w:tcPr>
          <w:p w14:paraId="7F2B2300" w14:textId="4F0FF89E" w:rsidR="00D72BC2" w:rsidRPr="006718E5" w:rsidRDefault="00D72BC2" w:rsidP="00D72BC2">
            <w:pPr>
              <w:pStyle w:val="NormalWeb"/>
              <w:jc w:val="left"/>
              <w:rPr>
                <w:sz w:val="18"/>
                <w:szCs w:val="18"/>
              </w:rPr>
            </w:pPr>
            <w:r w:rsidRPr="006718E5">
              <w:rPr>
                <w:sz w:val="18"/>
                <w:szCs w:val="18"/>
              </w:rPr>
              <w:t>1 January 2023: PCR negative</w:t>
            </w:r>
            <w:r w:rsidR="00B91544">
              <w:rPr>
                <w:sz w:val="18"/>
                <w:szCs w:val="18"/>
              </w:rPr>
              <w:br/>
            </w:r>
            <w:r w:rsidRPr="006718E5">
              <w:rPr>
                <w:sz w:val="18"/>
                <w:szCs w:val="18"/>
              </w:rPr>
              <w:t>1 January 2023: MAT Australis 800</w:t>
            </w:r>
          </w:p>
        </w:tc>
      </w:tr>
      <w:tr w:rsidR="00D72BC2" w:rsidRPr="006718E5" w14:paraId="6E3DD503" w14:textId="77777777" w:rsidTr="00D72BC2">
        <w:trPr>
          <w:divId w:val="568465116"/>
        </w:trPr>
        <w:tc>
          <w:tcPr>
            <w:tcW w:w="3261" w:type="dxa"/>
            <w:vAlign w:val="top"/>
            <w:hideMark/>
          </w:tcPr>
          <w:p w14:paraId="295E1044" w14:textId="77777777" w:rsidR="00D72BC2" w:rsidRPr="006718E5" w:rsidRDefault="00D72BC2" w:rsidP="00D72BC2">
            <w:pPr>
              <w:pStyle w:val="NormalWeb"/>
              <w:jc w:val="left"/>
              <w:rPr>
                <w:sz w:val="18"/>
                <w:szCs w:val="18"/>
              </w:rPr>
            </w:pPr>
            <w:r w:rsidRPr="006718E5">
              <w:rPr>
                <w:sz w:val="18"/>
                <w:szCs w:val="18"/>
              </w:rPr>
              <w:t>Age range</w:t>
            </w:r>
          </w:p>
        </w:tc>
        <w:tc>
          <w:tcPr>
            <w:tcW w:w="3907" w:type="dxa"/>
            <w:vAlign w:val="top"/>
            <w:hideMark/>
          </w:tcPr>
          <w:p w14:paraId="18A2C797" w14:textId="77777777" w:rsidR="00D72BC2" w:rsidRPr="006718E5" w:rsidRDefault="00D72BC2" w:rsidP="00D72BC2">
            <w:pPr>
              <w:pStyle w:val="NormalWeb"/>
              <w:jc w:val="left"/>
              <w:rPr>
                <w:sz w:val="18"/>
                <w:szCs w:val="18"/>
              </w:rPr>
            </w:pPr>
            <w:r w:rsidRPr="006718E5">
              <w:rPr>
                <w:sz w:val="18"/>
                <w:szCs w:val="18"/>
              </w:rPr>
              <w:t>60–70 years</w:t>
            </w:r>
          </w:p>
        </w:tc>
        <w:tc>
          <w:tcPr>
            <w:tcW w:w="3908" w:type="dxa"/>
            <w:vAlign w:val="top"/>
            <w:hideMark/>
          </w:tcPr>
          <w:p w14:paraId="37CF98E3" w14:textId="77777777" w:rsidR="00D72BC2" w:rsidRPr="006718E5" w:rsidRDefault="00D72BC2" w:rsidP="00D72BC2">
            <w:pPr>
              <w:pStyle w:val="NormalWeb"/>
              <w:jc w:val="left"/>
              <w:rPr>
                <w:sz w:val="18"/>
                <w:szCs w:val="18"/>
              </w:rPr>
            </w:pPr>
            <w:r w:rsidRPr="006718E5">
              <w:rPr>
                <w:sz w:val="18"/>
                <w:szCs w:val="18"/>
              </w:rPr>
              <w:t>20–30 years</w:t>
            </w:r>
          </w:p>
        </w:tc>
        <w:tc>
          <w:tcPr>
            <w:tcW w:w="3908" w:type="dxa"/>
            <w:vAlign w:val="top"/>
            <w:hideMark/>
          </w:tcPr>
          <w:p w14:paraId="32291CAD" w14:textId="77777777" w:rsidR="00D72BC2" w:rsidRPr="006718E5" w:rsidRDefault="00D72BC2" w:rsidP="00D72BC2">
            <w:pPr>
              <w:pStyle w:val="NormalWeb"/>
              <w:jc w:val="left"/>
              <w:rPr>
                <w:sz w:val="18"/>
                <w:szCs w:val="18"/>
              </w:rPr>
            </w:pPr>
            <w:r w:rsidRPr="006718E5">
              <w:rPr>
                <w:sz w:val="18"/>
                <w:szCs w:val="18"/>
              </w:rPr>
              <w:t>30–40 years</w:t>
            </w:r>
          </w:p>
        </w:tc>
      </w:tr>
      <w:tr w:rsidR="00D72BC2" w:rsidRPr="006718E5" w14:paraId="16F80366" w14:textId="77777777" w:rsidTr="00D72BC2">
        <w:trPr>
          <w:cnfStyle w:val="000000010000" w:firstRow="0" w:lastRow="0" w:firstColumn="0" w:lastColumn="0" w:oddVBand="0" w:evenVBand="0" w:oddHBand="0" w:evenHBand="1" w:firstRowFirstColumn="0" w:firstRowLastColumn="0" w:lastRowFirstColumn="0" w:lastRowLastColumn="0"/>
          <w:divId w:val="568465116"/>
        </w:trPr>
        <w:tc>
          <w:tcPr>
            <w:tcW w:w="3261" w:type="dxa"/>
            <w:vAlign w:val="top"/>
            <w:hideMark/>
          </w:tcPr>
          <w:p w14:paraId="5521CED2" w14:textId="77777777" w:rsidR="00D72BC2" w:rsidRPr="006718E5" w:rsidRDefault="00D72BC2" w:rsidP="00D72BC2">
            <w:pPr>
              <w:pStyle w:val="NormalWeb"/>
              <w:jc w:val="left"/>
              <w:rPr>
                <w:sz w:val="18"/>
                <w:szCs w:val="18"/>
              </w:rPr>
            </w:pPr>
            <w:r w:rsidRPr="006718E5">
              <w:rPr>
                <w:sz w:val="18"/>
                <w:szCs w:val="18"/>
              </w:rPr>
              <w:t>Serovar</w:t>
            </w:r>
          </w:p>
        </w:tc>
        <w:tc>
          <w:tcPr>
            <w:tcW w:w="3907" w:type="dxa"/>
            <w:vAlign w:val="top"/>
            <w:hideMark/>
          </w:tcPr>
          <w:p w14:paraId="0D083C83" w14:textId="77777777" w:rsidR="00D72BC2" w:rsidRPr="006718E5" w:rsidRDefault="00D72BC2" w:rsidP="00D72BC2">
            <w:pPr>
              <w:pStyle w:val="NormalWeb"/>
              <w:jc w:val="left"/>
              <w:rPr>
                <w:sz w:val="18"/>
                <w:szCs w:val="18"/>
              </w:rPr>
            </w:pPr>
            <w:r w:rsidRPr="006718E5">
              <w:rPr>
                <w:sz w:val="18"/>
                <w:szCs w:val="18"/>
              </w:rPr>
              <w:t>Pomona</w:t>
            </w:r>
          </w:p>
        </w:tc>
        <w:tc>
          <w:tcPr>
            <w:tcW w:w="3908" w:type="dxa"/>
            <w:vAlign w:val="top"/>
            <w:hideMark/>
          </w:tcPr>
          <w:p w14:paraId="1006287D" w14:textId="77777777" w:rsidR="00D72BC2" w:rsidRPr="006718E5" w:rsidRDefault="00D72BC2" w:rsidP="00D72BC2">
            <w:pPr>
              <w:pStyle w:val="NormalWeb"/>
              <w:jc w:val="left"/>
              <w:rPr>
                <w:sz w:val="18"/>
                <w:szCs w:val="18"/>
              </w:rPr>
            </w:pPr>
            <w:r w:rsidRPr="006718E5">
              <w:rPr>
                <w:sz w:val="18"/>
                <w:szCs w:val="18"/>
              </w:rPr>
              <w:t>Australis</w:t>
            </w:r>
          </w:p>
        </w:tc>
        <w:tc>
          <w:tcPr>
            <w:tcW w:w="3908" w:type="dxa"/>
            <w:vAlign w:val="top"/>
            <w:hideMark/>
          </w:tcPr>
          <w:p w14:paraId="574BEE0B" w14:textId="77777777" w:rsidR="00D72BC2" w:rsidRPr="006718E5" w:rsidRDefault="00D72BC2" w:rsidP="00D72BC2">
            <w:pPr>
              <w:pStyle w:val="NormalWeb"/>
              <w:jc w:val="left"/>
              <w:rPr>
                <w:sz w:val="18"/>
                <w:szCs w:val="18"/>
              </w:rPr>
            </w:pPr>
            <w:r w:rsidRPr="006718E5">
              <w:rPr>
                <w:sz w:val="18"/>
                <w:szCs w:val="18"/>
              </w:rPr>
              <w:t>Australis</w:t>
            </w:r>
          </w:p>
        </w:tc>
      </w:tr>
      <w:tr w:rsidR="00D72BC2" w:rsidRPr="006718E5" w14:paraId="5737E222" w14:textId="77777777" w:rsidTr="00D72BC2">
        <w:trPr>
          <w:divId w:val="568465116"/>
        </w:trPr>
        <w:tc>
          <w:tcPr>
            <w:tcW w:w="3261" w:type="dxa"/>
            <w:vAlign w:val="top"/>
            <w:hideMark/>
          </w:tcPr>
          <w:p w14:paraId="43A72D02" w14:textId="77777777" w:rsidR="00D72BC2" w:rsidRPr="006718E5" w:rsidRDefault="00D72BC2" w:rsidP="00D72BC2">
            <w:pPr>
              <w:pStyle w:val="NormalWeb"/>
              <w:jc w:val="left"/>
              <w:rPr>
                <w:sz w:val="18"/>
                <w:szCs w:val="18"/>
              </w:rPr>
            </w:pPr>
            <w:r w:rsidRPr="006718E5">
              <w:rPr>
                <w:sz w:val="18"/>
                <w:szCs w:val="18"/>
              </w:rPr>
              <w:t>Occupation</w:t>
            </w:r>
          </w:p>
        </w:tc>
        <w:tc>
          <w:tcPr>
            <w:tcW w:w="3907" w:type="dxa"/>
            <w:vAlign w:val="top"/>
            <w:hideMark/>
          </w:tcPr>
          <w:p w14:paraId="7F766E1B" w14:textId="77777777" w:rsidR="00D72BC2" w:rsidRPr="006718E5" w:rsidRDefault="00D72BC2" w:rsidP="00D72BC2">
            <w:pPr>
              <w:pStyle w:val="NormalWeb"/>
              <w:jc w:val="left"/>
              <w:rPr>
                <w:sz w:val="18"/>
                <w:szCs w:val="18"/>
              </w:rPr>
            </w:pPr>
            <w:r w:rsidRPr="006718E5">
              <w:rPr>
                <w:sz w:val="18"/>
                <w:szCs w:val="18"/>
              </w:rPr>
              <w:t xml:space="preserve">Worked on a fish farm; </w:t>
            </w:r>
            <w:proofErr w:type="gramStart"/>
            <w:r w:rsidRPr="006718E5">
              <w:rPr>
                <w:sz w:val="18"/>
                <w:szCs w:val="18"/>
              </w:rPr>
              <w:t>duties included</w:t>
            </w:r>
            <w:proofErr w:type="gramEnd"/>
            <w:r w:rsidRPr="006718E5">
              <w:rPr>
                <w:sz w:val="18"/>
                <w:szCs w:val="18"/>
              </w:rPr>
              <w:t xml:space="preserve"> crocodile management including trapping; trapped crocodile in week prior to onset of symptoms</w:t>
            </w:r>
          </w:p>
        </w:tc>
        <w:tc>
          <w:tcPr>
            <w:tcW w:w="3908" w:type="dxa"/>
            <w:vAlign w:val="top"/>
            <w:hideMark/>
          </w:tcPr>
          <w:p w14:paraId="7D6AED7A" w14:textId="77777777" w:rsidR="00D72BC2" w:rsidRPr="006718E5" w:rsidRDefault="00D72BC2" w:rsidP="00D72BC2">
            <w:pPr>
              <w:pStyle w:val="NormalWeb"/>
              <w:jc w:val="left"/>
              <w:rPr>
                <w:sz w:val="18"/>
                <w:szCs w:val="18"/>
              </w:rPr>
            </w:pPr>
            <w:r w:rsidRPr="006718E5">
              <w:rPr>
                <w:sz w:val="18"/>
                <w:szCs w:val="18"/>
              </w:rPr>
              <w:t>Crocodile egg collector</w:t>
            </w:r>
          </w:p>
        </w:tc>
        <w:tc>
          <w:tcPr>
            <w:tcW w:w="3908" w:type="dxa"/>
            <w:vAlign w:val="top"/>
            <w:hideMark/>
          </w:tcPr>
          <w:p w14:paraId="0A256247" w14:textId="77777777" w:rsidR="00D72BC2" w:rsidRPr="006718E5" w:rsidRDefault="00D72BC2" w:rsidP="00D72BC2">
            <w:pPr>
              <w:pStyle w:val="NormalWeb"/>
              <w:jc w:val="left"/>
              <w:rPr>
                <w:sz w:val="18"/>
                <w:szCs w:val="18"/>
              </w:rPr>
            </w:pPr>
            <w:r w:rsidRPr="006718E5">
              <w:rPr>
                <w:sz w:val="18"/>
                <w:szCs w:val="18"/>
              </w:rPr>
              <w:t>Crocodile handler at a commercial facility; bitten by crocodile in the week prior to onset of symptoms</w:t>
            </w:r>
          </w:p>
        </w:tc>
      </w:tr>
      <w:tr w:rsidR="00D72BC2" w:rsidRPr="006718E5" w14:paraId="128FF287" w14:textId="77777777" w:rsidTr="00D72BC2">
        <w:trPr>
          <w:cnfStyle w:val="000000010000" w:firstRow="0" w:lastRow="0" w:firstColumn="0" w:lastColumn="0" w:oddVBand="0" w:evenVBand="0" w:oddHBand="0" w:evenHBand="1" w:firstRowFirstColumn="0" w:firstRowLastColumn="0" w:lastRowFirstColumn="0" w:lastRowLastColumn="0"/>
          <w:divId w:val="568465116"/>
        </w:trPr>
        <w:tc>
          <w:tcPr>
            <w:tcW w:w="3261" w:type="dxa"/>
            <w:vAlign w:val="top"/>
            <w:hideMark/>
          </w:tcPr>
          <w:p w14:paraId="15EB0FDD" w14:textId="77777777" w:rsidR="00D72BC2" w:rsidRPr="006718E5" w:rsidRDefault="00D72BC2" w:rsidP="00D72BC2">
            <w:pPr>
              <w:pStyle w:val="NormalWeb"/>
              <w:jc w:val="left"/>
              <w:rPr>
                <w:sz w:val="18"/>
                <w:szCs w:val="18"/>
              </w:rPr>
            </w:pPr>
            <w:r w:rsidRPr="006718E5">
              <w:rPr>
                <w:sz w:val="18"/>
                <w:szCs w:val="18"/>
              </w:rPr>
              <w:t>Skin integrity</w:t>
            </w:r>
          </w:p>
        </w:tc>
        <w:tc>
          <w:tcPr>
            <w:tcW w:w="3907" w:type="dxa"/>
            <w:vAlign w:val="top"/>
            <w:hideMark/>
          </w:tcPr>
          <w:p w14:paraId="75CC5F22" w14:textId="77777777" w:rsidR="00D72BC2" w:rsidRPr="006718E5" w:rsidRDefault="00D72BC2" w:rsidP="00D72BC2">
            <w:pPr>
              <w:pStyle w:val="NormalWeb"/>
              <w:jc w:val="left"/>
              <w:rPr>
                <w:sz w:val="18"/>
                <w:szCs w:val="18"/>
              </w:rPr>
            </w:pPr>
            <w:r w:rsidRPr="006718E5">
              <w:rPr>
                <w:sz w:val="18"/>
                <w:szCs w:val="18"/>
              </w:rPr>
              <w:t>Minor cuts and abrasions to legs</w:t>
            </w:r>
          </w:p>
        </w:tc>
        <w:tc>
          <w:tcPr>
            <w:tcW w:w="3908" w:type="dxa"/>
            <w:vAlign w:val="top"/>
            <w:hideMark/>
          </w:tcPr>
          <w:p w14:paraId="3C6A90FD" w14:textId="77777777" w:rsidR="00D72BC2" w:rsidRPr="006718E5" w:rsidRDefault="00D72BC2" w:rsidP="00D72BC2">
            <w:pPr>
              <w:pStyle w:val="NormalWeb"/>
              <w:jc w:val="left"/>
              <w:rPr>
                <w:sz w:val="18"/>
                <w:szCs w:val="18"/>
              </w:rPr>
            </w:pPr>
            <w:r w:rsidRPr="006718E5">
              <w:rPr>
                <w:sz w:val="18"/>
                <w:szCs w:val="18"/>
              </w:rPr>
              <w:t>Cuts, insect bites and abrasions to skin on arms and legs</w:t>
            </w:r>
          </w:p>
        </w:tc>
        <w:tc>
          <w:tcPr>
            <w:tcW w:w="3908" w:type="dxa"/>
            <w:vAlign w:val="top"/>
            <w:hideMark/>
          </w:tcPr>
          <w:p w14:paraId="5F491AA4" w14:textId="77777777" w:rsidR="00D72BC2" w:rsidRPr="006718E5" w:rsidRDefault="00D72BC2" w:rsidP="00D72BC2">
            <w:pPr>
              <w:pStyle w:val="NormalWeb"/>
              <w:jc w:val="left"/>
              <w:rPr>
                <w:sz w:val="18"/>
                <w:szCs w:val="18"/>
              </w:rPr>
            </w:pPr>
            <w:r w:rsidRPr="006718E5">
              <w:rPr>
                <w:sz w:val="18"/>
                <w:szCs w:val="18"/>
              </w:rPr>
              <w:t>Crocodile bite</w:t>
            </w:r>
          </w:p>
        </w:tc>
      </w:tr>
      <w:tr w:rsidR="00D72BC2" w:rsidRPr="006718E5" w14:paraId="58370434" w14:textId="77777777" w:rsidTr="00D72BC2">
        <w:trPr>
          <w:divId w:val="568465116"/>
        </w:trPr>
        <w:tc>
          <w:tcPr>
            <w:tcW w:w="3261" w:type="dxa"/>
            <w:vAlign w:val="top"/>
            <w:hideMark/>
          </w:tcPr>
          <w:p w14:paraId="3757DC91" w14:textId="77777777" w:rsidR="00D72BC2" w:rsidRPr="006718E5" w:rsidRDefault="00D72BC2" w:rsidP="00D72BC2">
            <w:pPr>
              <w:pStyle w:val="NormalWeb"/>
              <w:jc w:val="left"/>
              <w:rPr>
                <w:sz w:val="18"/>
                <w:szCs w:val="18"/>
              </w:rPr>
            </w:pPr>
            <w:r w:rsidRPr="006718E5">
              <w:rPr>
                <w:sz w:val="18"/>
                <w:szCs w:val="18"/>
              </w:rPr>
              <w:t xml:space="preserve">Protective equipment </w:t>
            </w:r>
            <w:proofErr w:type="gramStart"/>
            <w:r w:rsidRPr="006718E5">
              <w:rPr>
                <w:sz w:val="18"/>
                <w:szCs w:val="18"/>
              </w:rPr>
              <w:t>utilised</w:t>
            </w:r>
            <w:proofErr w:type="gramEnd"/>
          </w:p>
        </w:tc>
        <w:tc>
          <w:tcPr>
            <w:tcW w:w="3907" w:type="dxa"/>
            <w:vAlign w:val="top"/>
            <w:hideMark/>
          </w:tcPr>
          <w:p w14:paraId="40B57101" w14:textId="77777777" w:rsidR="00D72BC2" w:rsidRPr="006718E5" w:rsidRDefault="00D72BC2" w:rsidP="00D72BC2">
            <w:pPr>
              <w:pStyle w:val="NormalWeb"/>
              <w:jc w:val="left"/>
              <w:rPr>
                <w:sz w:val="18"/>
                <w:szCs w:val="18"/>
              </w:rPr>
            </w:pPr>
            <w:r w:rsidRPr="006718E5">
              <w:rPr>
                <w:sz w:val="18"/>
                <w:szCs w:val="18"/>
              </w:rPr>
              <w:t>Long sleeve shirt only</w:t>
            </w:r>
          </w:p>
        </w:tc>
        <w:tc>
          <w:tcPr>
            <w:tcW w:w="3908" w:type="dxa"/>
            <w:vAlign w:val="top"/>
            <w:hideMark/>
          </w:tcPr>
          <w:p w14:paraId="0BBD1466" w14:textId="77777777" w:rsidR="00D72BC2" w:rsidRPr="006718E5" w:rsidRDefault="00D72BC2" w:rsidP="00D72BC2">
            <w:pPr>
              <w:pStyle w:val="NormalWeb"/>
              <w:jc w:val="left"/>
              <w:rPr>
                <w:sz w:val="18"/>
                <w:szCs w:val="18"/>
              </w:rPr>
            </w:pPr>
            <w:r w:rsidRPr="006718E5">
              <w:rPr>
                <w:sz w:val="18"/>
                <w:szCs w:val="18"/>
              </w:rPr>
              <w:t>Eye protection, rigger gloves (non-waterproof), long sleeved shirt, long pants, waterproof socks, hiking boots</w:t>
            </w:r>
          </w:p>
        </w:tc>
        <w:tc>
          <w:tcPr>
            <w:tcW w:w="3908" w:type="dxa"/>
            <w:vAlign w:val="top"/>
            <w:hideMark/>
          </w:tcPr>
          <w:p w14:paraId="6FC44925" w14:textId="77777777" w:rsidR="00D72BC2" w:rsidRPr="006718E5" w:rsidRDefault="00D72BC2" w:rsidP="00D72BC2">
            <w:pPr>
              <w:pStyle w:val="NormalWeb"/>
              <w:jc w:val="left"/>
              <w:rPr>
                <w:sz w:val="18"/>
                <w:szCs w:val="18"/>
              </w:rPr>
            </w:pPr>
            <w:r w:rsidRPr="006718E5">
              <w:rPr>
                <w:sz w:val="18"/>
                <w:szCs w:val="18"/>
              </w:rPr>
              <w:t xml:space="preserve">Gum boots, heavy cloth gloves, </w:t>
            </w:r>
            <w:proofErr w:type="gramStart"/>
            <w:r w:rsidRPr="006718E5">
              <w:rPr>
                <w:sz w:val="18"/>
                <w:szCs w:val="18"/>
              </w:rPr>
              <w:t>sun glasses</w:t>
            </w:r>
            <w:proofErr w:type="gramEnd"/>
            <w:r w:rsidRPr="006718E5">
              <w:rPr>
                <w:sz w:val="18"/>
                <w:szCs w:val="18"/>
              </w:rPr>
              <w:t xml:space="preserve"> only</w:t>
            </w:r>
          </w:p>
        </w:tc>
      </w:tr>
      <w:tr w:rsidR="00D72BC2" w:rsidRPr="006718E5" w14:paraId="4206FEA9" w14:textId="77777777" w:rsidTr="00D72BC2">
        <w:trPr>
          <w:cnfStyle w:val="000000010000" w:firstRow="0" w:lastRow="0" w:firstColumn="0" w:lastColumn="0" w:oddVBand="0" w:evenVBand="0" w:oddHBand="0" w:evenHBand="1" w:firstRowFirstColumn="0" w:firstRowLastColumn="0" w:lastRowFirstColumn="0" w:lastRowLastColumn="0"/>
          <w:divId w:val="568465116"/>
        </w:trPr>
        <w:tc>
          <w:tcPr>
            <w:tcW w:w="3261" w:type="dxa"/>
            <w:vAlign w:val="top"/>
            <w:hideMark/>
          </w:tcPr>
          <w:p w14:paraId="51A93128" w14:textId="77777777" w:rsidR="00D72BC2" w:rsidRPr="006718E5" w:rsidRDefault="00D72BC2" w:rsidP="00D72BC2">
            <w:pPr>
              <w:pStyle w:val="NormalWeb"/>
              <w:jc w:val="left"/>
              <w:rPr>
                <w:sz w:val="18"/>
                <w:szCs w:val="18"/>
              </w:rPr>
            </w:pPr>
            <w:r w:rsidRPr="006718E5">
              <w:rPr>
                <w:sz w:val="18"/>
                <w:szCs w:val="18"/>
              </w:rPr>
              <w:t>Duration of hospitalisation (days)</w:t>
            </w:r>
          </w:p>
        </w:tc>
        <w:tc>
          <w:tcPr>
            <w:tcW w:w="3907" w:type="dxa"/>
            <w:vAlign w:val="top"/>
            <w:hideMark/>
          </w:tcPr>
          <w:p w14:paraId="62CFA572" w14:textId="77777777" w:rsidR="00D72BC2" w:rsidRPr="006718E5" w:rsidRDefault="00D72BC2" w:rsidP="00D72BC2">
            <w:pPr>
              <w:pStyle w:val="NormalWeb"/>
              <w:jc w:val="left"/>
              <w:rPr>
                <w:sz w:val="18"/>
                <w:szCs w:val="18"/>
              </w:rPr>
            </w:pPr>
            <w:r w:rsidRPr="006718E5">
              <w:rPr>
                <w:sz w:val="18"/>
                <w:szCs w:val="18"/>
              </w:rPr>
              <w:t>0</w:t>
            </w:r>
          </w:p>
        </w:tc>
        <w:tc>
          <w:tcPr>
            <w:tcW w:w="3908" w:type="dxa"/>
            <w:vAlign w:val="top"/>
            <w:hideMark/>
          </w:tcPr>
          <w:p w14:paraId="530ADF0E" w14:textId="77777777" w:rsidR="00D72BC2" w:rsidRPr="006718E5" w:rsidRDefault="00D72BC2" w:rsidP="00D72BC2">
            <w:pPr>
              <w:pStyle w:val="NormalWeb"/>
              <w:jc w:val="left"/>
              <w:rPr>
                <w:sz w:val="18"/>
                <w:szCs w:val="18"/>
              </w:rPr>
            </w:pPr>
            <w:r w:rsidRPr="006718E5">
              <w:rPr>
                <w:sz w:val="18"/>
                <w:szCs w:val="18"/>
              </w:rPr>
              <w:t>3</w:t>
            </w:r>
          </w:p>
        </w:tc>
        <w:tc>
          <w:tcPr>
            <w:tcW w:w="3908" w:type="dxa"/>
            <w:vAlign w:val="top"/>
            <w:hideMark/>
          </w:tcPr>
          <w:p w14:paraId="631BF15A" w14:textId="77777777" w:rsidR="00D72BC2" w:rsidRPr="006718E5" w:rsidRDefault="00D72BC2" w:rsidP="00D72BC2">
            <w:pPr>
              <w:pStyle w:val="NormalWeb"/>
              <w:jc w:val="left"/>
              <w:rPr>
                <w:sz w:val="18"/>
                <w:szCs w:val="18"/>
              </w:rPr>
            </w:pPr>
            <w:r w:rsidRPr="006718E5">
              <w:rPr>
                <w:sz w:val="18"/>
                <w:szCs w:val="18"/>
              </w:rPr>
              <w:t>1</w:t>
            </w:r>
          </w:p>
        </w:tc>
      </w:tr>
      <w:tr w:rsidR="00D72BC2" w:rsidRPr="006718E5" w14:paraId="5D8DD2F7" w14:textId="77777777" w:rsidTr="00D72BC2">
        <w:trPr>
          <w:divId w:val="568465116"/>
        </w:trPr>
        <w:tc>
          <w:tcPr>
            <w:tcW w:w="3261" w:type="dxa"/>
            <w:tcBorders>
              <w:bottom w:val="single" w:sz="4" w:space="0" w:color="808080" w:themeColor="background1" w:themeShade="80"/>
            </w:tcBorders>
            <w:vAlign w:val="top"/>
            <w:hideMark/>
          </w:tcPr>
          <w:p w14:paraId="216461A1" w14:textId="77777777" w:rsidR="00D72BC2" w:rsidRPr="006718E5" w:rsidRDefault="00D72BC2" w:rsidP="00D72BC2">
            <w:pPr>
              <w:pStyle w:val="NormalWeb"/>
              <w:jc w:val="left"/>
              <w:rPr>
                <w:sz w:val="18"/>
                <w:szCs w:val="18"/>
              </w:rPr>
            </w:pPr>
            <w:r w:rsidRPr="006718E5">
              <w:rPr>
                <w:sz w:val="18"/>
                <w:szCs w:val="18"/>
              </w:rPr>
              <w:t>Days of normal work/activity lost (days)</w:t>
            </w:r>
          </w:p>
        </w:tc>
        <w:tc>
          <w:tcPr>
            <w:tcW w:w="3907" w:type="dxa"/>
            <w:tcBorders>
              <w:bottom w:val="single" w:sz="4" w:space="0" w:color="808080" w:themeColor="background1" w:themeShade="80"/>
            </w:tcBorders>
            <w:vAlign w:val="top"/>
            <w:hideMark/>
          </w:tcPr>
          <w:p w14:paraId="230214DD" w14:textId="77777777" w:rsidR="00D72BC2" w:rsidRPr="006718E5" w:rsidRDefault="00D72BC2" w:rsidP="00D72BC2">
            <w:pPr>
              <w:pStyle w:val="NormalWeb"/>
              <w:jc w:val="left"/>
              <w:rPr>
                <w:sz w:val="18"/>
                <w:szCs w:val="18"/>
              </w:rPr>
            </w:pPr>
            <w:r w:rsidRPr="006718E5">
              <w:rPr>
                <w:sz w:val="18"/>
                <w:szCs w:val="18"/>
              </w:rPr>
              <w:t>21</w:t>
            </w:r>
          </w:p>
        </w:tc>
        <w:tc>
          <w:tcPr>
            <w:tcW w:w="3908" w:type="dxa"/>
            <w:tcBorders>
              <w:bottom w:val="single" w:sz="4" w:space="0" w:color="808080" w:themeColor="background1" w:themeShade="80"/>
            </w:tcBorders>
            <w:vAlign w:val="top"/>
            <w:hideMark/>
          </w:tcPr>
          <w:p w14:paraId="21E71EAE" w14:textId="77777777" w:rsidR="00D72BC2" w:rsidRPr="006718E5" w:rsidRDefault="00D72BC2" w:rsidP="00D72BC2">
            <w:pPr>
              <w:pStyle w:val="NormalWeb"/>
              <w:jc w:val="left"/>
              <w:rPr>
                <w:sz w:val="18"/>
                <w:szCs w:val="18"/>
              </w:rPr>
            </w:pPr>
            <w:r w:rsidRPr="006718E5">
              <w:rPr>
                <w:sz w:val="18"/>
                <w:szCs w:val="18"/>
              </w:rPr>
              <w:t>10</w:t>
            </w:r>
          </w:p>
        </w:tc>
        <w:tc>
          <w:tcPr>
            <w:tcW w:w="3908" w:type="dxa"/>
            <w:tcBorders>
              <w:bottom w:val="single" w:sz="4" w:space="0" w:color="808080" w:themeColor="background1" w:themeShade="80"/>
            </w:tcBorders>
            <w:vAlign w:val="top"/>
            <w:hideMark/>
          </w:tcPr>
          <w:p w14:paraId="3A90BC1F" w14:textId="77777777" w:rsidR="00D72BC2" w:rsidRPr="006718E5" w:rsidRDefault="00D72BC2" w:rsidP="00D72BC2">
            <w:pPr>
              <w:pStyle w:val="NormalWeb"/>
              <w:jc w:val="left"/>
              <w:rPr>
                <w:sz w:val="18"/>
                <w:szCs w:val="18"/>
              </w:rPr>
            </w:pPr>
            <w:r w:rsidRPr="006718E5">
              <w:rPr>
                <w:sz w:val="18"/>
                <w:szCs w:val="18"/>
              </w:rPr>
              <w:t>1</w:t>
            </w:r>
          </w:p>
        </w:tc>
      </w:tr>
    </w:tbl>
    <w:p w14:paraId="24E3488A" w14:textId="77777777" w:rsidR="00D72BC2" w:rsidRDefault="00D72BC2" w:rsidP="00D72BC2">
      <w:pPr>
        <w:pStyle w:val="CDIfootnotes"/>
        <w:divId w:val="568465116"/>
        <w:rPr>
          <w:lang w:val="en-GB"/>
        </w:rPr>
      </w:pPr>
      <w:r>
        <w:rPr>
          <w:lang w:val="en-GB"/>
        </w:rPr>
        <w:t>a</w:t>
      </w:r>
      <w:r>
        <w:rPr>
          <w:lang w:val="en-GB"/>
        </w:rPr>
        <w:tab/>
        <w:t>MAT: microscope agglutination test; PCR: polymerase chain reaction from blood.</w:t>
      </w:r>
    </w:p>
    <w:p w14:paraId="78C43BD1" w14:textId="77777777" w:rsidR="00D72BC2" w:rsidRDefault="00D72BC2" w:rsidP="00EC4603">
      <w:pPr>
        <w:divId w:val="568465116"/>
        <w:sectPr w:rsidR="00D72BC2" w:rsidSect="00D72BC2">
          <w:pgSz w:w="16838" w:h="11906" w:orient="landscape"/>
          <w:pgMar w:top="720" w:right="720" w:bottom="720" w:left="1134" w:header="709" w:footer="284" w:gutter="0"/>
          <w:cols w:space="708"/>
          <w:titlePg/>
          <w:docGrid w:linePitch="360"/>
        </w:sectPr>
      </w:pPr>
    </w:p>
    <w:p w14:paraId="3D6045E5" w14:textId="77777777" w:rsidR="00037054" w:rsidRDefault="00037054" w:rsidP="00EC4603">
      <w:pPr>
        <w:divId w:val="568465116"/>
      </w:pPr>
    </w:p>
    <w:p w14:paraId="223AFE16" w14:textId="77777777" w:rsidR="00DC76B6" w:rsidRDefault="00DC76B6" w:rsidP="00DC76B6">
      <w:pPr>
        <w:pStyle w:val="NormalWeb"/>
        <w:divId w:val="568465116"/>
        <w:rPr>
          <w:lang w:val="en-GB"/>
        </w:rPr>
      </w:pPr>
      <w:r>
        <w:rPr>
          <w:rStyle w:val="Strong"/>
          <w:lang w:val="en-GB"/>
        </w:rPr>
        <w:t xml:space="preserve">Figure 2: Northern Territory total rainfall compared to mean, February 2022 </w:t>
      </w:r>
    </w:p>
    <w:p w14:paraId="4C325700" w14:textId="77777777" w:rsidR="00DC76B6" w:rsidRDefault="00DC76B6" w:rsidP="00DC76B6">
      <w:pPr>
        <w:divId w:val="568465116"/>
        <w:rPr>
          <w:rFonts w:eastAsia="Times New Roman"/>
          <w:lang w:val="en-GB"/>
        </w:rPr>
      </w:pPr>
      <w:r>
        <w:rPr>
          <w:rFonts w:eastAsia="Times New Roman"/>
          <w:noProof/>
          <w:lang w:val="en-GB"/>
        </w:rPr>
        <w:drawing>
          <wp:inline distT="0" distB="0" distL="0" distR="0" wp14:anchorId="42408001" wp14:editId="3F7B7A82">
            <wp:extent cx="4914900" cy="5819775"/>
            <wp:effectExtent l="0" t="0" r="0" b="9525"/>
            <wp:docPr id="2" name="Picture 2" descr="Figure 2. Northern Territory total rainfall (mm), February 2022.&#10;&#10;Figure 2 is a map of the Northern Territory which shows the rainfall recorded in February 2022 compared to the mean rainfall. Areas of the map shaded in green represent rainfall 100-200% higher than the mean. The map shows that in the Darwin region, where the cluster cases likely acquired their infection (represented by the yellow circle), rainfall was 100-200% higher than average in February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Northern Territory total rainfall (mm), February 2022.&#10;&#10;Figure 2 is a map of the Northern Territory which shows the rainfall recorded in February 2022 compared to the mean rainfall. Areas of the map shaded in green represent rainfall 100-200% higher than the mean. The map shows that in the Darwin region, where the cluster cases likely acquired their infection (represented by the yellow circle), rainfall was 100-200% higher than average in February 2022. &#10;"/>
                    <pic:cNvPicPr>
                      <a:picLocks noChangeAspect="1" noChangeArrowheads="1"/>
                    </pic:cNvPicPr>
                  </pic:nvPicPr>
                  <pic:blipFill>
                    <a:blip r:link="rId14">
                      <a:extLst>
                        <a:ext uri="{28A0092B-C50C-407E-A947-70E740481C1C}">
                          <a14:useLocalDpi xmlns:a14="http://schemas.microsoft.com/office/drawing/2010/main" val="0"/>
                        </a:ext>
                      </a:extLst>
                    </a:blip>
                    <a:stretch>
                      <a:fillRect/>
                    </a:stretch>
                  </pic:blipFill>
                  <pic:spPr bwMode="auto">
                    <a:xfrm>
                      <a:off x="0" y="0"/>
                      <a:ext cx="4914900" cy="5819775"/>
                    </a:xfrm>
                    <a:prstGeom prst="rect">
                      <a:avLst/>
                    </a:prstGeom>
                  </pic:spPr>
                </pic:pic>
              </a:graphicData>
            </a:graphic>
          </wp:inline>
        </w:drawing>
      </w:r>
    </w:p>
    <w:p w14:paraId="46220588" w14:textId="77777777" w:rsidR="00DC76B6" w:rsidRDefault="00DC76B6" w:rsidP="00EC4603">
      <w:pPr>
        <w:pStyle w:val="Heading1"/>
        <w:divId w:val="568465116"/>
      </w:pPr>
    </w:p>
    <w:p w14:paraId="3C2BB3F3" w14:textId="77777777" w:rsidR="00DC76B6" w:rsidRDefault="00DC76B6">
      <w:pPr>
        <w:rPr>
          <w:rFonts w:asciiTheme="majorHAnsi" w:eastAsiaTheme="majorEastAsia" w:hAnsiTheme="majorHAnsi" w:cstheme="majorBidi"/>
          <w:b/>
          <w:bCs/>
          <w:sz w:val="32"/>
          <w:szCs w:val="28"/>
        </w:rPr>
      </w:pPr>
      <w:r>
        <w:br w:type="page"/>
      </w:r>
    </w:p>
    <w:p w14:paraId="73A344E5" w14:textId="77777777" w:rsidR="00DC76B6" w:rsidRPr="000C2F81" w:rsidRDefault="00DC76B6" w:rsidP="00DC76B6">
      <w:pPr>
        <w:pStyle w:val="CDIFigures"/>
        <w:divId w:val="568465116"/>
      </w:pPr>
      <w:r w:rsidRPr="000C2F81">
        <w:rPr>
          <w:rStyle w:val="Strong"/>
          <w:b/>
          <w:bCs w:val="0"/>
        </w:rPr>
        <w:lastRenderedPageBreak/>
        <w:t>Figure 3: Northern Territory total rainfall compared to mean, December 2022.</w:t>
      </w:r>
    </w:p>
    <w:p w14:paraId="5996FA4E" w14:textId="77777777" w:rsidR="00DC76B6" w:rsidRDefault="00DC76B6" w:rsidP="00DC76B6">
      <w:pPr>
        <w:divId w:val="568465116"/>
        <w:rPr>
          <w:rFonts w:eastAsia="Times New Roman"/>
          <w:lang w:val="en-GB"/>
        </w:rPr>
      </w:pPr>
      <w:r>
        <w:rPr>
          <w:rFonts w:eastAsia="Times New Roman"/>
          <w:noProof/>
          <w:lang w:val="en-GB"/>
        </w:rPr>
        <w:drawing>
          <wp:inline distT="0" distB="0" distL="0" distR="0" wp14:anchorId="46BE4A74" wp14:editId="0D3B26D3">
            <wp:extent cx="4914900" cy="5819775"/>
            <wp:effectExtent l="0" t="0" r="0" b="9525"/>
            <wp:docPr id="3" name="Picture 3" descr="Figure 3. Northern Territory total rainfall (mm), December 2022.&#10;&#10;Figure 3 is a map of the Northern Territory which shows the rainfall recorded in December 2022 compared to the mean rainfall. Areas of the map shaded in dark green represent rainfall 150-200% higher than the mean. The map shows that in the Darwin region, where the cluster cases likely acquired their infection (represented by the yellow circle), rainfall was 150-200% higher than average in December 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Northern Territory total rainfall (mm), December 2022.&#10;&#10;Figure 3 is a map of the Northern Territory which shows the rainfall recorded in December 2022 compared to the mean rainfall. Areas of the map shaded in dark green represent rainfall 150-200% higher than the mean. The map shows that in the Darwin region, where the cluster cases likely acquired their infection (represented by the yellow circle), rainfall was 150-200% higher than average in December 2022.&#1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4914900" cy="5819775"/>
                    </a:xfrm>
                    <a:prstGeom prst="rect">
                      <a:avLst/>
                    </a:prstGeom>
                    <a:noFill/>
                    <a:ln>
                      <a:noFill/>
                    </a:ln>
                  </pic:spPr>
                </pic:pic>
              </a:graphicData>
            </a:graphic>
          </wp:inline>
        </w:drawing>
      </w:r>
    </w:p>
    <w:p w14:paraId="100D5895" w14:textId="77777777" w:rsidR="00DC76B6" w:rsidRDefault="00DC76B6" w:rsidP="00DC76B6">
      <w:pPr>
        <w:pStyle w:val="CDIfootnotes"/>
        <w:divId w:val="568465116"/>
        <w:rPr>
          <w:lang w:val="en-GB"/>
        </w:rPr>
      </w:pPr>
      <w:r>
        <w:rPr>
          <w:lang w:val="en-GB"/>
        </w:rPr>
        <w:t>a</w:t>
      </w:r>
      <w:r>
        <w:rPr>
          <w:lang w:val="en-GB"/>
        </w:rPr>
        <w:tab/>
      </w:r>
      <w:proofErr w:type="gramStart"/>
      <w:r>
        <w:rPr>
          <w:lang w:val="en-GB"/>
        </w:rPr>
        <w:t>Yellow</w:t>
      </w:r>
      <w:proofErr w:type="gramEnd"/>
      <w:r>
        <w:rPr>
          <w:lang w:val="en-GB"/>
        </w:rPr>
        <w:t xml:space="preserve"> circle indicates area in the cases acquired leptospirosis infection</w:t>
      </w:r>
    </w:p>
    <w:p w14:paraId="6B0C023A" w14:textId="77777777" w:rsidR="00DC76B6" w:rsidRPr="00D712BE" w:rsidRDefault="00DC76B6" w:rsidP="00DC76B6">
      <w:pPr>
        <w:pStyle w:val="CDIfootnotes"/>
        <w:divId w:val="568465116"/>
        <w:rPr>
          <w:lang w:val="en-GB"/>
        </w:rPr>
      </w:pPr>
      <w:r>
        <w:rPr>
          <w:lang w:val="en-GB"/>
        </w:rPr>
        <w:t>b</w:t>
      </w:r>
      <w:r>
        <w:rPr>
          <w:lang w:val="en-GB"/>
        </w:rPr>
        <w:tab/>
        <w:t>Map credit: Commonwealth of Australia, Bureau of Meteorology 2023.</w:t>
      </w:r>
      <w:r w:rsidRPr="000C2F81">
        <w:rPr>
          <w:vertAlign w:val="superscript"/>
          <w:lang w:val="en-GB"/>
        </w:rPr>
        <w:t>14</w:t>
      </w:r>
    </w:p>
    <w:p w14:paraId="0D9B0ECC" w14:textId="77777777" w:rsidR="00DC76B6" w:rsidRDefault="00DC76B6">
      <w:pPr>
        <w:rPr>
          <w:rFonts w:asciiTheme="majorHAnsi" w:eastAsiaTheme="majorEastAsia" w:hAnsiTheme="majorHAnsi" w:cstheme="majorBidi"/>
          <w:b/>
          <w:bCs/>
          <w:sz w:val="32"/>
          <w:szCs w:val="28"/>
        </w:rPr>
      </w:pPr>
      <w:r>
        <w:br w:type="page"/>
      </w:r>
    </w:p>
    <w:p w14:paraId="3166416D" w14:textId="378F401B" w:rsidR="00037054" w:rsidRPr="00EC4603" w:rsidRDefault="00037054" w:rsidP="00EC4603">
      <w:pPr>
        <w:pStyle w:val="Heading1"/>
        <w:divId w:val="568465116"/>
      </w:pPr>
      <w:r w:rsidRPr="00EC4603">
        <w:lastRenderedPageBreak/>
        <w:t xml:space="preserve">Discussion </w:t>
      </w:r>
    </w:p>
    <w:p w14:paraId="3AE8C744" w14:textId="77777777" w:rsidR="00037054" w:rsidRDefault="00037054" w:rsidP="00EC4603">
      <w:pPr>
        <w:divId w:val="568465116"/>
      </w:pPr>
      <w:r>
        <w:t xml:space="preserve">Most leptospirosis cases notified in the NT since 2012 have been in cattle workers. Cases </w:t>
      </w:r>
      <w:proofErr w:type="gramStart"/>
      <w:r>
        <w:t>most commonly occurred</w:t>
      </w:r>
      <w:proofErr w:type="gramEnd"/>
      <w:r>
        <w:t xml:space="preserve"> in young non-Aboriginal men, who may be more likely to undertake the type of work required on cattle stations. This work entails repeated </w:t>
      </w:r>
      <w:proofErr w:type="gramStart"/>
      <w:r>
        <w:t>long term</w:t>
      </w:r>
      <w:proofErr w:type="gramEnd"/>
      <w:r>
        <w:t xml:space="preserve"> exposure to this risk factor for leptospirosis. Other commonly reported activities associated with leptospirosis infection were fishing or hunting, including crocodile workers and egg collectors, and other recreational activities in wetlands. Sporadic hunting of native animals such as magpie geese, fish, and turtles is part of the traditional Aboriginal way of life in the NT and may </w:t>
      </w:r>
      <w:proofErr w:type="gramStart"/>
      <w:r>
        <w:t>subsequently</w:t>
      </w:r>
      <w:proofErr w:type="gramEnd"/>
      <w:r>
        <w:t xml:space="preserve"> place Aboriginal people at risk. However, our review found that the majority of cases were non-Aboriginal in occupations, such as cattle workers, </w:t>
      </w:r>
      <w:proofErr w:type="gramStart"/>
      <w:r>
        <w:t>that</w:t>
      </w:r>
      <w:proofErr w:type="gramEnd"/>
      <w:r>
        <w:t xml:space="preserve"> require a sustained occupational exposure risk. </w:t>
      </w:r>
    </w:p>
    <w:p w14:paraId="0F315F49" w14:textId="77777777" w:rsidR="00037054" w:rsidRDefault="00037054" w:rsidP="00EC4603">
      <w:pPr>
        <w:divId w:val="568465116"/>
      </w:pPr>
      <w:r>
        <w:t>Although there is some serological evidence of leptospirosis in crocodile species from other countries,</w:t>
      </w:r>
      <w:proofErr w:type="gramStart"/>
      <w:r>
        <w:rPr>
          <w:vertAlign w:val="superscript"/>
        </w:rPr>
        <w:t>20</w:t>
      </w:r>
      <w:proofErr w:type="gramEnd"/>
      <w:r>
        <w:t xml:space="preserve"> reptiles are considered unlikely to play an important epidemiological role in human infection.</w:t>
      </w:r>
      <w:r>
        <w:rPr>
          <w:vertAlign w:val="superscript"/>
        </w:rPr>
        <w:t>5</w:t>
      </w:r>
      <w:r>
        <w:t xml:space="preserve"> Rather, the environments that crocodile workers frequent, such as wet swampland, pose a greater risk for transmission. The specific host for </w:t>
      </w:r>
      <w:r w:rsidRPr="003F5899">
        <w:rPr>
          <w:rStyle w:val="Emphasis"/>
          <w:b w:val="0"/>
          <w:bCs w:val="0"/>
        </w:rPr>
        <w:t>Leptospira</w:t>
      </w:r>
      <w:r>
        <w:t xml:space="preserve"> in the Top End of the NT is not </w:t>
      </w:r>
      <w:proofErr w:type="gramStart"/>
      <w:r>
        <w:t>established</w:t>
      </w:r>
      <w:proofErr w:type="gramEnd"/>
      <w:r>
        <w:t xml:space="preserve">, but rodents are likely an important host. The Collaborating Centre for Reference and Research on Leptospirosis has previously </w:t>
      </w:r>
      <w:proofErr w:type="gramStart"/>
      <w:r>
        <w:t>identified</w:t>
      </w:r>
      <w:proofErr w:type="gramEnd"/>
      <w:r>
        <w:t xml:space="preserve"> rats and bandicoots are associated with </w:t>
      </w:r>
      <w:r w:rsidRPr="003F5899">
        <w:rPr>
          <w:rStyle w:val="Emphasis"/>
          <w:b w:val="0"/>
          <w:bCs w:val="0"/>
        </w:rPr>
        <w:t>L</w:t>
      </w:r>
      <w:r>
        <w:t>. Australis in the Top End;</w:t>
      </w:r>
      <w:r>
        <w:rPr>
          <w:vertAlign w:val="superscript"/>
        </w:rPr>
        <w:t>21</w:t>
      </w:r>
      <w:r>
        <w:t xml:space="preserve"> this was the second most common serovar in cases reported in the Top End from 2012 to 2022. </w:t>
      </w:r>
    </w:p>
    <w:p w14:paraId="7421365A" w14:textId="77777777" w:rsidR="00037054" w:rsidRDefault="00037054" w:rsidP="00EC4603">
      <w:pPr>
        <w:divId w:val="568465116"/>
      </w:pPr>
      <w:r>
        <w:t>Though the use of prophylactic antibiotics (chemoprophylaxis) has been considered as a method of preventing leptospirosis infections in other countries,</w:t>
      </w:r>
      <w:r>
        <w:rPr>
          <w:vertAlign w:val="superscript"/>
        </w:rPr>
        <w:t>3,23,25</w:t>
      </w:r>
      <w:r>
        <w:t xml:space="preserve"> Queensland Health—which reports significantly higher numbers of leptospirosis notifications per year than the NT—does not recommend chemoprophylaxis in its public health guidelines.</w:t>
      </w:r>
      <w:r>
        <w:rPr>
          <w:vertAlign w:val="superscript"/>
        </w:rPr>
        <w:t>24</w:t>
      </w:r>
      <w:r>
        <w:t xml:space="preserve"> Chemoprophylaxis for those at risk in Queensland may be unfeasible due to prolonged year-long exposure to high-risk environments such as banana farms. There may be a role for chemoprophylaxis in regions which have seasonal outbreaks of leptospirosis.</w:t>
      </w:r>
      <w:r>
        <w:rPr>
          <w:vertAlign w:val="superscript"/>
        </w:rPr>
        <w:t xml:space="preserve">23 </w:t>
      </w:r>
    </w:p>
    <w:p w14:paraId="392F1BCC" w14:textId="77777777" w:rsidR="00037054" w:rsidRDefault="00037054" w:rsidP="00EC4603">
      <w:pPr>
        <w:divId w:val="568465116"/>
      </w:pPr>
      <w:r>
        <w:t xml:space="preserve">As a result of the cluster described in this paper, several NT crocodile organisations were contacted to </w:t>
      </w:r>
      <w:proofErr w:type="gramStart"/>
      <w:r>
        <w:t>ascertain</w:t>
      </w:r>
      <w:proofErr w:type="gramEnd"/>
      <w:r>
        <w:t xml:space="preserve"> whether chemoprophylaxis has ever been recommended. To date, there has been no local consensus for the routine recommendation of chemoprophylaxis. A previous randomised, double-blind placebo controlled study demonstrated reduced rates of leptospirosis in immune naïve soldiers taking doxycycline chemoprophylaxis in an endemic setting;</w:t>
      </w:r>
      <w:r>
        <w:rPr>
          <w:vertAlign w:val="superscript"/>
        </w:rPr>
        <w:t>22</w:t>
      </w:r>
      <w:r>
        <w:t xml:space="preserve"> however, subsequent data from further studies have shown conflicting results.</w:t>
      </w:r>
      <w:r>
        <w:rPr>
          <w:vertAlign w:val="superscript"/>
        </w:rPr>
        <w:t>25,26</w:t>
      </w:r>
      <w:r>
        <w:t xml:space="preserve"> A 2010 Cochrane systematic review concluded that doxycycline as a prophylactic agent increased the odds for nausea and vomiting with unclear benefit in reducing </w:t>
      </w:r>
      <w:r w:rsidRPr="003F5899">
        <w:rPr>
          <w:rStyle w:val="Emphasis"/>
          <w:b w:val="0"/>
          <w:bCs w:val="0"/>
        </w:rPr>
        <w:t>Leptospira</w:t>
      </w:r>
      <w:r>
        <w:t xml:space="preserve"> seroconversion or in alleviating clinical consequences of infection.</w:t>
      </w:r>
      <w:r>
        <w:rPr>
          <w:vertAlign w:val="superscript"/>
        </w:rPr>
        <w:t>27</w:t>
      </w:r>
      <w:r>
        <w:t xml:space="preserve"> However, there remains some evidence for using pre-exposure chemoprophylaxis in certain high-risk endemic environments, and in outbreak or disaster settings.</w:t>
      </w:r>
      <w:r>
        <w:rPr>
          <w:vertAlign w:val="superscript"/>
        </w:rPr>
        <w:t>22,23</w:t>
      </w:r>
      <w:r>
        <w:t xml:space="preserve"> </w:t>
      </w:r>
    </w:p>
    <w:p w14:paraId="5F4A39BF" w14:textId="77777777" w:rsidR="00037054" w:rsidRDefault="00037054" w:rsidP="00EC4603">
      <w:pPr>
        <w:divId w:val="568465116"/>
      </w:pPr>
      <w:r>
        <w:t xml:space="preserve">Education and </w:t>
      </w:r>
      <w:proofErr w:type="gramStart"/>
      <w:r>
        <w:t>appropriate personal</w:t>
      </w:r>
      <w:proofErr w:type="gramEnd"/>
      <w:r>
        <w:t xml:space="preserve"> protective equipment (PPE) may have greater impact in the prevention of leptospirosis than chemoprophylaxis alone. Appropriate protective wear prevents contaminated water or mud </w:t>
      </w:r>
      <w:proofErr w:type="gramStart"/>
      <w:r>
        <w:t>coming into contact with</w:t>
      </w:r>
      <w:proofErr w:type="gramEnd"/>
      <w:r>
        <w:t xml:space="preserve"> skin. </w:t>
      </w:r>
      <w:proofErr w:type="gramStart"/>
      <w:r>
        <w:t>Despite the fact that</w:t>
      </w:r>
      <w:proofErr w:type="gramEnd"/>
      <w:r>
        <w:t xml:space="preserve"> personal protective wear is an established preventative measure for those at risk,</w:t>
      </w:r>
      <w:r>
        <w:rPr>
          <w:vertAlign w:val="superscript"/>
        </w:rPr>
        <w:t>5,6,7</w:t>
      </w:r>
      <w:r>
        <w:t xml:space="preserve"> only one of the cluster cases reported wearing appropriate full protective attire. </w:t>
      </w:r>
      <w:proofErr w:type="gramStart"/>
      <w:r>
        <w:t>In order to</w:t>
      </w:r>
      <w:proofErr w:type="gramEnd"/>
      <w:r>
        <w:t xml:space="preserve"> reduce the risk of infection, employees working in wetlands should utilise rigger gloves, a long sleeve shirt, long pants, and enclosed boots; and this should be promoted by workplaces. </w:t>
      </w:r>
      <w:proofErr w:type="gramStart"/>
      <w:r>
        <w:t>Utilising</w:t>
      </w:r>
      <w:proofErr w:type="gramEnd"/>
      <w:r>
        <w:t xml:space="preserve"> waterproof dressings to cover existing abrasions and cuts on limbs is also recommended, as is showering thoroughly after contact with potentially contaminated water, and regular hand washing. </w:t>
      </w:r>
    </w:p>
    <w:p w14:paraId="3D965005" w14:textId="77777777" w:rsidR="00037054" w:rsidRDefault="00037054" w:rsidP="00EC4603">
      <w:pPr>
        <w:divId w:val="568465116"/>
      </w:pPr>
      <w:r>
        <w:t xml:space="preserve">It is critical that workplaces in endemic areas, with occupational exposure to animals and wetland environments, include education on leptospirosis and its prevention as part of their workplace health and safety programs. </w:t>
      </w:r>
      <w:proofErr w:type="gramStart"/>
      <w:r>
        <w:t>Additional</w:t>
      </w:r>
      <w:proofErr w:type="gramEnd"/>
      <w:r>
        <w:t xml:space="preserve"> awareness campaigns for other high-risk activities, such as hunting and fishing, would also be of potential </w:t>
      </w:r>
      <w:r>
        <w:lastRenderedPageBreak/>
        <w:t xml:space="preserve">benefit. These could be culturally adapted for Aboriginal people in the NT. Medical officers working in endemic areas must also be alert to the signs of a potential leptospirosis infection and should </w:t>
      </w:r>
      <w:proofErr w:type="gramStart"/>
      <w:r>
        <w:t>test</w:t>
      </w:r>
      <w:proofErr w:type="gramEnd"/>
      <w:r>
        <w:t xml:space="preserve"> patients with an undifferentiated febrile illness and occupational or recreational exposure risks. </w:t>
      </w:r>
    </w:p>
    <w:p w14:paraId="4A889E6A" w14:textId="77777777" w:rsidR="00037054" w:rsidRDefault="00037054" w:rsidP="00EC4603">
      <w:pPr>
        <w:divId w:val="568465116"/>
      </w:pPr>
      <w:r>
        <w:t>Both urbanisation and climate change are significant risks in the increasing incidence of leptospirosis cases.</w:t>
      </w:r>
      <w:r>
        <w:rPr>
          <w:vertAlign w:val="superscript"/>
        </w:rPr>
        <w:t>2,3,4</w:t>
      </w:r>
      <w:r>
        <w:t xml:space="preserve"> The three cases identified in the cluster were acquired in the months that saw a higher than average rainfall in the NT.</w:t>
      </w:r>
      <w:r>
        <w:rPr>
          <w:vertAlign w:val="superscript"/>
        </w:rPr>
        <w:t>14,15</w:t>
      </w:r>
      <w:r>
        <w:t xml:space="preserve"> The effect of climate change is already evident in the NT: the current (January 2023) La Niña weather pattern has brought above average rainfall to the NT; the average annual temperature has risen; and wet season (October to April) rainfall has increased over the Top End.</w:t>
      </w:r>
      <w:r>
        <w:rPr>
          <w:vertAlign w:val="superscript"/>
        </w:rPr>
        <w:t>28</w:t>
      </w:r>
      <w:r>
        <w:t xml:space="preserve"> By mid-century it is projected that the NT will continue to get hotter and extreme rainfall events are predicted to become more intense.</w:t>
      </w:r>
      <w:r>
        <w:rPr>
          <w:vertAlign w:val="superscript"/>
        </w:rPr>
        <w:t xml:space="preserve">28 </w:t>
      </w:r>
    </w:p>
    <w:p w14:paraId="76323719" w14:textId="77777777" w:rsidR="00037054" w:rsidRDefault="00037054" w:rsidP="00EC4603">
      <w:pPr>
        <w:divId w:val="568465116"/>
      </w:pPr>
      <w:r>
        <w:t xml:space="preserve">The strength of this case series is that leptospirosis has long been a notifiable condition in the NT and that core epidemiological data and enhanced data has been systemically collected on leptospirosis cases using standardised case investigation forms; although this information </w:t>
      </w:r>
      <w:proofErr w:type="gramStart"/>
      <w:r>
        <w:t>largely remains</w:t>
      </w:r>
      <w:proofErr w:type="gramEnd"/>
      <w:r>
        <w:t xml:space="preserve"> in hard copy until 2021 where enhanced data was collected electronically. The limitation of our cluster investigation was that it was a descriptive case series; a case control or cohort study was not </w:t>
      </w:r>
      <w:proofErr w:type="gramStart"/>
      <w:r>
        <w:t>feasible</w:t>
      </w:r>
      <w:proofErr w:type="gramEnd"/>
      <w:r>
        <w:t xml:space="preserve">. Also, there was no environmental sampling undertaken; such sampling is not a feature of routine leptospirosis case investigation, as it </w:t>
      </w:r>
      <w:proofErr w:type="gramStart"/>
      <w:r>
        <w:t>is assumed</w:t>
      </w:r>
      <w:proofErr w:type="gramEnd"/>
      <w:r>
        <w:t xml:space="preserve"> to be widely in the environment. </w:t>
      </w:r>
    </w:p>
    <w:p w14:paraId="7F78BE2D" w14:textId="77777777" w:rsidR="00037054" w:rsidRPr="00EC4603" w:rsidRDefault="00037054" w:rsidP="00EC4603">
      <w:pPr>
        <w:pStyle w:val="Heading1"/>
        <w:divId w:val="568465116"/>
      </w:pPr>
      <w:r w:rsidRPr="00EC4603">
        <w:t xml:space="preserve">Conclusion </w:t>
      </w:r>
    </w:p>
    <w:p w14:paraId="5624CD8A" w14:textId="77777777" w:rsidR="00037054" w:rsidRDefault="00037054" w:rsidP="00EC4603">
      <w:pPr>
        <w:divId w:val="568465116"/>
      </w:pPr>
      <w:r>
        <w:t xml:space="preserve">Leptospirosis may become an increasingly notified disease in the Top End in the future due to changing weather patterns. This risk </w:t>
      </w:r>
      <w:proofErr w:type="gramStart"/>
      <w:r>
        <w:t>is amplified</w:t>
      </w:r>
      <w:proofErr w:type="gramEnd"/>
      <w:r>
        <w:t xml:space="preserve"> for those working or spending time in the Top End’s wetlands, such as crocodile workers. It is critical that individuals wading in wetlands for occupational or recreational purposes are aware of the risks of leptospirosis, and the personal protective practices that they can adopt to avoid infection. </w:t>
      </w:r>
    </w:p>
    <w:p w14:paraId="5CEE1773" w14:textId="77777777" w:rsidR="00037054" w:rsidRPr="00EC4603" w:rsidRDefault="00037054" w:rsidP="00EC4603">
      <w:pPr>
        <w:pStyle w:val="Heading1"/>
        <w:divId w:val="568465116"/>
      </w:pPr>
      <w:r w:rsidRPr="00EC4603">
        <w:t xml:space="preserve">Acknowledgements </w:t>
      </w:r>
    </w:p>
    <w:p w14:paraId="35067B55" w14:textId="77777777" w:rsidR="00037054" w:rsidRDefault="00037054" w:rsidP="00EC4603">
      <w:pPr>
        <w:divId w:val="568465116"/>
      </w:pPr>
      <w:r>
        <w:t xml:space="preserve">The authors </w:t>
      </w:r>
      <w:proofErr w:type="gramStart"/>
      <w:r>
        <w:t>wish to thank</w:t>
      </w:r>
      <w:proofErr w:type="gramEnd"/>
      <w:r>
        <w:t xml:space="preserve"> the following for their assistance: Mary Byrne, clinical librarian, Library Services, NT Health; </w:t>
      </w:r>
      <w:proofErr w:type="spellStart"/>
      <w:r>
        <w:t>Ayrial</w:t>
      </w:r>
      <w:proofErr w:type="spellEnd"/>
      <w:r>
        <w:t xml:space="preserve"> Foster, veterinary pathologist, Berrimah Veterinary Laboratory, Department of Industry Tourism and Trade, Northern Territory Government; and Anthony Griffiths, director of species management at Department of Environment, Parks and Water Security. </w:t>
      </w:r>
    </w:p>
    <w:p w14:paraId="37995522" w14:textId="77777777" w:rsidR="00091B6A" w:rsidRDefault="00091B6A">
      <w:pPr>
        <w:rPr>
          <w:rFonts w:asciiTheme="majorHAnsi" w:eastAsiaTheme="majorEastAsia" w:hAnsiTheme="majorHAnsi" w:cstheme="majorBidi"/>
          <w:b/>
          <w:bCs/>
          <w:sz w:val="32"/>
          <w:szCs w:val="28"/>
        </w:rPr>
      </w:pPr>
      <w:r>
        <w:br w:type="page"/>
      </w:r>
    </w:p>
    <w:p w14:paraId="54B63C93" w14:textId="183EADAC" w:rsidR="00037054" w:rsidRPr="00EC4603" w:rsidRDefault="00037054" w:rsidP="00EC4603">
      <w:pPr>
        <w:pStyle w:val="Heading1"/>
        <w:divId w:val="568465116"/>
      </w:pPr>
      <w:r w:rsidRPr="00EC4603">
        <w:lastRenderedPageBreak/>
        <w:t xml:space="preserve">Author details </w:t>
      </w:r>
    </w:p>
    <w:p w14:paraId="6E3EC54A" w14:textId="327D9EB7" w:rsidR="00037054" w:rsidRDefault="00037054" w:rsidP="00EC4603">
      <w:pPr>
        <w:divId w:val="568465116"/>
      </w:pPr>
      <w:r>
        <w:t>Astrid M Stark,</w:t>
      </w:r>
      <w:proofErr w:type="gramStart"/>
      <w:r>
        <w:rPr>
          <w:vertAlign w:val="superscript"/>
        </w:rPr>
        <w:t>1</w:t>
      </w:r>
      <w:proofErr w:type="gramEnd"/>
      <w:r>
        <w:t xml:space="preserve"> </w:t>
      </w:r>
      <w:r w:rsidR="00091B6A">
        <w:br/>
      </w:r>
      <w:r>
        <w:t>Michael Nohrenberg,</w:t>
      </w:r>
      <w:r>
        <w:rPr>
          <w:vertAlign w:val="superscript"/>
        </w:rPr>
        <w:t>1</w:t>
      </w:r>
      <w:r>
        <w:t xml:space="preserve"> </w:t>
      </w:r>
      <w:r w:rsidR="00091B6A">
        <w:br/>
      </w:r>
      <w:r>
        <w:t>Anthony DK Draper,</w:t>
      </w:r>
      <w:r>
        <w:rPr>
          <w:vertAlign w:val="superscript"/>
        </w:rPr>
        <w:t xml:space="preserve">1,2,3 </w:t>
      </w:r>
      <w:r w:rsidR="00091B6A">
        <w:rPr>
          <w:vertAlign w:val="superscript"/>
        </w:rPr>
        <w:br/>
      </w:r>
      <w:r>
        <w:t>Kimberley E McMahon,</w:t>
      </w:r>
      <w:r>
        <w:rPr>
          <w:vertAlign w:val="superscript"/>
        </w:rPr>
        <w:t>1</w:t>
      </w:r>
      <w:r>
        <w:t xml:space="preserve"> </w:t>
      </w:r>
      <w:r w:rsidR="00091B6A">
        <w:br/>
      </w:r>
      <w:r>
        <w:t>Thalia A Hewitt,</w:t>
      </w:r>
      <w:r>
        <w:rPr>
          <w:vertAlign w:val="superscript"/>
        </w:rPr>
        <w:t>1</w:t>
      </w:r>
      <w:r>
        <w:t xml:space="preserve"> </w:t>
      </w:r>
      <w:r w:rsidR="00091B6A">
        <w:br/>
      </w:r>
      <w:r>
        <w:t>Kelly Lomas,</w:t>
      </w:r>
      <w:r>
        <w:rPr>
          <w:vertAlign w:val="superscript"/>
        </w:rPr>
        <w:t>1</w:t>
      </w:r>
      <w:r>
        <w:t xml:space="preserve"> </w:t>
      </w:r>
      <w:r w:rsidR="00091B6A">
        <w:br/>
      </w:r>
      <w:r>
        <w:t xml:space="preserve">Vicki L Krause </w:t>
      </w:r>
      <w:r>
        <w:rPr>
          <w:vertAlign w:val="superscript"/>
        </w:rPr>
        <w:t xml:space="preserve">1 </w:t>
      </w:r>
    </w:p>
    <w:p w14:paraId="7923ABAE" w14:textId="77777777" w:rsidR="00037054" w:rsidRPr="00EC4603" w:rsidRDefault="00037054" w:rsidP="00EC4603">
      <w:pPr>
        <w:pStyle w:val="ListParagraph"/>
        <w:numPr>
          <w:ilvl w:val="0"/>
          <w:numId w:val="11"/>
        </w:numPr>
        <w:divId w:val="568465116"/>
        <w:rPr>
          <w:rFonts w:eastAsia="Times New Roman"/>
        </w:rPr>
      </w:pPr>
      <w:r w:rsidRPr="00EC4603">
        <w:rPr>
          <w:rFonts w:eastAsia="Times New Roman"/>
        </w:rPr>
        <w:t xml:space="preserve">Centre for Disease Control, Public Health Unit, Top End Health Service, Northern Territory, Australia. </w:t>
      </w:r>
    </w:p>
    <w:p w14:paraId="687E1F87" w14:textId="77777777" w:rsidR="00037054" w:rsidRPr="00EC4603" w:rsidRDefault="00037054" w:rsidP="00EC4603">
      <w:pPr>
        <w:pStyle w:val="ListParagraph"/>
        <w:numPr>
          <w:ilvl w:val="0"/>
          <w:numId w:val="11"/>
        </w:numPr>
        <w:divId w:val="568465116"/>
        <w:rPr>
          <w:rFonts w:eastAsia="Times New Roman"/>
        </w:rPr>
      </w:pPr>
      <w:r w:rsidRPr="00EC4603">
        <w:rPr>
          <w:rFonts w:eastAsia="Times New Roman"/>
        </w:rPr>
        <w:t xml:space="preserve">Global and Tropical Health Division, Menzies School of Health Research, Darwin, Australia. </w:t>
      </w:r>
    </w:p>
    <w:p w14:paraId="498C7ED8" w14:textId="77777777" w:rsidR="00037054" w:rsidRPr="00EC4603" w:rsidRDefault="00037054" w:rsidP="00EC4603">
      <w:pPr>
        <w:pStyle w:val="ListParagraph"/>
        <w:numPr>
          <w:ilvl w:val="0"/>
          <w:numId w:val="11"/>
        </w:numPr>
        <w:divId w:val="568465116"/>
        <w:rPr>
          <w:rFonts w:eastAsia="Times New Roman"/>
        </w:rPr>
      </w:pPr>
      <w:r w:rsidRPr="00EC4603">
        <w:rPr>
          <w:rFonts w:eastAsia="Times New Roman"/>
        </w:rPr>
        <w:t xml:space="preserve">National Centre for Epidemiology and Population Health, College of Health &amp; Medicine, Australian National University, Canberra, Australia. </w:t>
      </w:r>
    </w:p>
    <w:p w14:paraId="3E0C2832" w14:textId="1063D54B" w:rsidR="00CD534B" w:rsidRDefault="00CD534B">
      <w:pPr>
        <w:rPr>
          <w:rFonts w:asciiTheme="majorHAnsi" w:eastAsiaTheme="majorEastAsia" w:hAnsiTheme="majorHAnsi" w:cstheme="majorBidi"/>
          <w:b/>
          <w:bCs/>
          <w:sz w:val="26"/>
          <w:szCs w:val="26"/>
        </w:rPr>
      </w:pPr>
    </w:p>
    <w:p w14:paraId="2DEB0786" w14:textId="20CB9B29" w:rsidR="00037054" w:rsidRPr="00EC4603" w:rsidRDefault="00037054" w:rsidP="009F0C10">
      <w:pPr>
        <w:pStyle w:val="Heading2"/>
        <w:spacing w:after="200"/>
        <w:divId w:val="568465116"/>
      </w:pPr>
      <w:r w:rsidRPr="00EC4603">
        <w:t xml:space="preserve">Corresponding author </w:t>
      </w:r>
    </w:p>
    <w:p w14:paraId="2C8C7E77" w14:textId="77777777" w:rsidR="00037054" w:rsidRDefault="00037054" w:rsidP="00EC4603">
      <w:pPr>
        <w:divId w:val="568465116"/>
      </w:pPr>
      <w:r>
        <w:t xml:space="preserve">Astrid Stark </w:t>
      </w:r>
    </w:p>
    <w:p w14:paraId="24DC6C74" w14:textId="77777777" w:rsidR="00037054" w:rsidRDefault="00037054" w:rsidP="00EC4603">
      <w:pPr>
        <w:divId w:val="568465116"/>
      </w:pPr>
      <w:r>
        <w:t xml:space="preserve">Centre for Disease Control Darwin, Public Health Division, NT Health </w:t>
      </w:r>
    </w:p>
    <w:p w14:paraId="37397416" w14:textId="77777777" w:rsidR="00037054" w:rsidRDefault="00037054" w:rsidP="00EC4603">
      <w:pPr>
        <w:divId w:val="568465116"/>
      </w:pPr>
      <w:r>
        <w:t xml:space="preserve">Block 4 (John Hargrave Building), Royal Darwin Hospital, Tiwi, GPO Box 40596, Casuarina, NT 0811 </w:t>
      </w:r>
    </w:p>
    <w:p w14:paraId="32273095" w14:textId="77777777" w:rsidR="00037054" w:rsidRDefault="00037054" w:rsidP="00EC4603">
      <w:pPr>
        <w:divId w:val="568465116"/>
      </w:pPr>
      <w:r>
        <w:t xml:space="preserve">Ph: 08 8922 8044 </w:t>
      </w:r>
    </w:p>
    <w:p w14:paraId="247F8DA3" w14:textId="77777777" w:rsidR="00037054" w:rsidRDefault="00037054" w:rsidP="00EC4603">
      <w:pPr>
        <w:divId w:val="568465116"/>
      </w:pPr>
      <w:r>
        <w:t xml:space="preserve">astrid.stark@nt.gov.au </w:t>
      </w:r>
    </w:p>
    <w:p w14:paraId="4C6960F5" w14:textId="77777777" w:rsidR="00037054" w:rsidRDefault="00037054" w:rsidP="00EC4603">
      <w:pPr>
        <w:divId w:val="568465116"/>
      </w:pPr>
      <w:r>
        <w:t>CDCSurveillance.Darwin@nt.gov.au</w:t>
      </w:r>
    </w:p>
    <w:p w14:paraId="01B9806F" w14:textId="77777777" w:rsidR="00037054" w:rsidRPr="00EC4603" w:rsidRDefault="00037054" w:rsidP="00EC4603">
      <w:pPr>
        <w:pStyle w:val="Heading1"/>
        <w:divId w:val="568465116"/>
      </w:pPr>
      <w:r w:rsidRPr="00EC4603">
        <w:t xml:space="preserve">References </w:t>
      </w:r>
    </w:p>
    <w:p w14:paraId="4480C53E" w14:textId="77777777" w:rsidR="00037054" w:rsidRPr="00EC4603" w:rsidRDefault="00037054" w:rsidP="00EC4603">
      <w:pPr>
        <w:pStyle w:val="ListParagraph"/>
        <w:numPr>
          <w:ilvl w:val="0"/>
          <w:numId w:val="12"/>
        </w:numPr>
        <w:divId w:val="568465116"/>
        <w:rPr>
          <w:rFonts w:eastAsia="Times New Roman"/>
        </w:rPr>
      </w:pPr>
      <w:proofErr w:type="spellStart"/>
      <w:r w:rsidRPr="00EC4603">
        <w:rPr>
          <w:rFonts w:eastAsia="Times New Roman"/>
        </w:rPr>
        <w:t>Karpagam</w:t>
      </w:r>
      <w:proofErr w:type="spellEnd"/>
      <w:r w:rsidRPr="00EC4603">
        <w:rPr>
          <w:rFonts w:eastAsia="Times New Roman"/>
        </w:rPr>
        <w:t xml:space="preserve"> KB, Ganesh B. Leptospirosis: a neglected tropical zoonotic infection of public health importance—an updated review. </w:t>
      </w:r>
      <w:proofErr w:type="spellStart"/>
      <w:r w:rsidRPr="00EC4603">
        <w:rPr>
          <w:rStyle w:val="Emphasis"/>
          <w:rFonts w:eastAsia="Times New Roman"/>
          <w:b w:val="0"/>
          <w:bCs w:val="0"/>
        </w:rPr>
        <w:t>Eur</w:t>
      </w:r>
      <w:proofErr w:type="spellEnd"/>
      <w:r w:rsidRPr="00EC4603">
        <w:rPr>
          <w:rStyle w:val="Emphasis"/>
          <w:rFonts w:eastAsia="Times New Roman"/>
          <w:b w:val="0"/>
          <w:bCs w:val="0"/>
        </w:rPr>
        <w:t xml:space="preserve"> J Clin </w:t>
      </w:r>
      <w:proofErr w:type="spellStart"/>
      <w:r w:rsidRPr="00EC4603">
        <w:rPr>
          <w:rStyle w:val="Emphasis"/>
          <w:rFonts w:eastAsia="Times New Roman"/>
          <w:b w:val="0"/>
          <w:bCs w:val="0"/>
        </w:rPr>
        <w:t>Microbiol</w:t>
      </w:r>
      <w:proofErr w:type="spellEnd"/>
      <w:r w:rsidRPr="00EC4603">
        <w:rPr>
          <w:rStyle w:val="Emphasis"/>
          <w:rFonts w:eastAsia="Times New Roman"/>
          <w:b w:val="0"/>
          <w:bCs w:val="0"/>
        </w:rPr>
        <w:t xml:space="preserve"> Infect Dis</w:t>
      </w:r>
      <w:r w:rsidRPr="00EC4603">
        <w:rPr>
          <w:rFonts w:eastAsia="Times New Roman"/>
        </w:rPr>
        <w:t xml:space="preserve">. 2020;39(5):835–46. </w:t>
      </w:r>
      <w:proofErr w:type="spellStart"/>
      <w:r w:rsidRPr="00EC4603">
        <w:rPr>
          <w:rFonts w:eastAsia="Times New Roman"/>
        </w:rPr>
        <w:t>doi</w:t>
      </w:r>
      <w:proofErr w:type="spellEnd"/>
      <w:r w:rsidRPr="00EC4603">
        <w:rPr>
          <w:rFonts w:eastAsia="Times New Roman"/>
        </w:rPr>
        <w:t xml:space="preserve">: https://doi.org/10.1007/s10096-019-03797-4. </w:t>
      </w:r>
    </w:p>
    <w:p w14:paraId="1B1BA7BB"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Lau CL, Skelly C, </w:t>
      </w:r>
      <w:proofErr w:type="spellStart"/>
      <w:r w:rsidRPr="00EC4603">
        <w:rPr>
          <w:rFonts w:eastAsia="Times New Roman"/>
        </w:rPr>
        <w:t>Dohnt</w:t>
      </w:r>
      <w:proofErr w:type="spellEnd"/>
      <w:r w:rsidRPr="00EC4603">
        <w:rPr>
          <w:rFonts w:eastAsia="Times New Roman"/>
        </w:rPr>
        <w:t xml:space="preserve"> M, Smythe LD. The emergence of </w:t>
      </w:r>
      <w:r w:rsidRPr="00EC4603">
        <w:rPr>
          <w:rStyle w:val="Emphasis"/>
          <w:rFonts w:eastAsia="Times New Roman"/>
          <w:b w:val="0"/>
          <w:bCs w:val="0"/>
        </w:rPr>
        <w:t xml:space="preserve">Leptospira </w:t>
      </w:r>
      <w:proofErr w:type="spellStart"/>
      <w:r w:rsidRPr="00EC4603">
        <w:rPr>
          <w:rStyle w:val="Emphasis"/>
          <w:rFonts w:eastAsia="Times New Roman"/>
          <w:b w:val="0"/>
          <w:bCs w:val="0"/>
        </w:rPr>
        <w:t>borgpetersenii</w:t>
      </w:r>
      <w:proofErr w:type="spellEnd"/>
      <w:r w:rsidRPr="00EC4603">
        <w:rPr>
          <w:rFonts w:eastAsia="Times New Roman"/>
        </w:rPr>
        <w:t xml:space="preserve"> serovar Arborea in Queensland, Australia, 2001 to 2013. </w:t>
      </w:r>
      <w:r w:rsidRPr="00EC4603">
        <w:rPr>
          <w:rStyle w:val="Emphasis"/>
          <w:rFonts w:eastAsia="Times New Roman"/>
          <w:b w:val="0"/>
          <w:bCs w:val="0"/>
        </w:rPr>
        <w:t>BMC Infect Dis</w:t>
      </w:r>
      <w:r w:rsidRPr="00EC4603">
        <w:rPr>
          <w:rFonts w:eastAsia="Times New Roman"/>
        </w:rPr>
        <w:t xml:space="preserve">. 2015;15(1):230. </w:t>
      </w:r>
      <w:proofErr w:type="spellStart"/>
      <w:r w:rsidRPr="00EC4603">
        <w:rPr>
          <w:rFonts w:eastAsia="Times New Roman"/>
        </w:rPr>
        <w:t>doi</w:t>
      </w:r>
      <w:proofErr w:type="spellEnd"/>
      <w:r w:rsidRPr="00EC4603">
        <w:rPr>
          <w:rFonts w:eastAsia="Times New Roman"/>
        </w:rPr>
        <w:t xml:space="preserve">: https://doi.org/10.1186/s12879-015-0982-0. </w:t>
      </w:r>
    </w:p>
    <w:p w14:paraId="0EFE7100"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Schneider MC, Velasco-Hernandez J, Min KD, Leonel DG, Baca-Carrasco D, </w:t>
      </w:r>
      <w:proofErr w:type="spellStart"/>
      <w:r w:rsidRPr="00EC4603">
        <w:rPr>
          <w:rFonts w:eastAsia="Times New Roman"/>
        </w:rPr>
        <w:t>Gompper</w:t>
      </w:r>
      <w:proofErr w:type="spellEnd"/>
      <w:r w:rsidRPr="00EC4603">
        <w:rPr>
          <w:rFonts w:eastAsia="Times New Roman"/>
        </w:rPr>
        <w:t xml:space="preserve"> ME et al. The use of chemoprophylaxis after floods to reduce the occurrence and impact of leptospirosis outbreaks. </w:t>
      </w:r>
      <w:r w:rsidRPr="00EC4603">
        <w:rPr>
          <w:rStyle w:val="Emphasis"/>
          <w:rFonts w:eastAsia="Times New Roman"/>
          <w:b w:val="0"/>
          <w:bCs w:val="0"/>
        </w:rPr>
        <w:t>Int J Environ Res Public Health</w:t>
      </w:r>
      <w:r w:rsidRPr="00EC4603">
        <w:rPr>
          <w:rFonts w:eastAsia="Times New Roman"/>
        </w:rPr>
        <w:t xml:space="preserve">. 2017;14(6):594. </w:t>
      </w:r>
      <w:proofErr w:type="spellStart"/>
      <w:r w:rsidRPr="00EC4603">
        <w:rPr>
          <w:rFonts w:eastAsia="Times New Roman"/>
        </w:rPr>
        <w:t>doi</w:t>
      </w:r>
      <w:proofErr w:type="spellEnd"/>
      <w:r w:rsidRPr="00EC4603">
        <w:rPr>
          <w:rFonts w:eastAsia="Times New Roman"/>
        </w:rPr>
        <w:t xml:space="preserve">: https://doi.org/10.3390/ijerph14060594. </w:t>
      </w:r>
    </w:p>
    <w:p w14:paraId="5241CC17"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Lau CL, Smythe LD, Craig SB, Weinstein P. Climate change, flooding, </w:t>
      </w:r>
      <w:proofErr w:type="gramStart"/>
      <w:r w:rsidRPr="00EC4603">
        <w:rPr>
          <w:rFonts w:eastAsia="Times New Roman"/>
        </w:rPr>
        <w:t>urbanisation</w:t>
      </w:r>
      <w:proofErr w:type="gramEnd"/>
      <w:r w:rsidRPr="00EC4603">
        <w:rPr>
          <w:rFonts w:eastAsia="Times New Roman"/>
        </w:rPr>
        <w:t xml:space="preserve"> and leptospirosis: fuelling the fire? </w:t>
      </w:r>
      <w:r w:rsidRPr="00EC4603">
        <w:rPr>
          <w:rStyle w:val="Emphasis"/>
          <w:rFonts w:eastAsia="Times New Roman"/>
          <w:b w:val="0"/>
          <w:bCs w:val="0"/>
        </w:rPr>
        <w:t xml:space="preserve">Trans R Soc Trop Med </w:t>
      </w:r>
      <w:proofErr w:type="spellStart"/>
      <w:r w:rsidRPr="00EC4603">
        <w:rPr>
          <w:rStyle w:val="Emphasis"/>
          <w:rFonts w:eastAsia="Times New Roman"/>
          <w:b w:val="0"/>
          <w:bCs w:val="0"/>
        </w:rPr>
        <w:t>Hyg</w:t>
      </w:r>
      <w:proofErr w:type="spellEnd"/>
      <w:r w:rsidRPr="00EC4603">
        <w:rPr>
          <w:rFonts w:eastAsia="Times New Roman"/>
        </w:rPr>
        <w:t xml:space="preserve">. 2010;104(10):631–8. </w:t>
      </w:r>
      <w:proofErr w:type="spellStart"/>
      <w:r w:rsidRPr="00EC4603">
        <w:rPr>
          <w:rFonts w:eastAsia="Times New Roman"/>
        </w:rPr>
        <w:t>doi</w:t>
      </w:r>
      <w:proofErr w:type="spellEnd"/>
      <w:r w:rsidRPr="00EC4603">
        <w:rPr>
          <w:rFonts w:eastAsia="Times New Roman"/>
        </w:rPr>
        <w:t xml:space="preserve">: https://doi.org/10.1016/j.trstmh.2010.07.002. </w:t>
      </w:r>
    </w:p>
    <w:p w14:paraId="413F65F2" w14:textId="77777777" w:rsidR="00037054" w:rsidRPr="00EC4603" w:rsidRDefault="00037054" w:rsidP="00EC4603">
      <w:pPr>
        <w:pStyle w:val="ListParagraph"/>
        <w:numPr>
          <w:ilvl w:val="0"/>
          <w:numId w:val="12"/>
        </w:numPr>
        <w:divId w:val="568465116"/>
        <w:rPr>
          <w:rFonts w:eastAsia="Times New Roman"/>
        </w:rPr>
      </w:pPr>
      <w:proofErr w:type="spellStart"/>
      <w:r w:rsidRPr="00EC4603">
        <w:rPr>
          <w:rFonts w:eastAsia="Times New Roman"/>
        </w:rPr>
        <w:t>Haake</w:t>
      </w:r>
      <w:proofErr w:type="spellEnd"/>
      <w:r w:rsidRPr="00EC4603">
        <w:rPr>
          <w:rFonts w:eastAsia="Times New Roman"/>
        </w:rPr>
        <w:t xml:space="preserve">, DA, </w:t>
      </w:r>
      <w:proofErr w:type="spellStart"/>
      <w:r w:rsidRPr="00EC4603">
        <w:rPr>
          <w:rFonts w:eastAsia="Times New Roman"/>
        </w:rPr>
        <w:t>Levett</w:t>
      </w:r>
      <w:proofErr w:type="spellEnd"/>
      <w:r w:rsidRPr="00EC4603">
        <w:rPr>
          <w:rFonts w:eastAsia="Times New Roman"/>
        </w:rPr>
        <w:t xml:space="preserve">, PN. Leptospirosis in humans. </w:t>
      </w:r>
      <w:proofErr w:type="spellStart"/>
      <w:r w:rsidRPr="00EC4603">
        <w:rPr>
          <w:rStyle w:val="Emphasis"/>
          <w:rFonts w:eastAsia="Times New Roman"/>
          <w:b w:val="0"/>
          <w:bCs w:val="0"/>
        </w:rPr>
        <w:t>Curr</w:t>
      </w:r>
      <w:proofErr w:type="spellEnd"/>
      <w:r w:rsidRPr="00EC4603">
        <w:rPr>
          <w:rStyle w:val="Emphasis"/>
          <w:rFonts w:eastAsia="Times New Roman"/>
          <w:b w:val="0"/>
          <w:bCs w:val="0"/>
        </w:rPr>
        <w:t xml:space="preserve"> Top </w:t>
      </w:r>
      <w:proofErr w:type="spellStart"/>
      <w:r w:rsidRPr="00EC4603">
        <w:rPr>
          <w:rStyle w:val="Emphasis"/>
          <w:rFonts w:eastAsia="Times New Roman"/>
          <w:b w:val="0"/>
          <w:bCs w:val="0"/>
        </w:rPr>
        <w:t>Microbiol</w:t>
      </w:r>
      <w:proofErr w:type="spellEnd"/>
      <w:r w:rsidRPr="00EC4603">
        <w:rPr>
          <w:rStyle w:val="Emphasis"/>
          <w:rFonts w:eastAsia="Times New Roman"/>
          <w:b w:val="0"/>
          <w:bCs w:val="0"/>
        </w:rPr>
        <w:t xml:space="preserve"> Immunol</w:t>
      </w:r>
      <w:r w:rsidRPr="00EC4603">
        <w:rPr>
          <w:rFonts w:eastAsia="Times New Roman"/>
        </w:rPr>
        <w:t xml:space="preserve">. </w:t>
      </w:r>
      <w:proofErr w:type="gramStart"/>
      <w:r w:rsidRPr="00EC4603">
        <w:rPr>
          <w:rFonts w:eastAsia="Times New Roman"/>
        </w:rPr>
        <w:t>2015;387:65</w:t>
      </w:r>
      <w:proofErr w:type="gramEnd"/>
      <w:r w:rsidRPr="00EC4603">
        <w:rPr>
          <w:rFonts w:eastAsia="Times New Roman"/>
        </w:rPr>
        <w:t xml:space="preserve">–97. </w:t>
      </w:r>
      <w:proofErr w:type="spellStart"/>
      <w:r w:rsidRPr="00EC4603">
        <w:rPr>
          <w:rFonts w:eastAsia="Times New Roman"/>
        </w:rPr>
        <w:t>doi</w:t>
      </w:r>
      <w:proofErr w:type="spellEnd"/>
      <w:r w:rsidRPr="00EC4603">
        <w:rPr>
          <w:rFonts w:eastAsia="Times New Roman"/>
        </w:rPr>
        <w:t xml:space="preserve">: https://doi.org/10.1007/978-3-662-45059-8_5. </w:t>
      </w:r>
    </w:p>
    <w:p w14:paraId="3836DBB7"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lastRenderedPageBreak/>
        <w:t xml:space="preserve">Lau CL, Craig SB. Leptospirosis. In </w:t>
      </w:r>
      <w:proofErr w:type="spellStart"/>
      <w:r w:rsidRPr="00EC4603">
        <w:rPr>
          <w:rFonts w:eastAsia="Times New Roman"/>
        </w:rPr>
        <w:t>Heymann</w:t>
      </w:r>
      <w:proofErr w:type="spellEnd"/>
      <w:r w:rsidRPr="00EC4603">
        <w:rPr>
          <w:rFonts w:eastAsia="Times New Roman"/>
        </w:rPr>
        <w:t xml:space="preserve"> DL, ed. </w:t>
      </w:r>
      <w:r w:rsidRPr="00EC4603">
        <w:rPr>
          <w:rStyle w:val="Emphasis"/>
          <w:rFonts w:eastAsia="Times New Roman"/>
          <w:b w:val="0"/>
          <w:bCs w:val="0"/>
        </w:rPr>
        <w:t>Control of Communicable Diseases Manual</w:t>
      </w:r>
      <w:r w:rsidRPr="00EC4603">
        <w:rPr>
          <w:rFonts w:eastAsia="Times New Roman"/>
        </w:rPr>
        <w:t xml:space="preserve"> (20th edition). Washington, DC: American Public Health Association (APHA), 2015. </w:t>
      </w:r>
      <w:proofErr w:type="spellStart"/>
      <w:r w:rsidRPr="00EC4603">
        <w:rPr>
          <w:rFonts w:eastAsia="Times New Roman"/>
        </w:rPr>
        <w:t>doi</w:t>
      </w:r>
      <w:proofErr w:type="spellEnd"/>
      <w:r w:rsidRPr="00EC4603">
        <w:rPr>
          <w:rFonts w:eastAsia="Times New Roman"/>
        </w:rPr>
        <w:t xml:space="preserve">: https://doi.org/10.2105/CCDM.2745.090. </w:t>
      </w:r>
    </w:p>
    <w:p w14:paraId="2B97DD6A"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Wildlife Health Australia. Fact sheet: </w:t>
      </w:r>
      <w:r w:rsidRPr="00EC4603">
        <w:rPr>
          <w:rStyle w:val="Emphasis"/>
          <w:rFonts w:eastAsia="Times New Roman"/>
          <w:b w:val="0"/>
          <w:bCs w:val="0"/>
        </w:rPr>
        <w:t>Leptospira</w:t>
      </w:r>
      <w:r w:rsidRPr="00EC4603">
        <w:rPr>
          <w:rFonts w:eastAsia="Times New Roman"/>
        </w:rPr>
        <w:t xml:space="preserve"> infection in Australian mammals. [Internet.] Sydney: Wildlife Health Australia; September 2018. [Accessed on 13 June 2023.] Available from: https://wildlifehealthaustralia.com.au/Portals/0/Documents/FactSheets/Mammals/Leptospirosis.pdf. </w:t>
      </w:r>
    </w:p>
    <w:p w14:paraId="7C15EE7E"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World Health Organization (WHO) Regional Office for South-East Asia (SEARO). </w:t>
      </w:r>
      <w:r w:rsidRPr="00EC4603">
        <w:rPr>
          <w:rStyle w:val="Emphasis"/>
          <w:rFonts w:eastAsia="Times New Roman"/>
          <w:b w:val="0"/>
          <w:bCs w:val="0"/>
        </w:rPr>
        <w:t>Fact sheet: Leptospirosis</w:t>
      </w:r>
      <w:r w:rsidRPr="00EC4603">
        <w:rPr>
          <w:rFonts w:eastAsia="Times New Roman"/>
        </w:rPr>
        <w:t xml:space="preserve">. New Delhi: SEARO; 2009. [Accessed on 13 June 2023.] Available from: https://apps.who.int/iris/handle/10665/205437. </w:t>
      </w:r>
    </w:p>
    <w:p w14:paraId="706B4072"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Burgess P, Krause V, Whiting S, </w:t>
      </w:r>
      <w:proofErr w:type="spellStart"/>
      <w:r w:rsidRPr="00EC4603">
        <w:rPr>
          <w:rFonts w:eastAsia="Times New Roman"/>
        </w:rPr>
        <w:t>McGloughlin</w:t>
      </w:r>
      <w:proofErr w:type="spellEnd"/>
      <w:r w:rsidRPr="00EC4603">
        <w:rPr>
          <w:rFonts w:eastAsia="Times New Roman"/>
        </w:rPr>
        <w:t xml:space="preserve"> S. Leptospirosis: an occupational hazard for crocodile egg collectors. </w:t>
      </w:r>
      <w:r w:rsidRPr="00EC4603">
        <w:rPr>
          <w:rStyle w:val="Emphasis"/>
          <w:rFonts w:eastAsia="Times New Roman"/>
          <w:b w:val="0"/>
          <w:bCs w:val="0"/>
        </w:rPr>
        <w:t>N T Dis Control Bull</w:t>
      </w:r>
      <w:r w:rsidRPr="00EC4603">
        <w:rPr>
          <w:rFonts w:eastAsia="Times New Roman"/>
        </w:rPr>
        <w:t xml:space="preserve">. 2011;18(1):17–8. Available from: https://digitallibrary.health.nt.gov.au/prodjspui/bitstream/10137/506/424/Vol.%2018%20no%201%20March%202011.pdf. </w:t>
      </w:r>
    </w:p>
    <w:p w14:paraId="5D944C2D"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Snelling T, Krause V, Dempsey K, Symonds M, </w:t>
      </w:r>
      <w:proofErr w:type="spellStart"/>
      <w:r w:rsidRPr="00EC4603">
        <w:rPr>
          <w:rFonts w:eastAsia="Times New Roman"/>
        </w:rPr>
        <w:t>Dohnt</w:t>
      </w:r>
      <w:proofErr w:type="spellEnd"/>
      <w:r w:rsidRPr="00EC4603">
        <w:rPr>
          <w:rFonts w:eastAsia="Times New Roman"/>
        </w:rPr>
        <w:t xml:space="preserve"> M, Smythe LD. Leptospirosis in the Top End of the Northern Territory: an investigation into the occupational risk to crocodile handlers. </w:t>
      </w:r>
      <w:r w:rsidRPr="00EC4603">
        <w:rPr>
          <w:rStyle w:val="Emphasis"/>
          <w:rFonts w:eastAsia="Times New Roman"/>
          <w:b w:val="0"/>
          <w:bCs w:val="0"/>
        </w:rPr>
        <w:t>N T Dis Control Bull.</w:t>
      </w:r>
      <w:r w:rsidRPr="00EC4603">
        <w:rPr>
          <w:rFonts w:eastAsia="Times New Roman"/>
        </w:rPr>
        <w:t xml:space="preserve"> 2004;11(3):1–6. Available from: https://digitallibrary.health.nt.gov.au/prodjspui/bitstream/10137/506/450/Vol.%2011%20no%203%20September%202004.pdf. </w:t>
      </w:r>
    </w:p>
    <w:p w14:paraId="1D3B3071"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Brown DR, Peiris R, Waller C, Stedman EM, Fitzpatrick SE, Krause VL et al. An outbreak of leptospirosis associated with cattle workers during the wet season, in the Northern Territory of Australia, 2021. </w:t>
      </w:r>
      <w:proofErr w:type="spellStart"/>
      <w:r w:rsidRPr="00EC4603">
        <w:rPr>
          <w:rStyle w:val="Emphasis"/>
          <w:rFonts w:eastAsia="Times New Roman"/>
          <w:b w:val="0"/>
          <w:bCs w:val="0"/>
        </w:rPr>
        <w:t>Commun</w:t>
      </w:r>
      <w:proofErr w:type="spellEnd"/>
      <w:r w:rsidRPr="00EC4603">
        <w:rPr>
          <w:rStyle w:val="Emphasis"/>
          <w:rFonts w:eastAsia="Times New Roman"/>
          <w:b w:val="0"/>
          <w:bCs w:val="0"/>
        </w:rPr>
        <w:t xml:space="preserve"> Dis </w:t>
      </w:r>
      <w:proofErr w:type="spellStart"/>
      <w:r w:rsidRPr="00EC4603">
        <w:rPr>
          <w:rStyle w:val="Emphasis"/>
          <w:rFonts w:eastAsia="Times New Roman"/>
          <w:b w:val="0"/>
          <w:bCs w:val="0"/>
        </w:rPr>
        <w:t>Intell</w:t>
      </w:r>
      <w:proofErr w:type="spellEnd"/>
      <w:r w:rsidRPr="00EC4603">
        <w:rPr>
          <w:rStyle w:val="Emphasis"/>
          <w:rFonts w:eastAsia="Times New Roman"/>
          <w:b w:val="0"/>
          <w:bCs w:val="0"/>
        </w:rPr>
        <w:t xml:space="preserve"> (2018)</w:t>
      </w:r>
      <w:r w:rsidRPr="00EC4603">
        <w:rPr>
          <w:rFonts w:eastAsia="Times New Roman"/>
        </w:rPr>
        <w:t>. 2022;</w:t>
      </w:r>
      <w:proofErr w:type="gramStart"/>
      <w:r w:rsidRPr="00EC4603">
        <w:rPr>
          <w:rFonts w:eastAsia="Times New Roman"/>
        </w:rPr>
        <w:t>46</w:t>
      </w:r>
      <w:proofErr w:type="gramEnd"/>
      <w:r w:rsidRPr="00EC4603">
        <w:rPr>
          <w:rFonts w:eastAsia="Times New Roman"/>
        </w:rPr>
        <w:t xml:space="preserve">. </w:t>
      </w:r>
      <w:proofErr w:type="spellStart"/>
      <w:r w:rsidRPr="00EC4603">
        <w:rPr>
          <w:rFonts w:eastAsia="Times New Roman"/>
        </w:rPr>
        <w:t>doi</w:t>
      </w:r>
      <w:proofErr w:type="spellEnd"/>
      <w:r w:rsidRPr="00EC4603">
        <w:rPr>
          <w:rFonts w:eastAsia="Times New Roman"/>
        </w:rPr>
        <w:t xml:space="preserve">: https://doi.org/10.33321/cdi.2022.46.23. </w:t>
      </w:r>
    </w:p>
    <w:p w14:paraId="02BE2D94"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Australian Government Department of Health and Aged Care. Australian national notifiable diseases case definitions. Leptospirosis surveillance case definition. [Internet.] Canberra: Australian Government Department of Health and Aged Care; 12 March 2004. [Accessed on 13 June 2023.] Available from: https://www.health.gov.au/resources/publications/leptospirosis-surveillance-case-definition. </w:t>
      </w:r>
    </w:p>
    <w:p w14:paraId="54E74807"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Queensland Government Department of Health (Queensland Health). </w:t>
      </w:r>
      <w:r w:rsidRPr="00EC4603">
        <w:rPr>
          <w:rStyle w:val="Emphasis"/>
          <w:rFonts w:eastAsia="Times New Roman"/>
          <w:b w:val="0"/>
          <w:bCs w:val="0"/>
        </w:rPr>
        <w:t>Leptospirosis Case Report Form</w:t>
      </w:r>
      <w:r w:rsidRPr="00EC4603">
        <w:rPr>
          <w:rFonts w:eastAsia="Times New Roman"/>
        </w:rPr>
        <w:t xml:space="preserve">. Brisbane: Queensland Health; November 2011. [Accessed on 13 June 2023.] Available from: https://www.health.qld.gov.au/__data/assets/pdf_file/0024/422880/cr-lepto.pdf. </w:t>
      </w:r>
    </w:p>
    <w:p w14:paraId="47C31667"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Australian Bureau of Meteorology. Monthly Climate Summary for Northern Territory. Northern Territory in February 2022: dry in the north; wet and cool in the south. [Internet.] Canberra: Australian Government Bureau of Meteorology; 1 March 2022. [Accessed on 13 June 2023.] Available from: http://www.bom.gov.au/climate/current/month/nt/archive/202202.summary.shtml. </w:t>
      </w:r>
    </w:p>
    <w:p w14:paraId="223F4071"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Australian Bureau of Meteorology. Monthly Climate Summary for Northern Territory. Northern Territory in December 2022: eighth-wettest December on record. [Internet.] Canberra: Australian Government Bureau of Meteorology; 3 January 2023. [Accessed on 13 June 2023.] Available from: http://www.bom.gov.au/climate/current/month/nt/archive/202212.summary.shtml. </w:t>
      </w:r>
    </w:p>
    <w:p w14:paraId="6F97EC6A"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Australian Government Department of Health and Aged Care. National Notifiable Disease Surveillance System (NNDSS). National Communicable Disease Surveillance Dashboard. [Internet.] Canberra: Australian Government Department of Health and Aged Care; 2023. [Accessed on 13 June 2023.] Available from: https://nindss.health.gov.au/pbi-dashboard/. </w:t>
      </w:r>
    </w:p>
    <w:p w14:paraId="325595A5"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Parks and Wildlife Commission of the Northern Territory. </w:t>
      </w:r>
      <w:r w:rsidRPr="00EC4603">
        <w:rPr>
          <w:rStyle w:val="Emphasis"/>
          <w:rFonts w:eastAsia="Times New Roman"/>
          <w:b w:val="0"/>
          <w:bCs w:val="0"/>
        </w:rPr>
        <w:t>Information Sheet: Fogg Dam Conservation Reserve: water pythons and dusky rats</w:t>
      </w:r>
      <w:r w:rsidRPr="00EC4603">
        <w:rPr>
          <w:rFonts w:eastAsia="Times New Roman"/>
        </w:rPr>
        <w:t xml:space="preserve">. Darwin: Northern Territory Government; 2023. [Accessed on 13 June 2023.] Available from: https://nt.gov.au/__data/assets/pdf_file/0007/1029580/fogg-dam-water-pythons-and-dusky-rats-information-sheet.pdf. </w:t>
      </w:r>
    </w:p>
    <w:p w14:paraId="185AAD97"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Northern Territory Government Department of Environment, </w:t>
      </w:r>
      <w:proofErr w:type="gramStart"/>
      <w:r w:rsidRPr="00EC4603">
        <w:rPr>
          <w:rFonts w:eastAsia="Times New Roman"/>
        </w:rPr>
        <w:t>Parks</w:t>
      </w:r>
      <w:proofErr w:type="gramEnd"/>
      <w:r w:rsidRPr="00EC4603">
        <w:rPr>
          <w:rFonts w:eastAsia="Times New Roman"/>
        </w:rPr>
        <w:t xml:space="preserve"> and Water Security. </w:t>
      </w:r>
      <w:r w:rsidRPr="00EC4603">
        <w:rPr>
          <w:rStyle w:val="Emphasis"/>
          <w:rFonts w:eastAsia="Times New Roman"/>
          <w:b w:val="0"/>
          <w:bCs w:val="0"/>
        </w:rPr>
        <w:t xml:space="preserve">Threatened species of the Northern Territory: Black-footed tree-rat. (Kimberley and mainland Northern </w:t>
      </w:r>
      <w:r w:rsidRPr="00EC4603">
        <w:rPr>
          <w:rStyle w:val="Emphasis"/>
          <w:rFonts w:eastAsia="Times New Roman"/>
          <w:b w:val="0"/>
          <w:bCs w:val="0"/>
        </w:rPr>
        <w:lastRenderedPageBreak/>
        <w:t>Territory)</w:t>
      </w:r>
      <w:r w:rsidRPr="00EC4603">
        <w:rPr>
          <w:rFonts w:eastAsia="Times New Roman"/>
        </w:rPr>
        <w:t xml:space="preserve">. [Internet] Darwin: Northern Territory Government Department of Environment, </w:t>
      </w:r>
      <w:proofErr w:type="gramStart"/>
      <w:r w:rsidRPr="00EC4603">
        <w:rPr>
          <w:rFonts w:eastAsia="Times New Roman"/>
        </w:rPr>
        <w:t>Parks</w:t>
      </w:r>
      <w:proofErr w:type="gramEnd"/>
      <w:r w:rsidRPr="00EC4603">
        <w:rPr>
          <w:rFonts w:eastAsia="Times New Roman"/>
        </w:rPr>
        <w:t xml:space="preserve"> and Water Security; November 2021. [Accessed on 13 June 2023.] Available from: https://nt.gov.au/__data/assets/pdf_file/0018/205515/black-footed-tree-rat-kimberley-mainland-nt.pdf. </w:t>
      </w:r>
    </w:p>
    <w:p w14:paraId="69C23ABE" w14:textId="77777777" w:rsidR="00037054" w:rsidRPr="00EC4603" w:rsidRDefault="00037054" w:rsidP="00EC4603">
      <w:pPr>
        <w:pStyle w:val="ListParagraph"/>
        <w:numPr>
          <w:ilvl w:val="0"/>
          <w:numId w:val="12"/>
        </w:numPr>
        <w:divId w:val="568465116"/>
        <w:rPr>
          <w:rFonts w:eastAsia="Times New Roman"/>
        </w:rPr>
      </w:pPr>
      <w:proofErr w:type="spellStart"/>
      <w:r w:rsidRPr="00EC4603">
        <w:rPr>
          <w:rFonts w:eastAsia="Times New Roman"/>
        </w:rPr>
        <w:t>Woinarski</w:t>
      </w:r>
      <w:proofErr w:type="spellEnd"/>
      <w:r w:rsidRPr="00EC4603">
        <w:rPr>
          <w:rFonts w:eastAsia="Times New Roman"/>
        </w:rPr>
        <w:t xml:space="preserve"> JCZ. The conservation status of rodents in the monsoonal tropics of the Northern Territory. </w:t>
      </w:r>
      <w:r w:rsidRPr="00EC4603">
        <w:rPr>
          <w:rStyle w:val="Emphasis"/>
          <w:rFonts w:eastAsia="Times New Roman"/>
          <w:b w:val="0"/>
          <w:bCs w:val="0"/>
        </w:rPr>
        <w:t>Wildlife Res</w:t>
      </w:r>
      <w:r w:rsidRPr="00EC4603">
        <w:rPr>
          <w:rFonts w:eastAsia="Times New Roman"/>
        </w:rPr>
        <w:t xml:space="preserve">. 2000;27(4):421–35. </w:t>
      </w:r>
      <w:proofErr w:type="spellStart"/>
      <w:r w:rsidRPr="00EC4603">
        <w:rPr>
          <w:rFonts w:eastAsia="Times New Roman"/>
        </w:rPr>
        <w:t>doi</w:t>
      </w:r>
      <w:proofErr w:type="spellEnd"/>
      <w:r w:rsidRPr="00EC4603">
        <w:rPr>
          <w:rFonts w:eastAsia="Times New Roman"/>
        </w:rPr>
        <w:t xml:space="preserve">: https://doi.org/10.1071/WR97047. </w:t>
      </w:r>
    </w:p>
    <w:p w14:paraId="5B547066"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Pérez-Flores J, </w:t>
      </w:r>
      <w:proofErr w:type="spellStart"/>
      <w:r w:rsidRPr="00EC4603">
        <w:rPr>
          <w:rFonts w:eastAsia="Times New Roman"/>
        </w:rPr>
        <w:t>Charruau</w:t>
      </w:r>
      <w:proofErr w:type="spellEnd"/>
      <w:r w:rsidRPr="00EC4603">
        <w:rPr>
          <w:rFonts w:eastAsia="Times New Roman"/>
        </w:rPr>
        <w:t xml:space="preserve"> P, Cedeño-Vázquez R, </w:t>
      </w:r>
      <w:proofErr w:type="spellStart"/>
      <w:r w:rsidRPr="00EC4603">
        <w:rPr>
          <w:rFonts w:eastAsia="Times New Roman"/>
        </w:rPr>
        <w:t>Atilano</w:t>
      </w:r>
      <w:proofErr w:type="spellEnd"/>
      <w:r w:rsidRPr="00EC4603">
        <w:rPr>
          <w:rFonts w:eastAsia="Times New Roman"/>
        </w:rPr>
        <w:t xml:space="preserve"> D. Evidence for wild crocodiles as a risk for human leptospirosis, Mexico. </w:t>
      </w:r>
      <w:proofErr w:type="spellStart"/>
      <w:r w:rsidRPr="00EC4603">
        <w:rPr>
          <w:rStyle w:val="Emphasis"/>
          <w:rFonts w:eastAsia="Times New Roman"/>
          <w:b w:val="0"/>
          <w:bCs w:val="0"/>
        </w:rPr>
        <w:t>Ecohealth</w:t>
      </w:r>
      <w:proofErr w:type="spellEnd"/>
      <w:r w:rsidRPr="00EC4603">
        <w:rPr>
          <w:rFonts w:eastAsia="Times New Roman"/>
        </w:rPr>
        <w:t xml:space="preserve">. 2017;14(1):58–68. </w:t>
      </w:r>
      <w:proofErr w:type="spellStart"/>
      <w:r w:rsidRPr="00EC4603">
        <w:rPr>
          <w:rFonts w:eastAsia="Times New Roman"/>
        </w:rPr>
        <w:t>doi</w:t>
      </w:r>
      <w:proofErr w:type="spellEnd"/>
      <w:r w:rsidRPr="00EC4603">
        <w:rPr>
          <w:rFonts w:eastAsia="Times New Roman"/>
        </w:rPr>
        <w:t xml:space="preserve">: https://doi.org/10.1007/s10393-016-1196-7. </w:t>
      </w:r>
    </w:p>
    <w:p w14:paraId="5168F00A"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Reiss A, Jackson B, Gillespie G, </w:t>
      </w:r>
      <w:proofErr w:type="spellStart"/>
      <w:r w:rsidRPr="00EC4603">
        <w:rPr>
          <w:rFonts w:eastAsia="Times New Roman"/>
        </w:rPr>
        <w:t>Stokeld</w:t>
      </w:r>
      <w:proofErr w:type="spellEnd"/>
      <w:r w:rsidRPr="00EC4603">
        <w:rPr>
          <w:rFonts w:eastAsia="Times New Roman"/>
        </w:rPr>
        <w:t xml:space="preserve"> D, Warren K. </w:t>
      </w:r>
      <w:r w:rsidRPr="00EC4603">
        <w:rPr>
          <w:rStyle w:val="Emphasis"/>
          <w:rFonts w:eastAsia="Times New Roman"/>
          <w:b w:val="0"/>
          <w:bCs w:val="0"/>
        </w:rPr>
        <w:t>Investigation of potential diseases associated with Northern Territory mammal declines: Final report</w:t>
      </w:r>
      <w:r w:rsidRPr="00EC4603">
        <w:rPr>
          <w:rFonts w:eastAsia="Times New Roman"/>
        </w:rPr>
        <w:t xml:space="preserve">. Darwin: Charles Darwin University; 2015. [Accessed on 13 June 2023.] Available from: https://espace.cdu.edu.au/eserv/cdu:53549/Reiss_53549.pdf. </w:t>
      </w:r>
    </w:p>
    <w:p w14:paraId="41CD9A8E" w14:textId="77777777" w:rsidR="00037054" w:rsidRPr="00EC4603" w:rsidRDefault="00037054" w:rsidP="00EC4603">
      <w:pPr>
        <w:pStyle w:val="ListParagraph"/>
        <w:numPr>
          <w:ilvl w:val="0"/>
          <w:numId w:val="12"/>
        </w:numPr>
        <w:divId w:val="568465116"/>
        <w:rPr>
          <w:rFonts w:eastAsia="Times New Roman"/>
        </w:rPr>
      </w:pPr>
      <w:proofErr w:type="spellStart"/>
      <w:r w:rsidRPr="00EC4603">
        <w:rPr>
          <w:rFonts w:eastAsia="Times New Roman"/>
        </w:rPr>
        <w:t>Takafuji</w:t>
      </w:r>
      <w:proofErr w:type="spellEnd"/>
      <w:r w:rsidRPr="00EC4603">
        <w:rPr>
          <w:rFonts w:eastAsia="Times New Roman"/>
        </w:rPr>
        <w:t xml:space="preserve"> ET, Kirkpatrick JW, Miller RN, </w:t>
      </w:r>
      <w:proofErr w:type="spellStart"/>
      <w:r w:rsidRPr="00EC4603">
        <w:rPr>
          <w:rFonts w:eastAsia="Times New Roman"/>
        </w:rPr>
        <w:t>Karwacki</w:t>
      </w:r>
      <w:proofErr w:type="spellEnd"/>
      <w:r w:rsidRPr="00EC4603">
        <w:rPr>
          <w:rFonts w:eastAsia="Times New Roman"/>
        </w:rPr>
        <w:t xml:space="preserve"> JJ, Kelley PW, Gray MR et al. An efficacy trial of doxycycline chemoprophylaxis against leptospirosis. </w:t>
      </w:r>
      <w:r w:rsidRPr="00EC4603">
        <w:rPr>
          <w:rStyle w:val="Emphasis"/>
          <w:rFonts w:eastAsia="Times New Roman"/>
          <w:b w:val="0"/>
          <w:bCs w:val="0"/>
        </w:rPr>
        <w:t xml:space="preserve">N </w:t>
      </w:r>
      <w:proofErr w:type="spellStart"/>
      <w:r w:rsidRPr="00EC4603">
        <w:rPr>
          <w:rStyle w:val="Emphasis"/>
          <w:rFonts w:eastAsia="Times New Roman"/>
          <w:b w:val="0"/>
          <w:bCs w:val="0"/>
        </w:rPr>
        <w:t>Engl</w:t>
      </w:r>
      <w:proofErr w:type="spellEnd"/>
      <w:r w:rsidRPr="00EC4603">
        <w:rPr>
          <w:rStyle w:val="Emphasis"/>
          <w:rFonts w:eastAsia="Times New Roman"/>
          <w:b w:val="0"/>
          <w:bCs w:val="0"/>
        </w:rPr>
        <w:t xml:space="preserve"> J Med</w:t>
      </w:r>
      <w:r w:rsidRPr="00EC4603">
        <w:rPr>
          <w:rFonts w:eastAsia="Times New Roman"/>
        </w:rPr>
        <w:t>. 1984;310(8):497–</w:t>
      </w:r>
      <w:proofErr w:type="gramStart"/>
      <w:r w:rsidRPr="00EC4603">
        <w:rPr>
          <w:rFonts w:eastAsia="Times New Roman"/>
        </w:rPr>
        <w:t>500</w:t>
      </w:r>
      <w:proofErr w:type="gramEnd"/>
      <w:r w:rsidRPr="00EC4603">
        <w:rPr>
          <w:rFonts w:eastAsia="Times New Roman"/>
        </w:rPr>
        <w:t xml:space="preserve">. </w:t>
      </w:r>
      <w:proofErr w:type="spellStart"/>
      <w:r w:rsidRPr="00EC4603">
        <w:rPr>
          <w:rFonts w:eastAsia="Times New Roman"/>
        </w:rPr>
        <w:t>doi</w:t>
      </w:r>
      <w:proofErr w:type="spellEnd"/>
      <w:r w:rsidRPr="00EC4603">
        <w:rPr>
          <w:rFonts w:eastAsia="Times New Roman"/>
        </w:rPr>
        <w:t xml:space="preserve">: https://doi.org/10.1056/nejm198402233100805. </w:t>
      </w:r>
    </w:p>
    <w:p w14:paraId="07AF1B25"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Sehgal SC, </w:t>
      </w:r>
      <w:proofErr w:type="spellStart"/>
      <w:r w:rsidRPr="00EC4603">
        <w:rPr>
          <w:rFonts w:eastAsia="Times New Roman"/>
        </w:rPr>
        <w:t>Sugunan</w:t>
      </w:r>
      <w:proofErr w:type="spellEnd"/>
      <w:r w:rsidRPr="00EC4603">
        <w:rPr>
          <w:rFonts w:eastAsia="Times New Roman"/>
        </w:rPr>
        <w:t xml:space="preserve"> AP, </w:t>
      </w:r>
      <w:proofErr w:type="spellStart"/>
      <w:r w:rsidRPr="00EC4603">
        <w:rPr>
          <w:rFonts w:eastAsia="Times New Roman"/>
        </w:rPr>
        <w:t>Murhekar</w:t>
      </w:r>
      <w:proofErr w:type="spellEnd"/>
      <w:r w:rsidRPr="00EC4603">
        <w:rPr>
          <w:rFonts w:eastAsia="Times New Roman"/>
        </w:rPr>
        <w:t xml:space="preserve"> MV, Sharma S, </w:t>
      </w:r>
      <w:proofErr w:type="spellStart"/>
      <w:r w:rsidRPr="00EC4603">
        <w:rPr>
          <w:rFonts w:eastAsia="Times New Roman"/>
        </w:rPr>
        <w:t>Vijayachari</w:t>
      </w:r>
      <w:proofErr w:type="spellEnd"/>
      <w:r w:rsidRPr="00EC4603">
        <w:rPr>
          <w:rFonts w:eastAsia="Times New Roman"/>
        </w:rPr>
        <w:t xml:space="preserve"> P. Randomized controlled trial of doxycycline prophylaxis against leptospirosis in an endemic area. </w:t>
      </w:r>
      <w:r w:rsidRPr="00EC4603">
        <w:rPr>
          <w:rStyle w:val="Emphasis"/>
          <w:rFonts w:eastAsia="Times New Roman"/>
          <w:b w:val="0"/>
          <w:bCs w:val="0"/>
        </w:rPr>
        <w:t xml:space="preserve">Int J </w:t>
      </w:r>
      <w:proofErr w:type="spellStart"/>
      <w:r w:rsidRPr="00EC4603">
        <w:rPr>
          <w:rStyle w:val="Emphasis"/>
          <w:rFonts w:eastAsia="Times New Roman"/>
          <w:b w:val="0"/>
          <w:bCs w:val="0"/>
        </w:rPr>
        <w:t>Antimicrob</w:t>
      </w:r>
      <w:proofErr w:type="spellEnd"/>
      <w:r w:rsidRPr="00EC4603">
        <w:rPr>
          <w:rStyle w:val="Emphasis"/>
          <w:rFonts w:eastAsia="Times New Roman"/>
          <w:b w:val="0"/>
          <w:bCs w:val="0"/>
        </w:rPr>
        <w:t xml:space="preserve"> Agents</w:t>
      </w:r>
      <w:r w:rsidRPr="00EC4603">
        <w:rPr>
          <w:rFonts w:eastAsia="Times New Roman"/>
        </w:rPr>
        <w:t xml:space="preserve">. 2000;13(4):249–55. </w:t>
      </w:r>
      <w:proofErr w:type="spellStart"/>
      <w:r w:rsidRPr="00EC4603">
        <w:rPr>
          <w:rFonts w:eastAsia="Times New Roman"/>
        </w:rPr>
        <w:t>doi</w:t>
      </w:r>
      <w:proofErr w:type="spellEnd"/>
      <w:r w:rsidRPr="00EC4603">
        <w:rPr>
          <w:rFonts w:eastAsia="Times New Roman"/>
        </w:rPr>
        <w:t xml:space="preserve">: https://doi.org/10.1016/s0924-8579(99)00134-x. </w:t>
      </w:r>
    </w:p>
    <w:p w14:paraId="63B120F2"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Queensland Health. Leptospirosis: Queensland Health Guidelines for Public Health Units. [Internet.] Brisbane: Queensland Health; August 2017. [Accessed on 13 June 2023.] Available from: https://www.health.qld.gov.au/cdcg/index/lepto. </w:t>
      </w:r>
    </w:p>
    <w:p w14:paraId="1D49E132" w14:textId="77777777" w:rsidR="00037054" w:rsidRPr="00EC4603" w:rsidRDefault="00037054" w:rsidP="00EC4603">
      <w:pPr>
        <w:pStyle w:val="ListParagraph"/>
        <w:numPr>
          <w:ilvl w:val="0"/>
          <w:numId w:val="12"/>
        </w:numPr>
        <w:divId w:val="568465116"/>
        <w:rPr>
          <w:rFonts w:eastAsia="Times New Roman"/>
        </w:rPr>
      </w:pPr>
      <w:proofErr w:type="spellStart"/>
      <w:r w:rsidRPr="00EC4603">
        <w:rPr>
          <w:rFonts w:eastAsia="Times New Roman"/>
        </w:rPr>
        <w:t>Alikhani</w:t>
      </w:r>
      <w:proofErr w:type="spellEnd"/>
      <w:r w:rsidRPr="00EC4603">
        <w:rPr>
          <w:rFonts w:eastAsia="Times New Roman"/>
        </w:rPr>
        <w:t xml:space="preserve"> A, </w:t>
      </w:r>
      <w:proofErr w:type="spellStart"/>
      <w:r w:rsidRPr="00EC4603">
        <w:rPr>
          <w:rFonts w:eastAsia="Times New Roman"/>
        </w:rPr>
        <w:t>Salehifar</w:t>
      </w:r>
      <w:proofErr w:type="spellEnd"/>
      <w:r w:rsidRPr="00EC4603">
        <w:rPr>
          <w:rFonts w:eastAsia="Times New Roman"/>
        </w:rPr>
        <w:t xml:space="preserve"> E, </w:t>
      </w:r>
      <w:proofErr w:type="spellStart"/>
      <w:r w:rsidRPr="00EC4603">
        <w:rPr>
          <w:rFonts w:eastAsia="Times New Roman"/>
        </w:rPr>
        <w:t>Zameni</w:t>
      </w:r>
      <w:proofErr w:type="spellEnd"/>
      <w:r w:rsidRPr="00EC4603">
        <w:rPr>
          <w:rFonts w:eastAsia="Times New Roman"/>
        </w:rPr>
        <w:t xml:space="preserve"> F, </w:t>
      </w:r>
      <w:proofErr w:type="spellStart"/>
      <w:r w:rsidRPr="00EC4603">
        <w:rPr>
          <w:rFonts w:eastAsia="Times New Roman"/>
        </w:rPr>
        <w:t>Rafiei</w:t>
      </w:r>
      <w:proofErr w:type="spellEnd"/>
      <w:r w:rsidRPr="00EC4603">
        <w:rPr>
          <w:rFonts w:eastAsia="Times New Roman"/>
        </w:rPr>
        <w:t xml:space="preserve"> A, Yazdani-</w:t>
      </w:r>
      <w:proofErr w:type="spellStart"/>
      <w:r w:rsidRPr="00EC4603">
        <w:rPr>
          <w:rFonts w:eastAsia="Times New Roman"/>
        </w:rPr>
        <w:t>Charati</w:t>
      </w:r>
      <w:proofErr w:type="spellEnd"/>
      <w:r w:rsidRPr="00EC4603">
        <w:rPr>
          <w:rFonts w:eastAsia="Times New Roman"/>
        </w:rPr>
        <w:t xml:space="preserve"> J, </w:t>
      </w:r>
      <w:proofErr w:type="spellStart"/>
      <w:r w:rsidRPr="00EC4603">
        <w:rPr>
          <w:rFonts w:eastAsia="Times New Roman"/>
        </w:rPr>
        <w:t>Delavaryan</w:t>
      </w:r>
      <w:proofErr w:type="spellEnd"/>
      <w:r w:rsidRPr="00EC4603">
        <w:rPr>
          <w:rFonts w:eastAsia="Times New Roman"/>
        </w:rPr>
        <w:t xml:space="preserve"> L et al. Comparison of azithromycin vs doxycycline prophylaxis in leptospirosis, a randomized </w:t>
      </w:r>
      <w:proofErr w:type="gramStart"/>
      <w:r w:rsidRPr="00EC4603">
        <w:rPr>
          <w:rFonts w:eastAsia="Times New Roman"/>
        </w:rPr>
        <w:t>double blind</w:t>
      </w:r>
      <w:proofErr w:type="gramEnd"/>
      <w:r w:rsidRPr="00EC4603">
        <w:rPr>
          <w:rFonts w:eastAsia="Times New Roman"/>
        </w:rPr>
        <w:t xml:space="preserve"> placebo-controlled trial. </w:t>
      </w:r>
      <w:r w:rsidRPr="00EC4603">
        <w:rPr>
          <w:rStyle w:val="Emphasis"/>
          <w:rFonts w:eastAsia="Times New Roman"/>
          <w:b w:val="0"/>
          <w:bCs w:val="0"/>
        </w:rPr>
        <w:t xml:space="preserve">J Infect Dev </w:t>
      </w:r>
      <w:proofErr w:type="spellStart"/>
      <w:r w:rsidRPr="00EC4603">
        <w:rPr>
          <w:rStyle w:val="Emphasis"/>
          <w:rFonts w:eastAsia="Times New Roman"/>
          <w:b w:val="0"/>
          <w:bCs w:val="0"/>
        </w:rPr>
        <w:t>Ctries</w:t>
      </w:r>
      <w:proofErr w:type="spellEnd"/>
      <w:r w:rsidRPr="00EC4603">
        <w:rPr>
          <w:rFonts w:eastAsia="Times New Roman"/>
        </w:rPr>
        <w:t xml:space="preserve">. 2018;12(11):991–5. </w:t>
      </w:r>
      <w:proofErr w:type="spellStart"/>
      <w:r w:rsidRPr="00EC4603">
        <w:rPr>
          <w:rFonts w:eastAsia="Times New Roman"/>
        </w:rPr>
        <w:t>doi</w:t>
      </w:r>
      <w:proofErr w:type="spellEnd"/>
      <w:r w:rsidRPr="00EC4603">
        <w:rPr>
          <w:rFonts w:eastAsia="Times New Roman"/>
        </w:rPr>
        <w:t xml:space="preserve">: https://doi.org/10.3855/jidc.10126. </w:t>
      </w:r>
    </w:p>
    <w:p w14:paraId="3651099D"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Guzmán Pérez M, Blanch Sancho JJ, Segura </w:t>
      </w:r>
      <w:proofErr w:type="spellStart"/>
      <w:r w:rsidRPr="00EC4603">
        <w:rPr>
          <w:rFonts w:eastAsia="Times New Roman"/>
        </w:rPr>
        <w:t>Luque</w:t>
      </w:r>
      <w:proofErr w:type="spellEnd"/>
      <w:r w:rsidRPr="00EC4603">
        <w:rPr>
          <w:rFonts w:eastAsia="Times New Roman"/>
        </w:rPr>
        <w:t xml:space="preserve"> JC, </w:t>
      </w:r>
      <w:proofErr w:type="spellStart"/>
      <w:r w:rsidRPr="00EC4603">
        <w:rPr>
          <w:rFonts w:eastAsia="Times New Roman"/>
        </w:rPr>
        <w:t>Mateos</w:t>
      </w:r>
      <w:proofErr w:type="spellEnd"/>
      <w:r w:rsidRPr="00EC4603">
        <w:rPr>
          <w:rFonts w:eastAsia="Times New Roman"/>
        </w:rPr>
        <w:t xml:space="preserve"> Rodriguez F, Martínez Alfaro E, Solís García del </w:t>
      </w:r>
      <w:proofErr w:type="spellStart"/>
      <w:r w:rsidRPr="00EC4603">
        <w:rPr>
          <w:rFonts w:eastAsia="Times New Roman"/>
        </w:rPr>
        <w:t>Pozo</w:t>
      </w:r>
      <w:proofErr w:type="spellEnd"/>
      <w:r w:rsidRPr="00EC4603">
        <w:rPr>
          <w:rFonts w:eastAsia="Times New Roman"/>
        </w:rPr>
        <w:t xml:space="preserve"> J. Current evidence on the antimicrobial treatment and chemoprophylaxis of human leptospirosis: a meta-analysis. </w:t>
      </w:r>
      <w:r w:rsidRPr="00EC4603">
        <w:rPr>
          <w:rStyle w:val="Emphasis"/>
          <w:rFonts w:eastAsia="Times New Roman"/>
          <w:b w:val="0"/>
          <w:bCs w:val="0"/>
        </w:rPr>
        <w:t>Pathogens</w:t>
      </w:r>
      <w:r w:rsidRPr="00EC4603">
        <w:rPr>
          <w:rFonts w:eastAsia="Times New Roman"/>
        </w:rPr>
        <w:t xml:space="preserve">. 2021;10(9):1125. </w:t>
      </w:r>
      <w:proofErr w:type="spellStart"/>
      <w:r w:rsidRPr="00EC4603">
        <w:rPr>
          <w:rFonts w:eastAsia="Times New Roman"/>
        </w:rPr>
        <w:t>doi</w:t>
      </w:r>
      <w:proofErr w:type="spellEnd"/>
      <w:r w:rsidRPr="00EC4603">
        <w:rPr>
          <w:rFonts w:eastAsia="Times New Roman"/>
        </w:rPr>
        <w:t xml:space="preserve">: https://doi.org/10.3390/pathogens10091125. </w:t>
      </w:r>
    </w:p>
    <w:p w14:paraId="5DEAACB1"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Brett-Major DM, </w:t>
      </w:r>
      <w:proofErr w:type="spellStart"/>
      <w:r w:rsidRPr="00EC4603">
        <w:rPr>
          <w:rFonts w:eastAsia="Times New Roman"/>
        </w:rPr>
        <w:t>Lipnick</w:t>
      </w:r>
      <w:proofErr w:type="spellEnd"/>
      <w:r w:rsidRPr="00EC4603">
        <w:rPr>
          <w:rFonts w:eastAsia="Times New Roman"/>
        </w:rPr>
        <w:t xml:space="preserve"> RJ. Antibiotic prophylaxis for leptospirosis. </w:t>
      </w:r>
      <w:r w:rsidRPr="00EC4603">
        <w:rPr>
          <w:rStyle w:val="Emphasis"/>
          <w:rFonts w:eastAsia="Times New Roman"/>
          <w:b w:val="0"/>
          <w:bCs w:val="0"/>
        </w:rPr>
        <w:t>Cochrane Database Syst Rev</w:t>
      </w:r>
      <w:r w:rsidRPr="00EC4603">
        <w:rPr>
          <w:rFonts w:eastAsia="Times New Roman"/>
        </w:rPr>
        <w:t xml:space="preserve">. 2009;(3):CD007342. </w:t>
      </w:r>
      <w:proofErr w:type="spellStart"/>
      <w:r w:rsidRPr="00EC4603">
        <w:rPr>
          <w:rFonts w:eastAsia="Times New Roman"/>
        </w:rPr>
        <w:t>doi</w:t>
      </w:r>
      <w:proofErr w:type="spellEnd"/>
      <w:r w:rsidRPr="00EC4603">
        <w:rPr>
          <w:rFonts w:eastAsia="Times New Roman"/>
        </w:rPr>
        <w:t xml:space="preserve">: https://doi.org/10.1002/14651858.CD007342.pub2. </w:t>
      </w:r>
    </w:p>
    <w:p w14:paraId="0EEFE848" w14:textId="77777777" w:rsidR="00037054" w:rsidRPr="00EC4603" w:rsidRDefault="00037054" w:rsidP="00EC4603">
      <w:pPr>
        <w:pStyle w:val="ListParagraph"/>
        <w:numPr>
          <w:ilvl w:val="0"/>
          <w:numId w:val="12"/>
        </w:numPr>
        <w:divId w:val="568465116"/>
        <w:rPr>
          <w:rFonts w:eastAsia="Times New Roman"/>
        </w:rPr>
      </w:pPr>
      <w:r w:rsidRPr="00EC4603">
        <w:rPr>
          <w:rFonts w:eastAsia="Times New Roman"/>
        </w:rPr>
        <w:t xml:space="preserve">National Environmental Science Program (NESP) Earth Systems and Climate Change Hub. </w:t>
      </w:r>
      <w:r w:rsidRPr="00EC4603">
        <w:rPr>
          <w:rStyle w:val="Emphasis"/>
          <w:rFonts w:eastAsia="Times New Roman"/>
          <w:b w:val="0"/>
          <w:bCs w:val="0"/>
        </w:rPr>
        <w:t>Climate change in the Northern Territory: State of the science and climate change impacts.</w:t>
      </w:r>
      <w:r w:rsidRPr="00EC4603">
        <w:rPr>
          <w:rFonts w:eastAsia="Times New Roman"/>
        </w:rPr>
        <w:t xml:space="preserve"> Darwin: Northern Territory Government, Climate Change NT; 9 October 2020. [Accessed on 13 June 2023.] Available from: https://climatechange.nt.gov.au/resources-and-publications/updates-and-announcements/2020/state-of-the-science-and-climate-change-impacts-report-released. </w:t>
      </w:r>
    </w:p>
    <w:p w14:paraId="68D9D7E5" w14:textId="77777777" w:rsidR="00D64AF0" w:rsidRDefault="00D64AF0">
      <w:pPr>
        <w:rPr>
          <w:rFonts w:asciiTheme="majorHAnsi" w:eastAsiaTheme="majorEastAsia" w:hAnsiTheme="majorHAnsi" w:cstheme="majorBidi"/>
          <w:b/>
          <w:bCs/>
          <w:sz w:val="32"/>
          <w:szCs w:val="28"/>
        </w:rPr>
      </w:pPr>
      <w:r>
        <w:br w:type="page"/>
      </w:r>
    </w:p>
    <w:p w14:paraId="24AECDCD" w14:textId="1A7A81FF" w:rsidR="00037054" w:rsidRPr="00EC4603" w:rsidRDefault="00037054" w:rsidP="00EC4603">
      <w:pPr>
        <w:pStyle w:val="Heading1"/>
        <w:divId w:val="568465116"/>
      </w:pPr>
      <w:r w:rsidRPr="00EC4603">
        <w:lastRenderedPageBreak/>
        <w:t xml:space="preserve">Appendix A </w:t>
      </w:r>
    </w:p>
    <w:p w14:paraId="6119FB6D" w14:textId="77777777" w:rsidR="00037054" w:rsidRDefault="00037054" w:rsidP="00EC4603">
      <w:pPr>
        <w:divId w:val="568465116"/>
      </w:pPr>
      <w:r>
        <w:t>Leptospirosis: Australian national notifiable disease case definition</w:t>
      </w:r>
      <w:r>
        <w:rPr>
          <w:vertAlign w:val="superscript"/>
        </w:rPr>
        <w:t xml:space="preserve">12 </w:t>
      </w:r>
    </w:p>
    <w:p w14:paraId="3CCF6927" w14:textId="77777777" w:rsidR="00037054" w:rsidRPr="0038367E" w:rsidRDefault="00037054" w:rsidP="00EC4603">
      <w:pPr>
        <w:divId w:val="568465116"/>
        <w:rPr>
          <w:u w:val="single"/>
        </w:rPr>
      </w:pPr>
      <w:r w:rsidRPr="0038367E">
        <w:rPr>
          <w:u w:val="single"/>
        </w:rPr>
        <w:t xml:space="preserve">Reporting </w:t>
      </w:r>
    </w:p>
    <w:p w14:paraId="7C01CDDD" w14:textId="77777777" w:rsidR="00037054" w:rsidRDefault="00037054" w:rsidP="00EC4603">
      <w:pPr>
        <w:divId w:val="568465116"/>
      </w:pPr>
      <w:r>
        <w:t xml:space="preserve">Both confirmed cases and probable cases should </w:t>
      </w:r>
      <w:proofErr w:type="gramStart"/>
      <w:r>
        <w:t>be notified</w:t>
      </w:r>
      <w:proofErr w:type="gramEnd"/>
      <w:r>
        <w:t xml:space="preserve">. </w:t>
      </w:r>
    </w:p>
    <w:p w14:paraId="6C43892C" w14:textId="77777777" w:rsidR="00037054" w:rsidRDefault="00037054" w:rsidP="003F5899">
      <w:pPr>
        <w:divId w:val="568465116"/>
      </w:pPr>
      <w:r>
        <w:rPr>
          <w:rStyle w:val="Strong"/>
        </w:rPr>
        <w:t xml:space="preserve">Confirmed </w:t>
      </w:r>
      <w:proofErr w:type="gramStart"/>
      <w:r>
        <w:rPr>
          <w:rStyle w:val="Strong"/>
        </w:rPr>
        <w:t>case</w:t>
      </w:r>
      <w:proofErr w:type="gramEnd"/>
      <w:r>
        <w:rPr>
          <w:rStyle w:val="Strong"/>
        </w:rPr>
        <w:t xml:space="preserve"> </w:t>
      </w:r>
    </w:p>
    <w:p w14:paraId="75F260C8" w14:textId="77777777" w:rsidR="00037054" w:rsidRDefault="00037054" w:rsidP="003F5899">
      <w:pPr>
        <w:divId w:val="568465116"/>
      </w:pPr>
      <w:r>
        <w:t xml:space="preserve">A confirmed case requires laboratory definitive evidence only. </w:t>
      </w:r>
    </w:p>
    <w:p w14:paraId="6E77C5F9" w14:textId="77777777" w:rsidR="00037054" w:rsidRPr="0038367E" w:rsidRDefault="00037054" w:rsidP="003F5899">
      <w:pPr>
        <w:divId w:val="568465116"/>
        <w:rPr>
          <w:u w:val="single"/>
        </w:rPr>
      </w:pPr>
      <w:r w:rsidRPr="0038367E">
        <w:rPr>
          <w:u w:val="single"/>
        </w:rPr>
        <w:t xml:space="preserve">Laboratory definitive evidence </w:t>
      </w:r>
    </w:p>
    <w:p w14:paraId="03F2E243" w14:textId="77777777" w:rsidR="00037054" w:rsidRDefault="00037054" w:rsidP="003F5899">
      <w:pPr>
        <w:divId w:val="568465116"/>
      </w:pPr>
      <w:r>
        <w:t xml:space="preserve">1. 1. Isolation of pathogenic </w:t>
      </w:r>
      <w:r w:rsidRPr="003F5899">
        <w:rPr>
          <w:rStyle w:val="Emphasis"/>
          <w:b w:val="0"/>
          <w:bCs w:val="0"/>
        </w:rPr>
        <w:t>Leptospira</w:t>
      </w:r>
      <w:r>
        <w:t xml:space="preserve"> species </w:t>
      </w:r>
    </w:p>
    <w:p w14:paraId="17DEE11C" w14:textId="77777777" w:rsidR="00037054" w:rsidRDefault="00037054" w:rsidP="003F5899">
      <w:pPr>
        <w:divId w:val="568465116"/>
      </w:pPr>
      <w:r>
        <w:t xml:space="preserve">OR </w:t>
      </w:r>
    </w:p>
    <w:p w14:paraId="5C6EAE8F" w14:textId="77777777" w:rsidR="00037054" w:rsidRDefault="00037054" w:rsidP="003F5899">
      <w:pPr>
        <w:divId w:val="568465116"/>
      </w:pPr>
      <w:r>
        <w:t xml:space="preserve">2. A fourfold or greater rise in </w:t>
      </w:r>
      <w:r w:rsidRPr="003F5899">
        <w:rPr>
          <w:rStyle w:val="Emphasis"/>
          <w:b w:val="0"/>
          <w:bCs w:val="0"/>
        </w:rPr>
        <w:t>Leptospira</w:t>
      </w:r>
      <w:r>
        <w:t xml:space="preserve"> agglutination titre between acute and convalescent phase sera obtained at least two weeks apart and preferably conducted at the same laboratory </w:t>
      </w:r>
    </w:p>
    <w:p w14:paraId="1D2B976B" w14:textId="77777777" w:rsidR="00037054" w:rsidRDefault="00037054" w:rsidP="003F5899">
      <w:pPr>
        <w:divId w:val="568465116"/>
      </w:pPr>
      <w:r>
        <w:t xml:space="preserve">OR </w:t>
      </w:r>
    </w:p>
    <w:p w14:paraId="2C5C93D4" w14:textId="77777777" w:rsidR="00037054" w:rsidRDefault="00037054" w:rsidP="003F5899">
      <w:pPr>
        <w:divId w:val="568465116"/>
      </w:pPr>
      <w:r>
        <w:t xml:space="preserve">3. A single </w:t>
      </w:r>
      <w:r w:rsidRPr="003F5899">
        <w:rPr>
          <w:rStyle w:val="Emphasis"/>
          <w:b w:val="0"/>
          <w:bCs w:val="0"/>
        </w:rPr>
        <w:t xml:space="preserve">Leptospira </w:t>
      </w:r>
      <w:r>
        <w:t xml:space="preserve">micro agglutination titre greater than or equal to </w:t>
      </w:r>
      <w:proofErr w:type="gramStart"/>
      <w:r>
        <w:t>400</w:t>
      </w:r>
      <w:proofErr w:type="gramEnd"/>
      <w:r>
        <w:t xml:space="preserve"> supported by a positive enzyme-linked immunosorbent assay IgM result. </w:t>
      </w:r>
    </w:p>
    <w:p w14:paraId="769FE914" w14:textId="77777777" w:rsidR="00037054" w:rsidRDefault="00037054" w:rsidP="003F5899">
      <w:pPr>
        <w:divId w:val="568465116"/>
      </w:pPr>
      <w:r>
        <w:rPr>
          <w:rStyle w:val="Strong"/>
        </w:rPr>
        <w:t xml:space="preserve">Probable case </w:t>
      </w:r>
    </w:p>
    <w:p w14:paraId="6FBDA5E4" w14:textId="77777777" w:rsidR="00037054" w:rsidRDefault="00037054" w:rsidP="003F5899">
      <w:pPr>
        <w:divId w:val="568465116"/>
      </w:pPr>
      <w:r>
        <w:t xml:space="preserve">A probable case requires laboratory suggestive evidence. </w:t>
      </w:r>
    </w:p>
    <w:p w14:paraId="5991FEF5" w14:textId="77777777" w:rsidR="00037054" w:rsidRPr="0038367E" w:rsidRDefault="00037054" w:rsidP="003F5899">
      <w:pPr>
        <w:divId w:val="568465116"/>
        <w:rPr>
          <w:u w:val="single"/>
        </w:rPr>
      </w:pPr>
      <w:r w:rsidRPr="0038367E">
        <w:rPr>
          <w:u w:val="single"/>
        </w:rPr>
        <w:t xml:space="preserve">Laboratory suggestive evidence </w:t>
      </w:r>
    </w:p>
    <w:p w14:paraId="50EEE2D5" w14:textId="77777777" w:rsidR="00037054" w:rsidRDefault="00037054" w:rsidP="003F5899">
      <w:pPr>
        <w:divId w:val="568465116"/>
      </w:pPr>
      <w:r>
        <w:t xml:space="preserve">Detection of pathogenic </w:t>
      </w:r>
      <w:r w:rsidRPr="003F5899">
        <w:rPr>
          <w:rStyle w:val="Emphasis"/>
          <w:b w:val="0"/>
          <w:bCs w:val="0"/>
        </w:rPr>
        <w:t>Leptospira</w:t>
      </w:r>
      <w:r>
        <w:t xml:space="preserve"> species by nucleic acid testing.</w:t>
      </w:r>
    </w:p>
    <w:p w14:paraId="413ACB67"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0799F2D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80582A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67175F7" w14:textId="77777777" w:rsidR="000A5F42" w:rsidRPr="000606CC" w:rsidRDefault="000A5F42" w:rsidP="000A5F42">
      <w:pPr>
        <w:pStyle w:val="NoSpacing"/>
        <w:rPr>
          <w:rStyle w:val="URI"/>
          <w:rFonts w:cstheme="minorHAnsi"/>
          <w:sz w:val="20"/>
          <w:szCs w:val="18"/>
        </w:rPr>
      </w:pPr>
    </w:p>
    <w:p w14:paraId="09C75AE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FF6FF0C" w14:textId="77777777" w:rsidR="000A5F42" w:rsidRPr="000606CC" w:rsidRDefault="000A5F42" w:rsidP="000A5F42">
      <w:pPr>
        <w:pStyle w:val="NoSpacing"/>
        <w:rPr>
          <w:rStyle w:val="Strong"/>
          <w:rFonts w:cstheme="minorHAnsi"/>
          <w:sz w:val="20"/>
          <w:szCs w:val="18"/>
        </w:rPr>
      </w:pPr>
    </w:p>
    <w:p w14:paraId="01A352D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1AECA8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99C08D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20AF74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09BDC906" w14:textId="77777777" w:rsidR="000A5F42" w:rsidRPr="000606CC" w:rsidRDefault="000A5F42" w:rsidP="000A5F42">
      <w:pPr>
        <w:pStyle w:val="NoSpacing"/>
        <w:rPr>
          <w:rStyle w:val="Strong"/>
          <w:rFonts w:cstheme="minorHAnsi"/>
          <w:sz w:val="20"/>
          <w:szCs w:val="18"/>
        </w:rPr>
      </w:pPr>
    </w:p>
    <w:p w14:paraId="50D59750" w14:textId="7D5E95C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D1AB161" w14:textId="77777777" w:rsidR="000A5F42" w:rsidRPr="000606CC" w:rsidRDefault="000A5F42" w:rsidP="000A5F42">
      <w:pPr>
        <w:pStyle w:val="NoSpacing"/>
        <w:rPr>
          <w:rStyle w:val="Strong"/>
          <w:rFonts w:cstheme="minorHAnsi"/>
          <w:sz w:val="20"/>
          <w:szCs w:val="18"/>
        </w:rPr>
      </w:pPr>
    </w:p>
    <w:p w14:paraId="74139D7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2F8DE103" w14:textId="77777777" w:rsidR="000A5F42" w:rsidRPr="000606CC" w:rsidRDefault="000A5F42" w:rsidP="000A5F42">
      <w:pPr>
        <w:pStyle w:val="NoSpacing"/>
        <w:rPr>
          <w:rStyle w:val="Strong"/>
          <w:rFonts w:cstheme="minorHAnsi"/>
          <w:sz w:val="20"/>
          <w:szCs w:val="18"/>
        </w:rPr>
      </w:pPr>
    </w:p>
    <w:p w14:paraId="70FDFBD7" w14:textId="43FF608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AB35972" w14:textId="77777777" w:rsidR="000A5F42" w:rsidRPr="000606CC" w:rsidRDefault="000A5F42" w:rsidP="000A5F42">
      <w:pPr>
        <w:pStyle w:val="NoSpacing"/>
        <w:rPr>
          <w:rStyle w:val="Strong"/>
          <w:rFonts w:cstheme="minorHAnsi"/>
          <w:sz w:val="20"/>
          <w:szCs w:val="18"/>
        </w:rPr>
      </w:pPr>
    </w:p>
    <w:p w14:paraId="2D7B4B73" w14:textId="1DAFF7F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E0A36DE" w14:textId="295C32F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18E7D66A" w14:textId="77777777" w:rsidR="000A5F42" w:rsidRPr="000606CC" w:rsidRDefault="000A5F42" w:rsidP="000A5F42">
      <w:pPr>
        <w:pStyle w:val="NoSpacing"/>
        <w:pBdr>
          <w:bottom w:val="single" w:sz="6" w:space="1" w:color="auto"/>
        </w:pBdr>
        <w:rPr>
          <w:rStyle w:val="Strong"/>
          <w:rFonts w:cstheme="minorHAnsi"/>
          <w:sz w:val="12"/>
          <w:szCs w:val="18"/>
        </w:rPr>
      </w:pPr>
    </w:p>
    <w:p w14:paraId="11196C6A" w14:textId="77777777" w:rsidR="000A5F42" w:rsidRPr="000606CC" w:rsidRDefault="000A5F42" w:rsidP="000A5F42">
      <w:pPr>
        <w:pStyle w:val="NoSpacing"/>
        <w:rPr>
          <w:rFonts w:cstheme="minorHAnsi"/>
          <w:sz w:val="20"/>
          <w:szCs w:val="18"/>
        </w:rPr>
      </w:pPr>
    </w:p>
    <w:p w14:paraId="1760D21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8676216" w14:textId="77777777" w:rsidR="000A5F42" w:rsidRPr="000606CC" w:rsidRDefault="000A5F42" w:rsidP="000A5F42">
      <w:pPr>
        <w:pStyle w:val="NoSpacing"/>
        <w:rPr>
          <w:rFonts w:cstheme="minorHAnsi"/>
          <w:sz w:val="20"/>
          <w:szCs w:val="18"/>
        </w:rPr>
      </w:pPr>
    </w:p>
    <w:p w14:paraId="312AE1A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51E85E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568CD">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F02B88C" w14:textId="6556887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66E81FC" w14:textId="77777777" w:rsidR="000A5F42" w:rsidRPr="000606CC" w:rsidRDefault="000A5F42" w:rsidP="000A5F42">
      <w:pPr>
        <w:pStyle w:val="NoSpacing"/>
        <w:rPr>
          <w:rFonts w:cstheme="minorHAnsi"/>
          <w:sz w:val="20"/>
          <w:szCs w:val="18"/>
        </w:rPr>
      </w:pPr>
    </w:p>
    <w:p w14:paraId="087DAA6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7FF86BD" w14:textId="4455348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0E0DF8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DEBC98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99E52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9BE892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DA05B23" w14:textId="77777777" w:rsidR="000A5F42" w:rsidRPr="000606CC" w:rsidRDefault="000A5F42" w:rsidP="000A5F42">
      <w:pPr>
        <w:pStyle w:val="NoSpacing"/>
        <w:rPr>
          <w:rStyle w:val="Strong"/>
          <w:rFonts w:cstheme="minorHAnsi"/>
          <w:sz w:val="20"/>
          <w:szCs w:val="18"/>
        </w:rPr>
      </w:pPr>
    </w:p>
    <w:p w14:paraId="2BD5099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6DD77FD" w14:textId="77777777" w:rsidR="000A5F42" w:rsidRPr="000606CC" w:rsidRDefault="000A5F42" w:rsidP="000A5F42">
      <w:pPr>
        <w:pStyle w:val="NoSpacing"/>
        <w:rPr>
          <w:rStyle w:val="Strong"/>
          <w:rFonts w:cstheme="minorHAnsi"/>
          <w:sz w:val="20"/>
          <w:szCs w:val="18"/>
        </w:rPr>
      </w:pPr>
    </w:p>
    <w:p w14:paraId="1950FD1A" w14:textId="58B46D5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30AA044" w14:textId="77777777" w:rsidR="000A5F42" w:rsidRPr="000606CC" w:rsidRDefault="000A5F42" w:rsidP="000A5F42">
      <w:pPr>
        <w:pStyle w:val="NoSpacing"/>
        <w:rPr>
          <w:rStyle w:val="URI"/>
          <w:rFonts w:cstheme="minorHAnsi"/>
          <w:sz w:val="20"/>
          <w:szCs w:val="18"/>
        </w:rPr>
      </w:pPr>
    </w:p>
    <w:p w14:paraId="59B33807" w14:textId="5D2768C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8FDC" w14:textId="77777777" w:rsidR="005568CD" w:rsidRDefault="005568CD" w:rsidP="00E54DBA">
      <w:r>
        <w:separator/>
      </w:r>
    </w:p>
    <w:p w14:paraId="478EB1A7" w14:textId="77777777" w:rsidR="005568CD" w:rsidRDefault="005568CD"/>
    <w:p w14:paraId="48423F7D" w14:textId="77777777" w:rsidR="005568CD" w:rsidRDefault="005568CD" w:rsidP="008714B0"/>
  </w:endnote>
  <w:endnote w:type="continuationSeparator" w:id="0">
    <w:p w14:paraId="4D6487B4" w14:textId="77777777" w:rsidR="005568CD" w:rsidRDefault="005568CD" w:rsidP="00E54DBA">
      <w:r>
        <w:continuationSeparator/>
      </w:r>
    </w:p>
    <w:p w14:paraId="24B6DFCE" w14:textId="77777777" w:rsidR="005568CD" w:rsidRDefault="005568CD"/>
    <w:p w14:paraId="16B4AC64" w14:textId="77777777" w:rsidR="005568CD" w:rsidRDefault="005568C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82AA" w14:textId="1457C89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F5899">
      <w:rPr>
        <w:i/>
        <w:sz w:val="18"/>
      </w:rPr>
      <w:t>Commun</w:t>
    </w:r>
    <w:proofErr w:type="spellEnd"/>
    <w:r w:rsidR="00CE342B" w:rsidRPr="003F5899">
      <w:rPr>
        <w:i/>
        <w:sz w:val="18"/>
      </w:rPr>
      <w:t xml:space="preserve"> Dis </w:t>
    </w:r>
    <w:proofErr w:type="spellStart"/>
    <w:r w:rsidR="00CE342B" w:rsidRPr="003F5899">
      <w:rPr>
        <w:i/>
        <w:sz w:val="18"/>
      </w:rPr>
      <w:t>Intell</w:t>
    </w:r>
    <w:proofErr w:type="spellEnd"/>
    <w:r w:rsidR="00CE342B" w:rsidRPr="003F589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568CD">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568CD">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15346">
      <w:rPr>
        <w:sz w:val="18"/>
      </w:rPr>
      <w:t>https://doi.org/10.33321/cdi.2023.47.70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15346">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CCA3" w14:textId="0C3688E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F5899">
      <w:rPr>
        <w:i/>
        <w:sz w:val="18"/>
      </w:rPr>
      <w:t>Commun</w:t>
    </w:r>
    <w:proofErr w:type="spellEnd"/>
    <w:r w:rsidR="00A164D5" w:rsidRPr="003F5899">
      <w:rPr>
        <w:i/>
        <w:sz w:val="18"/>
      </w:rPr>
      <w:t xml:space="preserve"> Dis </w:t>
    </w:r>
    <w:proofErr w:type="spellStart"/>
    <w:r w:rsidR="00A164D5" w:rsidRPr="003F5899">
      <w:rPr>
        <w:i/>
        <w:sz w:val="18"/>
      </w:rPr>
      <w:t>Intell</w:t>
    </w:r>
    <w:proofErr w:type="spellEnd"/>
    <w:r w:rsidR="00A164D5" w:rsidRPr="003F589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568CD">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568CD">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15346">
      <w:rPr>
        <w:sz w:val="18"/>
      </w:rPr>
      <w:t>https://doi.org/10.33321/cdi.2023.47.70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15346">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50E4" w14:textId="77777777" w:rsidR="005568CD" w:rsidRPr="00B91FB5" w:rsidRDefault="005568CD" w:rsidP="00B91FB5">
      <w:pPr>
        <w:spacing w:after="0" w:line="240" w:lineRule="auto"/>
        <w:rPr>
          <w:sz w:val="18"/>
          <w:szCs w:val="18"/>
        </w:rPr>
      </w:pPr>
      <w:r w:rsidRPr="00B91FB5">
        <w:rPr>
          <w:sz w:val="18"/>
          <w:szCs w:val="18"/>
        </w:rPr>
        <w:separator/>
      </w:r>
    </w:p>
  </w:footnote>
  <w:footnote w:type="continuationSeparator" w:id="0">
    <w:p w14:paraId="76230CCF" w14:textId="77777777" w:rsidR="005568CD" w:rsidRDefault="005568CD" w:rsidP="00E54DBA">
      <w:r>
        <w:continuationSeparator/>
      </w:r>
    </w:p>
  </w:footnote>
  <w:footnote w:type="continuationNotice" w:id="1">
    <w:p w14:paraId="18D976ED" w14:textId="77777777" w:rsidR="005568CD" w:rsidRPr="00224EFF" w:rsidRDefault="005568C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3F03" w14:textId="571C5E1B" w:rsidR="00257484" w:rsidRPr="00A153B6" w:rsidRDefault="00B1534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62C5F">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A577"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18CED5F" wp14:editId="267B43E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43A"/>
    <w:multiLevelType w:val="hybridMultilevel"/>
    <w:tmpl w:val="F8742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EF6AA5"/>
    <w:multiLevelType w:val="hybridMultilevel"/>
    <w:tmpl w:val="F0F46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6E46C0"/>
    <w:multiLevelType w:val="hybridMultilevel"/>
    <w:tmpl w:val="E4E48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55702B"/>
    <w:multiLevelType w:val="multilevel"/>
    <w:tmpl w:val="E9CE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5D3A87"/>
    <w:multiLevelType w:val="hybridMultilevel"/>
    <w:tmpl w:val="FABC8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595A4D"/>
    <w:multiLevelType w:val="multilevel"/>
    <w:tmpl w:val="F5FE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198676">
    <w:abstractNumId w:val="2"/>
  </w:num>
  <w:num w:numId="2" w16cid:durableId="2118404829">
    <w:abstractNumId w:val="3"/>
  </w:num>
  <w:num w:numId="3" w16cid:durableId="1398242200">
    <w:abstractNumId w:val="4"/>
  </w:num>
  <w:num w:numId="4" w16cid:durableId="1639530598">
    <w:abstractNumId w:val="1"/>
  </w:num>
  <w:num w:numId="5" w16cid:durableId="1784955700">
    <w:abstractNumId w:val="8"/>
  </w:num>
  <w:num w:numId="6" w16cid:durableId="1141076692">
    <w:abstractNumId w:val="9"/>
  </w:num>
  <w:num w:numId="7" w16cid:durableId="1310549201">
    <w:abstractNumId w:val="7"/>
  </w:num>
  <w:num w:numId="8" w16cid:durableId="2087263669">
    <w:abstractNumId w:val="11"/>
  </w:num>
  <w:num w:numId="9" w16cid:durableId="75826649">
    <w:abstractNumId w:val="0"/>
  </w:num>
  <w:num w:numId="10" w16cid:durableId="513956839">
    <w:abstractNumId w:val="10"/>
  </w:num>
  <w:num w:numId="11" w16cid:durableId="897672260">
    <w:abstractNumId w:val="5"/>
  </w:num>
  <w:num w:numId="12" w16cid:durableId="738748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CD"/>
    <w:rsid w:val="00000B5B"/>
    <w:rsid w:val="00001611"/>
    <w:rsid w:val="000104A8"/>
    <w:rsid w:val="0001246E"/>
    <w:rsid w:val="000124B1"/>
    <w:rsid w:val="00016FE6"/>
    <w:rsid w:val="00031064"/>
    <w:rsid w:val="00031692"/>
    <w:rsid w:val="00032531"/>
    <w:rsid w:val="000325A0"/>
    <w:rsid w:val="00037054"/>
    <w:rsid w:val="000471BF"/>
    <w:rsid w:val="00047B68"/>
    <w:rsid w:val="00052600"/>
    <w:rsid w:val="0005643C"/>
    <w:rsid w:val="0006264A"/>
    <w:rsid w:val="00073D77"/>
    <w:rsid w:val="0007713A"/>
    <w:rsid w:val="00081655"/>
    <w:rsid w:val="000864E0"/>
    <w:rsid w:val="00091B6A"/>
    <w:rsid w:val="000969B3"/>
    <w:rsid w:val="000A5F42"/>
    <w:rsid w:val="000C2F81"/>
    <w:rsid w:val="000D4B4D"/>
    <w:rsid w:val="00113D58"/>
    <w:rsid w:val="001200CB"/>
    <w:rsid w:val="00136ADC"/>
    <w:rsid w:val="001378A3"/>
    <w:rsid w:val="00155582"/>
    <w:rsid w:val="00161590"/>
    <w:rsid w:val="00171CC0"/>
    <w:rsid w:val="001723AC"/>
    <w:rsid w:val="00175494"/>
    <w:rsid w:val="00175629"/>
    <w:rsid w:val="001830EC"/>
    <w:rsid w:val="00183534"/>
    <w:rsid w:val="0018758E"/>
    <w:rsid w:val="001A4A96"/>
    <w:rsid w:val="001A5D05"/>
    <w:rsid w:val="001A5F71"/>
    <w:rsid w:val="001A796C"/>
    <w:rsid w:val="001B2614"/>
    <w:rsid w:val="001B37B8"/>
    <w:rsid w:val="001B552F"/>
    <w:rsid w:val="001C0893"/>
    <w:rsid w:val="001C1303"/>
    <w:rsid w:val="001C70B2"/>
    <w:rsid w:val="001C744B"/>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4C4B"/>
    <w:rsid w:val="00316CCD"/>
    <w:rsid w:val="00324F7E"/>
    <w:rsid w:val="003323BC"/>
    <w:rsid w:val="00346D42"/>
    <w:rsid w:val="00346E11"/>
    <w:rsid w:val="003601C0"/>
    <w:rsid w:val="003607E8"/>
    <w:rsid w:val="003635F5"/>
    <w:rsid w:val="00372A88"/>
    <w:rsid w:val="00381A0F"/>
    <w:rsid w:val="0038367E"/>
    <w:rsid w:val="003A1B3A"/>
    <w:rsid w:val="003A40F5"/>
    <w:rsid w:val="003B1249"/>
    <w:rsid w:val="003B5B8C"/>
    <w:rsid w:val="003C7841"/>
    <w:rsid w:val="003D5411"/>
    <w:rsid w:val="003D79B1"/>
    <w:rsid w:val="003E74EE"/>
    <w:rsid w:val="003F0552"/>
    <w:rsid w:val="003F3BC2"/>
    <w:rsid w:val="003F5899"/>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1B46"/>
    <w:rsid w:val="00473D2D"/>
    <w:rsid w:val="004A2125"/>
    <w:rsid w:val="004A38F6"/>
    <w:rsid w:val="004B4EB6"/>
    <w:rsid w:val="004C083C"/>
    <w:rsid w:val="004C67C6"/>
    <w:rsid w:val="004D29DE"/>
    <w:rsid w:val="00510EAC"/>
    <w:rsid w:val="00542A57"/>
    <w:rsid w:val="005568CD"/>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7068F"/>
    <w:rsid w:val="006718E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53CCC"/>
    <w:rsid w:val="00762C5F"/>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135B"/>
    <w:rsid w:val="00822F5F"/>
    <w:rsid w:val="00824FD3"/>
    <w:rsid w:val="00826589"/>
    <w:rsid w:val="00834BCC"/>
    <w:rsid w:val="00845A42"/>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0C10"/>
    <w:rsid w:val="009F4150"/>
    <w:rsid w:val="009F5665"/>
    <w:rsid w:val="009F5DAD"/>
    <w:rsid w:val="00A01BCA"/>
    <w:rsid w:val="00A10458"/>
    <w:rsid w:val="00A153B6"/>
    <w:rsid w:val="00A164D5"/>
    <w:rsid w:val="00A273C3"/>
    <w:rsid w:val="00A30C37"/>
    <w:rsid w:val="00A32B35"/>
    <w:rsid w:val="00A36C65"/>
    <w:rsid w:val="00A41BBE"/>
    <w:rsid w:val="00A443E3"/>
    <w:rsid w:val="00A45BDD"/>
    <w:rsid w:val="00A46A0A"/>
    <w:rsid w:val="00A553F8"/>
    <w:rsid w:val="00A6708F"/>
    <w:rsid w:val="00A71BF6"/>
    <w:rsid w:val="00A72AF9"/>
    <w:rsid w:val="00A86F9A"/>
    <w:rsid w:val="00A94F96"/>
    <w:rsid w:val="00A95018"/>
    <w:rsid w:val="00AA35E6"/>
    <w:rsid w:val="00AA50B6"/>
    <w:rsid w:val="00AB3472"/>
    <w:rsid w:val="00AC6BC2"/>
    <w:rsid w:val="00AD0762"/>
    <w:rsid w:val="00AE0209"/>
    <w:rsid w:val="00AE3DCF"/>
    <w:rsid w:val="00AE4452"/>
    <w:rsid w:val="00AE7C38"/>
    <w:rsid w:val="00B01F99"/>
    <w:rsid w:val="00B02B37"/>
    <w:rsid w:val="00B05276"/>
    <w:rsid w:val="00B132DB"/>
    <w:rsid w:val="00B15346"/>
    <w:rsid w:val="00B31427"/>
    <w:rsid w:val="00B33861"/>
    <w:rsid w:val="00B40DE2"/>
    <w:rsid w:val="00B477CF"/>
    <w:rsid w:val="00B50210"/>
    <w:rsid w:val="00B50D8D"/>
    <w:rsid w:val="00B53955"/>
    <w:rsid w:val="00B53BFC"/>
    <w:rsid w:val="00B63C79"/>
    <w:rsid w:val="00B6408A"/>
    <w:rsid w:val="00B6478A"/>
    <w:rsid w:val="00B714B8"/>
    <w:rsid w:val="00B82C2C"/>
    <w:rsid w:val="00B8720B"/>
    <w:rsid w:val="00B876EF"/>
    <w:rsid w:val="00B91544"/>
    <w:rsid w:val="00B91FB5"/>
    <w:rsid w:val="00BA4697"/>
    <w:rsid w:val="00BA7FD2"/>
    <w:rsid w:val="00BB5378"/>
    <w:rsid w:val="00BC0BD3"/>
    <w:rsid w:val="00BD0107"/>
    <w:rsid w:val="00BE0C33"/>
    <w:rsid w:val="00BE262C"/>
    <w:rsid w:val="00BE4C25"/>
    <w:rsid w:val="00BE6C3D"/>
    <w:rsid w:val="00C07606"/>
    <w:rsid w:val="00C0785F"/>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124"/>
    <w:rsid w:val="00C838F5"/>
    <w:rsid w:val="00C841C0"/>
    <w:rsid w:val="00CA1AF4"/>
    <w:rsid w:val="00CA6068"/>
    <w:rsid w:val="00CB15E1"/>
    <w:rsid w:val="00CB3D46"/>
    <w:rsid w:val="00CC25CE"/>
    <w:rsid w:val="00CD1A87"/>
    <w:rsid w:val="00CD35F3"/>
    <w:rsid w:val="00CD534B"/>
    <w:rsid w:val="00CD5C93"/>
    <w:rsid w:val="00CE342B"/>
    <w:rsid w:val="00CF320C"/>
    <w:rsid w:val="00CF3A4B"/>
    <w:rsid w:val="00CF4001"/>
    <w:rsid w:val="00CF75DF"/>
    <w:rsid w:val="00D05837"/>
    <w:rsid w:val="00D12D8A"/>
    <w:rsid w:val="00D13E0C"/>
    <w:rsid w:val="00D25896"/>
    <w:rsid w:val="00D31A3A"/>
    <w:rsid w:val="00D373A1"/>
    <w:rsid w:val="00D37C0F"/>
    <w:rsid w:val="00D45661"/>
    <w:rsid w:val="00D45943"/>
    <w:rsid w:val="00D47D22"/>
    <w:rsid w:val="00D51865"/>
    <w:rsid w:val="00D51D0C"/>
    <w:rsid w:val="00D64AF0"/>
    <w:rsid w:val="00D712BE"/>
    <w:rsid w:val="00D72BC2"/>
    <w:rsid w:val="00D74140"/>
    <w:rsid w:val="00D76C20"/>
    <w:rsid w:val="00DA6E56"/>
    <w:rsid w:val="00DA78DD"/>
    <w:rsid w:val="00DB1C65"/>
    <w:rsid w:val="00DB2882"/>
    <w:rsid w:val="00DC24E5"/>
    <w:rsid w:val="00DC6705"/>
    <w:rsid w:val="00DC76B6"/>
    <w:rsid w:val="00DD2DE8"/>
    <w:rsid w:val="00DE38B4"/>
    <w:rsid w:val="00DE5D02"/>
    <w:rsid w:val="00DF2102"/>
    <w:rsid w:val="00E005A9"/>
    <w:rsid w:val="00E065BA"/>
    <w:rsid w:val="00E1166E"/>
    <w:rsid w:val="00E249A1"/>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4603"/>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58295"/>
  <w15:docId w15:val="{9BD1321B-35FB-4782-ADBF-483C43A9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68465116">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743768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file:///I:\Staging\CDI\OpenCDI\2023\78-A%20cluster%20of%20leptospirosis%20cases%20associated%20with%20crocodile%20workers%20in%20the%20NT,%20Au,%202022\MS-Word%20output\78-A_cluster_of_leptospirosis_cases_associated_with_crocodile_workers_in_the_NT,_Au,_2022-web-resources\image\BOM_Figure_3.jpg" TargetMode="External"/><Relationship Id="rId23" Type="http://schemas.openxmlformats.org/officeDocument/2006/relationships/hyperlink" Target="http://www.health.gov.au/cdna" TargetMode="External"/><Relationship Id="rId10" Type="http://schemas.openxmlformats.org/officeDocument/2006/relationships/image" Target="file:///I:\Staging\CDI\OpenCDI\2023\78-A%20cluster%20of%20leptospirosis%20cases%20associated%20with%20crocodile%20workers%20in%20the%20NT,%20Au,%202022\MS-Word%20output\78-A_cluster_of_leptospirosis_cases_associated_with_crocodile_workers_in_the_NT,_Au,_2022-web-resources\image\Stark_et_al..png"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image" Target="file:///I:\Staging\CDI\OpenCDI\2023\78-A%20cluster%20of%20leptospirosis%20cases%20associated%20with%20crocodile%20workers%20in%20the%20NT,%20Au,%202022\MS-Word%20output\78-A_cluster_of_leptospirosis_cases_associated_with_crocodile_workers_in_the_NT,_Au,_2022-web-resources\image\BOM_Figure_2.jpg" TargetMode="Externa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29</TotalTime>
  <Pages>16</Pages>
  <Words>4755</Words>
  <Characters>30475</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Communicable Diseases Intelligence - A cluster of leptospirosis cases associated with crocodile workers in the Northern Territory, Australia, 2022</vt:lpstr>
    </vt:vector>
  </TitlesOfParts>
  <Company>Australian Government, Department of Health</Company>
  <LinksUpToDate>false</LinksUpToDate>
  <CharactersWithSpaces>35160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cluster of leptospirosis cases associated with crocodile workers in the Northern Territory, Australia, 2022</dc:title>
  <dc:subject>A cluster of leptospirosis cases among crocodile workers occurred in the Northern Territory of Australia in 2022. We conducted a descriptive case series to investigate the outbreak. There were three cases; all were male and non-Aboriginal with a median age of 46.5 years; none took chemoprophylaxis; only one of the three cases reported wearing appropriate protective attire; all reported receiving limited to no education about personal protective measures from their associated workplaces. It was determined that the outbreak was due to workplace exposure to Leptospira, exacerbated by inadequate use of personal protective equipment (PPE) and higher than usual rainfall.</dc:subject>
  <dc:creator>Astrid M Stark; Michael Nohrenberg; Anthony DK Draper; Kimberley E McMahon; Thalia Hewitt; Kelly Lomas; VL Krause</dc:creator>
  <cp:keywords>leptospirosis; Leptospira; crocodiles; rats; Northern Territory; rainfall; climate change</cp:keywords>
  <dc:description>© Commonwealth of Australia CC BY-NC-ND ISSN: 2209-6051 (Online)</dc:description>
  <cp:lastModifiedBy>YOUSEFI, Kasra</cp:lastModifiedBy>
  <cp:revision>4</cp:revision>
  <cp:lastPrinted>2018-05-10T02:19:00Z</cp:lastPrinted>
  <dcterms:created xsi:type="dcterms:W3CDTF">2023-11-02T03:17:00Z</dcterms:created>
  <dcterms:modified xsi:type="dcterms:W3CDTF">2023-11-08T06:33:00Z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https://doi.org/10.33321/cdi.2023.47.70</vt:lpwstr>
  </property>
</Properties>
</file>