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F78A84" w14:textId="17F102C7" w:rsidR="00B50D8D" w:rsidRPr="00341720" w:rsidRDefault="00282B56" w:rsidP="00341720">
      <w:pPr>
        <w:pStyle w:val="CDIDOIInformation"/>
      </w:pPr>
      <w:r>
        <w:fldChar w:fldCharType="begin"/>
      </w:r>
      <w:r>
        <w:instrText xml:space="preserve"> DOCPROPERTY  Year  \* MERGEFORMAT </w:instrText>
      </w:r>
      <w:r>
        <w:fldChar w:fldCharType="separate"/>
      </w:r>
      <w:r w:rsidR="00165E25">
        <w:t>2024</w:t>
      </w:r>
      <w:r>
        <w:fldChar w:fldCharType="end"/>
      </w:r>
      <w:r w:rsidR="00A623E8" w:rsidRPr="00341720">
        <w:t xml:space="preserve"> • </w:t>
      </w:r>
      <w:r w:rsidR="00B50D8D" w:rsidRPr="00341720">
        <w:t xml:space="preserve">Volume </w:t>
      </w:r>
      <w:fldSimple w:instr=" DOCPROPERTY  Vol  \* MERGEFORMAT ">
        <w:r w:rsidR="00165E25">
          <w:t>48</w:t>
        </w:r>
      </w:fldSimple>
      <w:r w:rsidR="00725C33" w:rsidRPr="00341720">
        <w:t xml:space="preserve"> </w:t>
      </w:r>
      <w:r w:rsidR="008E3F81" w:rsidRPr="00341720">
        <w:t>•</w:t>
      </w:r>
      <w:r w:rsidR="00725C33" w:rsidRPr="00341720">
        <w:t xml:space="preserve"> </w:t>
      </w:r>
      <w:fldSimple w:instr=" DOCPROPERTY  DOI  \* MERGEFORMAT ">
        <w:r w:rsidR="00F9515C">
          <w:t>https://doi.org/10.33321/cdi.2024.48.18</w:t>
        </w:r>
      </w:fldSimple>
      <w:r w:rsidR="00725C33" w:rsidRPr="00341720">
        <w:t xml:space="preserve"> </w:t>
      </w:r>
      <w:r w:rsidR="00D20FB5" w:rsidRPr="00341720">
        <w:t>•</w:t>
      </w:r>
      <w:r w:rsidR="00D20FB5">
        <w:t xml:space="preserve"> </w:t>
      </w:r>
      <w:r w:rsidR="00D20FB5" w:rsidRPr="00341720">
        <w:t xml:space="preserve">Electronic publication date: </w:t>
      </w:r>
      <w:fldSimple w:instr=" DOCPROPERTY  ePubDate  \* MERGEFORMAT ">
        <w:r w:rsidR="00F9515C">
          <w:t>28/03/2024</w:t>
        </w:r>
      </w:fldSimple>
    </w:p>
    <w:p w14:paraId="4289DC12" w14:textId="6A579EE4" w:rsidR="00E30C30" w:rsidRDefault="00C469F1" w:rsidP="0037146D">
      <w:pPr>
        <w:pStyle w:val="Title"/>
        <w:divId w:val="935526654"/>
      </w:pPr>
      <w:r w:rsidRPr="00C469F1">
        <w:t>A comparison of post-COVID vaccine myocarditis classification using the Brighton Collaboration criteria versus (United States) Centers for Disease Control criteria: an update</w:t>
      </w:r>
    </w:p>
    <w:p w14:paraId="7A7D8D21" w14:textId="0536A044" w:rsidR="00C469F1" w:rsidRPr="00C469F1" w:rsidRDefault="00C469F1" w:rsidP="00C469F1">
      <w:pPr>
        <w:pStyle w:val="Title2"/>
        <w:divId w:val="935526654"/>
      </w:pPr>
      <w:r>
        <w:t>Letter to the Editor</w:t>
      </w:r>
    </w:p>
    <w:p w14:paraId="3DCC6A84" w14:textId="3AB8BF61" w:rsidR="007A33B9" w:rsidRPr="0037146D" w:rsidRDefault="00C469F1" w:rsidP="0037146D">
      <w:pPr>
        <w:pStyle w:val="Subtitle"/>
        <w:divId w:val="935526654"/>
      </w:pPr>
      <w:r w:rsidRPr="00C469F1">
        <w:t>Kevin M Slater, Jim P Buttery, Nigel W Crawford, Daryl R Cheng</w:t>
      </w:r>
    </w:p>
    <w:p w14:paraId="6682F016" w14:textId="77777777" w:rsidR="008A0736" w:rsidRDefault="008A0736" w:rsidP="008A0736">
      <w:pPr>
        <w:pStyle w:val="Heading1"/>
        <w:divId w:val="935526654"/>
      </w:pPr>
      <w:r>
        <w:t>Introduction</w:t>
      </w:r>
    </w:p>
    <w:p w14:paraId="2DF23D33" w14:textId="77777777" w:rsidR="00C469F1" w:rsidRPr="00C469F1" w:rsidRDefault="00C469F1" w:rsidP="00C469F1">
      <w:pPr>
        <w:divId w:val="935526654"/>
        <w:rPr>
          <w:lang w:val="en-GB"/>
        </w:rPr>
      </w:pPr>
      <w:r w:rsidRPr="00C469F1">
        <w:rPr>
          <w:lang w:val="en-GB"/>
        </w:rPr>
        <w:t xml:space="preserve">Myocarditis associated with coronavirus disease 2019 (COVID-19) vaccination is a known adverse event following immunisation (AEFI). The lack of a singular diagnostic marker or test for myocarditis, besides the now infrequently undertaken histological diagnosis from biopsy, means that a combination of criteria is often needed to confirm a diagnosis. </w:t>
      </w:r>
    </w:p>
    <w:p w14:paraId="41229AA1" w14:textId="77777777" w:rsidR="00C469F1" w:rsidRPr="00C469F1" w:rsidRDefault="00C469F1" w:rsidP="00C469F1">
      <w:pPr>
        <w:divId w:val="935526654"/>
        <w:rPr>
          <w:lang w:val="en-GB"/>
        </w:rPr>
      </w:pPr>
      <w:r w:rsidRPr="00C469F1">
        <w:rPr>
          <w:lang w:val="en-GB"/>
        </w:rPr>
        <w:t>We have previously compared various international case definitions used to support accurate diagnosis and therefore standardise treatment and management of myocarditis.</w:t>
      </w:r>
      <w:r w:rsidRPr="00C469F1">
        <w:rPr>
          <w:vertAlign w:val="superscript"/>
          <w:lang w:val="en-GB"/>
        </w:rPr>
        <w:t>1</w:t>
      </w:r>
      <w:r w:rsidRPr="00C469F1">
        <w:rPr>
          <w:lang w:val="en-GB"/>
        </w:rPr>
        <w:t xml:space="preserve"> As more information about this important AEFI has come to light, some case definitions have been refined to provide greater sensitivity. Since our initial findings,</w:t>
      </w:r>
      <w:r w:rsidRPr="00C469F1">
        <w:rPr>
          <w:vertAlign w:val="superscript"/>
          <w:lang w:val="en-GB"/>
        </w:rPr>
        <w:t>2</w:t>
      </w:r>
      <w:r w:rsidRPr="00C469F1">
        <w:rPr>
          <w:lang w:val="en-GB"/>
        </w:rPr>
        <w:t xml:space="preserve"> the Brighton Collaboration (BC) Myocarditis/ Pericarditis working group have published updated diagnostic criteria.</w:t>
      </w:r>
      <w:r w:rsidRPr="00C469F1">
        <w:rPr>
          <w:vertAlign w:val="superscript"/>
          <w:lang w:val="en-GB"/>
        </w:rPr>
        <w:t>3</w:t>
      </w:r>
      <w:r w:rsidRPr="00C469F1">
        <w:rPr>
          <w:lang w:val="en-GB"/>
        </w:rPr>
        <w:t xml:space="preserve"> An important specific update is that a reported case with symptoms consistent with myocarditis, combined with abnormal cardiac medical resonance imaging (CMR), is now classified as a ‘probable’ case using the BC criteria – even in the absence of a raised troponin level. This therefore brings the BC definition for a Level 2 or ‘probable’ case in line with a ‘probable case’ using the United States Centers for Disease Control and Prevention (CDC) criteria (Table 1).</w:t>
      </w:r>
      <w:r w:rsidRPr="00C469F1">
        <w:rPr>
          <w:vertAlign w:val="superscript"/>
          <w:lang w:val="en-GB"/>
        </w:rPr>
        <w:t>4</w:t>
      </w:r>
    </w:p>
    <w:p w14:paraId="6792E8CE" w14:textId="77777777" w:rsidR="00C469F1" w:rsidRPr="00C469F1" w:rsidRDefault="00C469F1" w:rsidP="00C469F1">
      <w:pPr>
        <w:divId w:val="935526654"/>
        <w:rPr>
          <w:lang w:val="en-GB"/>
        </w:rPr>
      </w:pPr>
      <w:r w:rsidRPr="00C469F1">
        <w:rPr>
          <w:lang w:val="en-GB"/>
        </w:rPr>
        <w:t>Given these edits, this paper aims to refine our previous findings using updated diagnostic criteria, and to evaluate if there remain discrepancies in diagnosis and data reporting between the CDC (June 2021) and BC (June 2022) criteria.</w:t>
      </w:r>
    </w:p>
    <w:p w14:paraId="12D08124" w14:textId="77777777" w:rsidR="008A0736" w:rsidRDefault="008A0736" w:rsidP="008A0736">
      <w:pPr>
        <w:pStyle w:val="Heading1"/>
        <w:divId w:val="935526654"/>
        <w:rPr>
          <w:lang w:val="en-GB"/>
        </w:rPr>
      </w:pPr>
      <w:r>
        <w:rPr>
          <w:lang w:val="en-GB"/>
        </w:rPr>
        <w:lastRenderedPageBreak/>
        <w:t>Methods</w:t>
      </w:r>
    </w:p>
    <w:p w14:paraId="6EB9FC5B" w14:textId="77777777" w:rsidR="00C469F1" w:rsidRPr="00C469F1" w:rsidRDefault="00C469F1" w:rsidP="00C469F1">
      <w:pPr>
        <w:divId w:val="935526654"/>
        <w:rPr>
          <w:lang w:val="en-GB"/>
        </w:rPr>
      </w:pPr>
      <w:r w:rsidRPr="00C469F1">
        <w:rPr>
          <w:lang w:val="en-GB"/>
        </w:rPr>
        <w:t xml:space="preserve">Between 1 February 2021 and 4 May 2022, Victoria’s vaccine safety surveillance system (Surveillance of Adverse Events Following Vaccination </w:t>
      </w:r>
      <w:proofErr w:type="gramStart"/>
      <w:r w:rsidRPr="00C469F1">
        <w:rPr>
          <w:lang w:val="en-GB"/>
        </w:rPr>
        <w:t>In</w:t>
      </w:r>
      <w:proofErr w:type="gramEnd"/>
      <w:r w:rsidRPr="00C469F1">
        <w:rPr>
          <w:lang w:val="en-GB"/>
        </w:rPr>
        <w:t xml:space="preserve"> the Community (SAEFVIC) received 460 reports of myocarditis temporally associated with COVID-19 vaccination.</w:t>
      </w:r>
      <w:r w:rsidRPr="00C469F1">
        <w:rPr>
          <w:vertAlign w:val="superscript"/>
          <w:lang w:val="en-GB"/>
        </w:rPr>
        <w:t>2</w:t>
      </w:r>
      <w:r w:rsidRPr="00C469F1">
        <w:rPr>
          <w:lang w:val="en-GB"/>
        </w:rPr>
        <w:t xml:space="preserve"> Every AEFI case was also reported to the Therapeutic Goods Administration (TGA), the body that aggregates national AEFI cases on a weekly basis. </w:t>
      </w:r>
    </w:p>
    <w:p w14:paraId="701316D5" w14:textId="77777777" w:rsidR="00C469F1" w:rsidRPr="00C469F1" w:rsidRDefault="00C469F1" w:rsidP="00C469F1">
      <w:pPr>
        <w:divId w:val="935526654"/>
        <w:rPr>
          <w:lang w:val="en-GB"/>
        </w:rPr>
      </w:pPr>
      <w:r w:rsidRPr="00C469F1">
        <w:rPr>
          <w:lang w:val="en-GB"/>
        </w:rPr>
        <w:t>The SAFEVIC group obtained information and findings for each case to allow for diagnostic certainty classification. Two authors used the updated case definition criteria to classify each case, with any discrepancies in classification verified by a third author. No external funding was received for this study.</w:t>
      </w:r>
    </w:p>
    <w:p w14:paraId="5CCBF021" w14:textId="1C4491D5" w:rsidR="008A0736" w:rsidRDefault="008A0736" w:rsidP="008A0736">
      <w:pPr>
        <w:pStyle w:val="Heading1"/>
        <w:divId w:val="935526654"/>
        <w:rPr>
          <w:lang w:val="en-GB"/>
        </w:rPr>
      </w:pPr>
      <w:r>
        <w:rPr>
          <w:lang w:val="en-GB"/>
        </w:rPr>
        <w:t>Results</w:t>
      </w:r>
      <w:r w:rsidR="00BA793A">
        <w:rPr>
          <w:lang w:val="en-GB"/>
        </w:rPr>
        <w:t xml:space="preserve"> and d</w:t>
      </w:r>
      <w:r w:rsidRPr="00702D05">
        <w:rPr>
          <w:lang w:val="en-GB"/>
        </w:rPr>
        <w:t>iscussion</w:t>
      </w:r>
    </w:p>
    <w:p w14:paraId="0B789F7C" w14:textId="77777777" w:rsidR="00BA793A" w:rsidRDefault="00BA793A" w:rsidP="00BA793A">
      <w:pPr>
        <w:divId w:val="935526654"/>
        <w:rPr>
          <w:lang w:val="en-GB"/>
        </w:rPr>
      </w:pPr>
      <w:r w:rsidRPr="00BA793A">
        <w:rPr>
          <w:lang w:val="en-GB"/>
        </w:rPr>
        <w:t>Of 440 reported cases of myocarditis, 225 were classified as either ‘confirmed’ or ‘probable’ cases according to CDC or BC criteria (Table 1). There were no Level 3 or ‘possible’ cases as per BC criteria. Of the remaining cases, 37 were excluded due to a more likely alternative cause of myocarditis; 121 because they did not meet any criteria for a classification of myocarditis; and 57 because there was inadequate information to make a classification.</w:t>
      </w:r>
    </w:p>
    <w:p w14:paraId="2B63DE60" w14:textId="77777777" w:rsidR="00C469F1" w:rsidRDefault="00C469F1" w:rsidP="00C469F1">
      <w:pPr>
        <w:pStyle w:val="CDIFigure-Table-Title"/>
        <w:divId w:val="935526654"/>
      </w:pPr>
      <w:r w:rsidRPr="00BA793A">
        <w:t>Table 1: Comparison of diagnostic criteria for myocarditis</w:t>
      </w:r>
    </w:p>
    <w:tbl>
      <w:tblPr>
        <w:tblW w:w="0" w:type="auto"/>
        <w:tblInd w:w="-5" w:type="dxa"/>
        <w:tblLayout w:type="fixed"/>
        <w:tblCellMar>
          <w:left w:w="0" w:type="dxa"/>
          <w:right w:w="0" w:type="dxa"/>
        </w:tblCellMar>
        <w:tblLook w:val="0000" w:firstRow="0" w:lastRow="0" w:firstColumn="0" w:lastColumn="0" w:noHBand="0" w:noVBand="0"/>
        <w:tblCaption w:val="Table 1: Comparison of diagnostic criteria for myocarditis"/>
        <w:tblDescription w:val="Table 1 lists the diagnostic criteria for myocarditis from the Brighton Collaboration Criteria and the Centre for Disease Control. The Brighton Collaboration Criteria has three levels: definitive, probable, and possible cases. The Centre for Disease Control defines cases as Level 1 (confirmed) or Level 2 (probable). "/>
      </w:tblPr>
      <w:tblGrid>
        <w:gridCol w:w="4816"/>
        <w:gridCol w:w="4817"/>
      </w:tblGrid>
      <w:tr w:rsidR="00C469F1" w:rsidRPr="00BA793A" w14:paraId="6A5B194D" w14:textId="77777777" w:rsidTr="00C469F1">
        <w:trPr>
          <w:divId w:val="935526654"/>
          <w:trHeight w:val="20"/>
          <w:tblHeader/>
        </w:trPr>
        <w:tc>
          <w:tcPr>
            <w:tcW w:w="4816" w:type="dxa"/>
            <w:shd w:val="clear" w:color="auto" w:fill="033636" w:themeFill="text2"/>
            <w:tcMar>
              <w:top w:w="170" w:type="dxa"/>
              <w:left w:w="170" w:type="dxa"/>
              <w:bottom w:w="113" w:type="dxa"/>
              <w:right w:w="170" w:type="dxa"/>
            </w:tcMar>
            <w:vAlign w:val="center"/>
          </w:tcPr>
          <w:p w14:paraId="3156D7ED" w14:textId="77777777" w:rsidR="00C469F1" w:rsidRPr="00BA793A" w:rsidRDefault="00C469F1" w:rsidP="001A5DAB">
            <w:pPr>
              <w:pStyle w:val="CDIFigure-Table-H1Left"/>
            </w:pPr>
            <w:r w:rsidRPr="00BA793A">
              <w:t>Brighton Collaboration criteria</w:t>
            </w:r>
          </w:p>
        </w:tc>
        <w:tc>
          <w:tcPr>
            <w:tcW w:w="4817" w:type="dxa"/>
            <w:shd w:val="clear" w:color="auto" w:fill="033636" w:themeFill="text2"/>
            <w:tcMar>
              <w:top w:w="170" w:type="dxa"/>
              <w:left w:w="170" w:type="dxa"/>
              <w:bottom w:w="113" w:type="dxa"/>
              <w:right w:w="170" w:type="dxa"/>
            </w:tcMar>
            <w:vAlign w:val="center"/>
          </w:tcPr>
          <w:p w14:paraId="6BA66AC6" w14:textId="77777777" w:rsidR="00C469F1" w:rsidRPr="00BA793A" w:rsidRDefault="00C469F1" w:rsidP="001A5DAB">
            <w:pPr>
              <w:pStyle w:val="CDIFigure-Table-H1Left"/>
            </w:pPr>
            <w:r w:rsidRPr="00BA793A">
              <w:t xml:space="preserve">CDC </w:t>
            </w:r>
            <w:proofErr w:type="spellStart"/>
            <w:r w:rsidRPr="00BA793A">
              <w:t>criteria</w:t>
            </w:r>
            <w:r w:rsidRPr="00BA793A">
              <w:rPr>
                <w:vertAlign w:val="superscript"/>
              </w:rPr>
              <w:t>a</w:t>
            </w:r>
            <w:proofErr w:type="spellEnd"/>
          </w:p>
        </w:tc>
      </w:tr>
      <w:tr w:rsidR="00C469F1" w:rsidRPr="00BA793A" w14:paraId="5C2E451C" w14:textId="77777777" w:rsidTr="00C469F1">
        <w:trPr>
          <w:divId w:val="935526654"/>
          <w:trHeight w:val="20"/>
        </w:trPr>
        <w:tc>
          <w:tcPr>
            <w:tcW w:w="4816" w:type="dxa"/>
            <w:tcBorders>
              <w:bottom w:val="single" w:sz="6" w:space="0" w:color="033636" w:themeColor="text2"/>
            </w:tcBorders>
            <w:tcMar>
              <w:top w:w="170" w:type="dxa"/>
              <w:left w:w="170" w:type="dxa"/>
              <w:bottom w:w="170" w:type="dxa"/>
              <w:right w:w="170" w:type="dxa"/>
            </w:tcMar>
          </w:tcPr>
          <w:p w14:paraId="43E6840D" w14:textId="77777777" w:rsidR="00C469F1" w:rsidRPr="00C469F1" w:rsidRDefault="00C469F1" w:rsidP="001A5DAB">
            <w:pPr>
              <w:pStyle w:val="CDIFigure-Table-BodyTextLeft"/>
              <w:rPr>
                <w:b/>
                <w:bCs/>
              </w:rPr>
            </w:pPr>
            <w:r w:rsidRPr="00C469F1">
              <w:rPr>
                <w:b/>
                <w:bCs/>
              </w:rPr>
              <w:t>Level 1 (definitive)</w:t>
            </w:r>
          </w:p>
          <w:p w14:paraId="7D64C1D5" w14:textId="77777777" w:rsidR="00C469F1" w:rsidRPr="00BA793A" w:rsidRDefault="00C469F1" w:rsidP="001A5DAB">
            <w:pPr>
              <w:pStyle w:val="CDIFigure-Table-BodyTextLeft"/>
            </w:pPr>
            <w:r w:rsidRPr="00BA793A">
              <w:t>Abnormal histopathology</w:t>
            </w:r>
          </w:p>
          <w:p w14:paraId="1D6D03CA" w14:textId="77777777" w:rsidR="00C469F1" w:rsidRPr="00C469F1" w:rsidRDefault="00C469F1" w:rsidP="001A5DAB">
            <w:pPr>
              <w:pStyle w:val="CDIFigure-Table-BodyTextLeft"/>
              <w:rPr>
                <w:b/>
                <w:bCs/>
              </w:rPr>
            </w:pPr>
            <w:r w:rsidRPr="00C469F1">
              <w:rPr>
                <w:b/>
                <w:bCs/>
              </w:rPr>
              <w:t>OR</w:t>
            </w:r>
          </w:p>
          <w:p w14:paraId="7A371626" w14:textId="77777777" w:rsidR="00C469F1" w:rsidRPr="00BA793A" w:rsidRDefault="00C469F1" w:rsidP="001A5DAB">
            <w:pPr>
              <w:pStyle w:val="CDIFigure-Table-BodyTextLeft"/>
            </w:pPr>
            <w:r w:rsidRPr="00BA793A">
              <w:t xml:space="preserve">Elevated troponin AND abnormal </w:t>
            </w:r>
            <w:proofErr w:type="spellStart"/>
            <w:r w:rsidRPr="00BA793A">
              <w:t>CMR</w:t>
            </w:r>
            <w:r w:rsidRPr="00C469F1">
              <w:rPr>
                <w:vertAlign w:val="superscript"/>
              </w:rPr>
              <w:t>b</w:t>
            </w:r>
            <w:proofErr w:type="spellEnd"/>
          </w:p>
          <w:p w14:paraId="2E59B1BB" w14:textId="77777777" w:rsidR="00C469F1" w:rsidRPr="00C469F1" w:rsidRDefault="00C469F1" w:rsidP="001A5DAB">
            <w:pPr>
              <w:pStyle w:val="CDIFigure-Table-BodyTextLeft"/>
              <w:rPr>
                <w:b/>
                <w:bCs/>
              </w:rPr>
            </w:pPr>
            <w:r w:rsidRPr="00C469F1">
              <w:rPr>
                <w:b/>
                <w:bCs/>
              </w:rPr>
              <w:t>OR</w:t>
            </w:r>
          </w:p>
          <w:p w14:paraId="42042B93" w14:textId="77777777" w:rsidR="00C469F1" w:rsidRPr="00BA793A" w:rsidRDefault="00C469F1" w:rsidP="001A5DAB">
            <w:pPr>
              <w:pStyle w:val="CDIFigure-Table-BodyTextLeft"/>
            </w:pPr>
            <w:r w:rsidRPr="00BA793A">
              <w:t>Elevated troponin AND abnormal echocardiography</w:t>
            </w:r>
          </w:p>
        </w:tc>
        <w:tc>
          <w:tcPr>
            <w:tcW w:w="4817" w:type="dxa"/>
            <w:tcBorders>
              <w:bottom w:val="single" w:sz="6" w:space="0" w:color="033636" w:themeColor="text2"/>
            </w:tcBorders>
            <w:tcMar>
              <w:top w:w="170" w:type="dxa"/>
              <w:left w:w="170" w:type="dxa"/>
              <w:bottom w:w="170" w:type="dxa"/>
              <w:right w:w="170" w:type="dxa"/>
            </w:tcMar>
          </w:tcPr>
          <w:p w14:paraId="35087BAC" w14:textId="77777777" w:rsidR="00C469F1" w:rsidRPr="00C469F1" w:rsidRDefault="00C469F1" w:rsidP="001A5DAB">
            <w:pPr>
              <w:pStyle w:val="CDIFigure-Table-BodyTextLeft"/>
              <w:rPr>
                <w:b/>
                <w:bCs/>
              </w:rPr>
            </w:pPr>
            <w:r w:rsidRPr="00C469F1">
              <w:rPr>
                <w:b/>
                <w:bCs/>
              </w:rPr>
              <w:t>Level 1 (confirmed)</w:t>
            </w:r>
          </w:p>
          <w:p w14:paraId="217D4416" w14:textId="77777777" w:rsidR="00C469F1" w:rsidRPr="00BA793A" w:rsidRDefault="00C469F1" w:rsidP="001A5DAB">
            <w:pPr>
              <w:pStyle w:val="CDIFigure-Table-BodyTextLeft"/>
            </w:pPr>
            <w:r w:rsidRPr="00BA793A">
              <w:t>Symptoms consistent with myocarditis and at least one of:</w:t>
            </w:r>
          </w:p>
          <w:p w14:paraId="5DA9C839" w14:textId="77777777" w:rsidR="00C469F1" w:rsidRPr="00BA793A" w:rsidRDefault="00C469F1" w:rsidP="001A5DAB">
            <w:pPr>
              <w:pStyle w:val="CDIFigure-Table-BodyTextLeft"/>
            </w:pPr>
            <w:r w:rsidRPr="00BA793A">
              <w:t>Abnormal histopathology</w:t>
            </w:r>
          </w:p>
          <w:p w14:paraId="55731071" w14:textId="77777777" w:rsidR="00C469F1" w:rsidRPr="00C469F1" w:rsidRDefault="00C469F1" w:rsidP="001A5DAB">
            <w:pPr>
              <w:pStyle w:val="CDIFigure-Table-BodyTextLeft"/>
              <w:rPr>
                <w:b/>
                <w:bCs/>
              </w:rPr>
            </w:pPr>
            <w:r w:rsidRPr="00C469F1">
              <w:rPr>
                <w:b/>
                <w:bCs/>
              </w:rPr>
              <w:t>OR</w:t>
            </w:r>
          </w:p>
          <w:p w14:paraId="3A4AA1CF" w14:textId="77777777" w:rsidR="00C469F1" w:rsidRPr="00BA793A" w:rsidRDefault="00C469F1" w:rsidP="001A5DAB">
            <w:pPr>
              <w:pStyle w:val="CDIFigure-Table-BodyTextLeft"/>
            </w:pPr>
            <w:r w:rsidRPr="00BA793A">
              <w:t>Elevated troponin AND abnormal CMR</w:t>
            </w:r>
          </w:p>
        </w:tc>
      </w:tr>
      <w:tr w:rsidR="00C469F1" w:rsidRPr="00BA793A" w14:paraId="4661B097" w14:textId="77777777" w:rsidTr="00C469F1">
        <w:trPr>
          <w:divId w:val="935526654"/>
          <w:trHeight w:val="20"/>
        </w:trPr>
        <w:tc>
          <w:tcPr>
            <w:tcW w:w="4816" w:type="dxa"/>
            <w:tcBorders>
              <w:top w:val="single" w:sz="6" w:space="0" w:color="033636" w:themeColor="text2"/>
              <w:bottom w:val="single" w:sz="6" w:space="0" w:color="033636" w:themeColor="text2"/>
            </w:tcBorders>
            <w:tcMar>
              <w:top w:w="170" w:type="dxa"/>
              <w:left w:w="170" w:type="dxa"/>
              <w:bottom w:w="170" w:type="dxa"/>
              <w:right w:w="170" w:type="dxa"/>
            </w:tcMar>
          </w:tcPr>
          <w:p w14:paraId="761E24E0" w14:textId="77777777" w:rsidR="00C469F1" w:rsidRPr="00C469F1" w:rsidRDefault="00C469F1" w:rsidP="001A5DAB">
            <w:pPr>
              <w:pStyle w:val="CDIFigure-Table-BodyTextLeft"/>
              <w:rPr>
                <w:b/>
                <w:bCs/>
              </w:rPr>
            </w:pPr>
            <w:r w:rsidRPr="00C469F1">
              <w:rPr>
                <w:b/>
                <w:bCs/>
              </w:rPr>
              <w:t>Level 2 (probable)</w:t>
            </w:r>
          </w:p>
          <w:p w14:paraId="7D79A02E" w14:textId="77777777" w:rsidR="00C469F1" w:rsidRPr="00BA793A" w:rsidRDefault="00C469F1" w:rsidP="001A5DAB">
            <w:pPr>
              <w:pStyle w:val="CDIFigure-Table-BodyTextLeft"/>
            </w:pPr>
            <w:r w:rsidRPr="00BA793A">
              <w:t>Symptoms consistent with myocarditis and at least one of:</w:t>
            </w:r>
          </w:p>
          <w:p w14:paraId="3E02F9D3" w14:textId="77777777" w:rsidR="00C469F1" w:rsidRPr="00BA793A" w:rsidRDefault="00C469F1" w:rsidP="001A5DAB">
            <w:pPr>
              <w:pStyle w:val="CDIFigure-Table-BodyTextLeft"/>
            </w:pPr>
            <w:r w:rsidRPr="00BA793A">
              <w:t>Abnormal CMR</w:t>
            </w:r>
          </w:p>
          <w:p w14:paraId="1336E9E6" w14:textId="77777777" w:rsidR="00C469F1" w:rsidRPr="00C469F1" w:rsidRDefault="00C469F1" w:rsidP="001A5DAB">
            <w:pPr>
              <w:pStyle w:val="CDIFigure-Table-BodyTextLeft"/>
              <w:rPr>
                <w:b/>
                <w:bCs/>
              </w:rPr>
            </w:pPr>
            <w:r w:rsidRPr="00C469F1">
              <w:rPr>
                <w:b/>
                <w:bCs/>
              </w:rPr>
              <w:t>OR</w:t>
            </w:r>
          </w:p>
          <w:p w14:paraId="3CB7D2A7" w14:textId="77777777" w:rsidR="00C469F1" w:rsidRPr="00BA793A" w:rsidRDefault="00C469F1" w:rsidP="001A5DAB">
            <w:pPr>
              <w:pStyle w:val="CDIFigure-Table-BodyTextLeft"/>
            </w:pPr>
            <w:r w:rsidRPr="00BA793A">
              <w:t xml:space="preserve">Elevated troponin or </w:t>
            </w:r>
            <w:proofErr w:type="spellStart"/>
            <w:r w:rsidRPr="00BA793A">
              <w:t>CKMB</w:t>
            </w:r>
            <w:r w:rsidRPr="00C469F1">
              <w:rPr>
                <w:vertAlign w:val="superscript"/>
              </w:rPr>
              <w:t>c</w:t>
            </w:r>
            <w:proofErr w:type="spellEnd"/>
          </w:p>
          <w:p w14:paraId="7319300D" w14:textId="77777777" w:rsidR="00C469F1" w:rsidRPr="00C469F1" w:rsidRDefault="00C469F1" w:rsidP="001A5DAB">
            <w:pPr>
              <w:pStyle w:val="CDIFigure-Table-BodyTextLeft"/>
              <w:rPr>
                <w:b/>
                <w:bCs/>
              </w:rPr>
            </w:pPr>
            <w:r w:rsidRPr="00C469F1">
              <w:rPr>
                <w:b/>
                <w:bCs/>
              </w:rPr>
              <w:t>OR</w:t>
            </w:r>
          </w:p>
          <w:p w14:paraId="28554554" w14:textId="77777777" w:rsidR="00C469F1" w:rsidRPr="00BA793A" w:rsidRDefault="00C469F1" w:rsidP="001A5DAB">
            <w:pPr>
              <w:pStyle w:val="CDIFigure-Table-BodyTextLeft"/>
            </w:pPr>
            <w:r w:rsidRPr="00BA793A">
              <w:t xml:space="preserve">Abnormal </w:t>
            </w:r>
            <w:proofErr w:type="spellStart"/>
            <w:r w:rsidRPr="00BA793A">
              <w:t>ECG</w:t>
            </w:r>
            <w:r w:rsidRPr="00C469F1">
              <w:rPr>
                <w:vertAlign w:val="superscript"/>
              </w:rPr>
              <w:t>d</w:t>
            </w:r>
            <w:proofErr w:type="spellEnd"/>
          </w:p>
          <w:p w14:paraId="6A5182DA" w14:textId="77777777" w:rsidR="00C469F1" w:rsidRPr="00C469F1" w:rsidRDefault="00C469F1" w:rsidP="001A5DAB">
            <w:pPr>
              <w:pStyle w:val="CDIFigure-Table-BodyTextLeft"/>
              <w:rPr>
                <w:b/>
                <w:bCs/>
              </w:rPr>
            </w:pPr>
            <w:r w:rsidRPr="00C469F1">
              <w:rPr>
                <w:b/>
                <w:bCs/>
              </w:rPr>
              <w:t>OR</w:t>
            </w:r>
          </w:p>
          <w:p w14:paraId="5415CF25" w14:textId="77777777" w:rsidR="00C469F1" w:rsidRPr="00BA793A" w:rsidRDefault="00C469F1" w:rsidP="001A5DAB">
            <w:pPr>
              <w:pStyle w:val="CDIFigure-Table-BodyTextLeft"/>
            </w:pPr>
            <w:r w:rsidRPr="00BA793A">
              <w:t>Abnormal echocardiography</w:t>
            </w:r>
          </w:p>
        </w:tc>
        <w:tc>
          <w:tcPr>
            <w:tcW w:w="4817" w:type="dxa"/>
            <w:tcBorders>
              <w:top w:val="single" w:sz="6" w:space="0" w:color="033636" w:themeColor="text2"/>
              <w:bottom w:val="single" w:sz="6" w:space="0" w:color="033636" w:themeColor="text2"/>
            </w:tcBorders>
            <w:tcMar>
              <w:top w:w="170" w:type="dxa"/>
              <w:left w:w="170" w:type="dxa"/>
              <w:bottom w:w="170" w:type="dxa"/>
              <w:right w:w="170" w:type="dxa"/>
            </w:tcMar>
          </w:tcPr>
          <w:p w14:paraId="63B89222" w14:textId="77777777" w:rsidR="00C469F1" w:rsidRPr="00C469F1" w:rsidRDefault="00C469F1" w:rsidP="001A5DAB">
            <w:pPr>
              <w:pStyle w:val="CDIFigure-Table-BodyTextLeft"/>
              <w:rPr>
                <w:b/>
                <w:bCs/>
              </w:rPr>
            </w:pPr>
            <w:r w:rsidRPr="00C469F1">
              <w:rPr>
                <w:b/>
                <w:bCs/>
              </w:rPr>
              <w:t>Level 2 (probable)</w:t>
            </w:r>
          </w:p>
          <w:p w14:paraId="3ACB1E6F" w14:textId="77777777" w:rsidR="00C469F1" w:rsidRPr="00BA793A" w:rsidRDefault="00C469F1" w:rsidP="001A5DAB">
            <w:pPr>
              <w:pStyle w:val="CDIFigure-Table-BodyTextLeft"/>
            </w:pPr>
            <w:r w:rsidRPr="00BA793A">
              <w:t>Symptoms consistent with myocarditis and at least one of:</w:t>
            </w:r>
          </w:p>
          <w:p w14:paraId="1D5B5A60" w14:textId="77777777" w:rsidR="00C469F1" w:rsidRPr="00BA793A" w:rsidRDefault="00C469F1" w:rsidP="001A5DAB">
            <w:pPr>
              <w:pStyle w:val="CDIFigure-Table-BodyTextLeft"/>
            </w:pPr>
            <w:r w:rsidRPr="00BA793A">
              <w:t>Abnormal CMR</w:t>
            </w:r>
          </w:p>
          <w:p w14:paraId="54A6C461" w14:textId="77777777" w:rsidR="00C469F1" w:rsidRPr="00C469F1" w:rsidRDefault="00C469F1" w:rsidP="001A5DAB">
            <w:pPr>
              <w:pStyle w:val="CDIFigure-Table-BodyTextLeft"/>
              <w:rPr>
                <w:b/>
                <w:bCs/>
              </w:rPr>
            </w:pPr>
            <w:r w:rsidRPr="00C469F1">
              <w:rPr>
                <w:b/>
                <w:bCs/>
              </w:rPr>
              <w:t>OR</w:t>
            </w:r>
          </w:p>
          <w:p w14:paraId="1CC89D39" w14:textId="77777777" w:rsidR="00C469F1" w:rsidRPr="00BA793A" w:rsidRDefault="00C469F1" w:rsidP="001A5DAB">
            <w:pPr>
              <w:pStyle w:val="CDIFigure-Table-BodyTextLeft"/>
            </w:pPr>
            <w:r w:rsidRPr="00BA793A">
              <w:t>Abnormal troponin</w:t>
            </w:r>
          </w:p>
          <w:p w14:paraId="57446155" w14:textId="77777777" w:rsidR="00C469F1" w:rsidRPr="00C469F1" w:rsidRDefault="00C469F1" w:rsidP="001A5DAB">
            <w:pPr>
              <w:pStyle w:val="CDIFigure-Table-BodyTextLeft"/>
              <w:rPr>
                <w:b/>
                <w:bCs/>
              </w:rPr>
            </w:pPr>
            <w:r w:rsidRPr="00C469F1">
              <w:rPr>
                <w:b/>
                <w:bCs/>
              </w:rPr>
              <w:t>OR</w:t>
            </w:r>
          </w:p>
          <w:p w14:paraId="7556DA9C" w14:textId="77777777" w:rsidR="00C469F1" w:rsidRPr="00BA793A" w:rsidRDefault="00C469F1" w:rsidP="001A5DAB">
            <w:pPr>
              <w:pStyle w:val="CDIFigure-Table-BodyTextLeft"/>
            </w:pPr>
            <w:r w:rsidRPr="00BA793A">
              <w:t>Abnormal ECG</w:t>
            </w:r>
          </w:p>
          <w:p w14:paraId="200D7F9F" w14:textId="77777777" w:rsidR="00C469F1" w:rsidRPr="00C469F1" w:rsidRDefault="00C469F1" w:rsidP="001A5DAB">
            <w:pPr>
              <w:pStyle w:val="CDIFigure-Table-BodyTextLeft"/>
              <w:rPr>
                <w:b/>
                <w:bCs/>
              </w:rPr>
            </w:pPr>
            <w:r w:rsidRPr="00C469F1">
              <w:rPr>
                <w:b/>
                <w:bCs/>
              </w:rPr>
              <w:t>OR</w:t>
            </w:r>
          </w:p>
          <w:p w14:paraId="40E5AE6F" w14:textId="77777777" w:rsidR="00C469F1" w:rsidRPr="00BA793A" w:rsidRDefault="00C469F1" w:rsidP="001A5DAB">
            <w:pPr>
              <w:pStyle w:val="CDIFigure-Table-BodyTextLeft"/>
            </w:pPr>
            <w:r w:rsidRPr="00BA793A">
              <w:t>Abnormal echocardiography</w:t>
            </w:r>
          </w:p>
        </w:tc>
      </w:tr>
      <w:tr w:rsidR="00C469F1" w:rsidRPr="00BA793A" w14:paraId="498434FE" w14:textId="77777777" w:rsidTr="00C469F1">
        <w:trPr>
          <w:divId w:val="935526654"/>
          <w:trHeight w:val="20"/>
        </w:trPr>
        <w:tc>
          <w:tcPr>
            <w:tcW w:w="4816" w:type="dxa"/>
            <w:tcBorders>
              <w:top w:val="single" w:sz="6" w:space="0" w:color="033636" w:themeColor="text2"/>
              <w:bottom w:val="single" w:sz="6" w:space="0" w:color="033636" w:themeColor="text2"/>
            </w:tcBorders>
            <w:tcMar>
              <w:top w:w="170" w:type="dxa"/>
              <w:left w:w="170" w:type="dxa"/>
              <w:bottom w:w="170" w:type="dxa"/>
              <w:right w:w="170" w:type="dxa"/>
            </w:tcMar>
          </w:tcPr>
          <w:p w14:paraId="2CC069A6" w14:textId="77777777" w:rsidR="00C469F1" w:rsidRPr="00C469F1" w:rsidRDefault="00C469F1" w:rsidP="001A5DAB">
            <w:pPr>
              <w:pStyle w:val="CDIFigure-Table-BodyTextLeft"/>
              <w:rPr>
                <w:b/>
                <w:bCs/>
              </w:rPr>
            </w:pPr>
            <w:r w:rsidRPr="00C469F1">
              <w:rPr>
                <w:b/>
                <w:bCs/>
              </w:rPr>
              <w:t>Level 3 (possible case)</w:t>
            </w:r>
          </w:p>
          <w:p w14:paraId="6CA1C225" w14:textId="77777777" w:rsidR="00C469F1" w:rsidRPr="00BA793A" w:rsidRDefault="00C469F1" w:rsidP="001A5DAB">
            <w:pPr>
              <w:pStyle w:val="CDIFigure-Table-BodyTextLeft"/>
            </w:pPr>
            <w:r w:rsidRPr="00BA793A">
              <w:t>Symptoms consistent with myocarditis</w:t>
            </w:r>
          </w:p>
          <w:p w14:paraId="14A1F22A" w14:textId="77777777" w:rsidR="00C469F1" w:rsidRPr="00C469F1" w:rsidRDefault="00C469F1" w:rsidP="001A5DAB">
            <w:pPr>
              <w:pStyle w:val="CDIFigure-Table-BodyTextLeft"/>
              <w:rPr>
                <w:b/>
                <w:bCs/>
              </w:rPr>
            </w:pPr>
            <w:r w:rsidRPr="00C469F1">
              <w:rPr>
                <w:b/>
                <w:bCs/>
              </w:rPr>
              <w:t>AND</w:t>
            </w:r>
          </w:p>
          <w:p w14:paraId="23D3FE51" w14:textId="77777777" w:rsidR="00C469F1" w:rsidRPr="00BA793A" w:rsidRDefault="00C469F1" w:rsidP="001A5DAB">
            <w:pPr>
              <w:pStyle w:val="CDIFigure-Table-BodyTextLeft"/>
            </w:pPr>
            <w:r w:rsidRPr="00BA793A">
              <w:t xml:space="preserve">Enlarged heart on </w:t>
            </w:r>
            <w:proofErr w:type="spellStart"/>
            <w:r w:rsidRPr="00BA793A">
              <w:t>CXR</w:t>
            </w:r>
            <w:r w:rsidRPr="00C469F1">
              <w:rPr>
                <w:vertAlign w:val="superscript"/>
              </w:rPr>
              <w:t>e</w:t>
            </w:r>
            <w:proofErr w:type="spellEnd"/>
            <w:r w:rsidRPr="00BA793A">
              <w:t xml:space="preserve"> </w:t>
            </w:r>
            <w:r w:rsidRPr="00C469F1">
              <w:rPr>
                <w:b/>
                <w:bCs/>
              </w:rPr>
              <w:t>OR</w:t>
            </w:r>
            <w:r w:rsidRPr="00BA793A">
              <w:t xml:space="preserve"> non-specific ECG abnormalities</w:t>
            </w:r>
          </w:p>
        </w:tc>
        <w:tc>
          <w:tcPr>
            <w:tcW w:w="4817" w:type="dxa"/>
            <w:tcBorders>
              <w:top w:val="single" w:sz="6" w:space="0" w:color="033636" w:themeColor="text2"/>
              <w:bottom w:val="single" w:sz="6" w:space="0" w:color="033636" w:themeColor="text2"/>
            </w:tcBorders>
            <w:tcMar>
              <w:top w:w="170" w:type="dxa"/>
              <w:left w:w="170" w:type="dxa"/>
              <w:bottom w:w="170" w:type="dxa"/>
              <w:right w:w="170" w:type="dxa"/>
            </w:tcMar>
          </w:tcPr>
          <w:p w14:paraId="16D020BA" w14:textId="77777777" w:rsidR="00C469F1" w:rsidRPr="00BA793A" w:rsidRDefault="00C469F1" w:rsidP="001A5DAB">
            <w:pPr>
              <w:pStyle w:val="CDIFigure-Table-BodyTextLeft"/>
            </w:pPr>
          </w:p>
        </w:tc>
      </w:tr>
    </w:tbl>
    <w:p w14:paraId="6FF1E1AB" w14:textId="77777777" w:rsidR="00C469F1" w:rsidRDefault="00C469F1" w:rsidP="00A27469">
      <w:pPr>
        <w:pStyle w:val="CDIFigure-Table-FirstFootnote"/>
        <w:divId w:val="935526654"/>
      </w:pPr>
      <w:r>
        <w:t>a</w:t>
      </w:r>
      <w:r>
        <w:tab/>
        <w:t>United States Centers for Disease Control and Prevention.</w:t>
      </w:r>
    </w:p>
    <w:p w14:paraId="2D6B3E74" w14:textId="77777777" w:rsidR="00C469F1" w:rsidRDefault="00C469F1" w:rsidP="00C469F1">
      <w:pPr>
        <w:pStyle w:val="CDIFigure-Table-Footnote"/>
        <w:divId w:val="935526654"/>
      </w:pPr>
      <w:r>
        <w:t>b</w:t>
      </w:r>
      <w:r>
        <w:tab/>
        <w:t>Cardiac magnetic resonance imaging.</w:t>
      </w:r>
    </w:p>
    <w:p w14:paraId="0647C02F" w14:textId="77777777" w:rsidR="00C469F1" w:rsidRDefault="00C469F1" w:rsidP="00C469F1">
      <w:pPr>
        <w:pStyle w:val="CDIFigure-Table-Footnote"/>
        <w:divId w:val="935526654"/>
      </w:pPr>
      <w:r>
        <w:t>c</w:t>
      </w:r>
      <w:r>
        <w:tab/>
        <w:t>Creatine kinase myocardial band.</w:t>
      </w:r>
    </w:p>
    <w:p w14:paraId="09A48EF7" w14:textId="77777777" w:rsidR="00C469F1" w:rsidRDefault="00C469F1" w:rsidP="00C469F1">
      <w:pPr>
        <w:pStyle w:val="CDIFigure-Table-Footnote"/>
        <w:divId w:val="935526654"/>
      </w:pPr>
      <w:r>
        <w:lastRenderedPageBreak/>
        <w:t>d</w:t>
      </w:r>
      <w:r>
        <w:tab/>
        <w:t>Electrocardiogram.</w:t>
      </w:r>
    </w:p>
    <w:p w14:paraId="090D3C93" w14:textId="77777777" w:rsidR="00C469F1" w:rsidRDefault="00C469F1" w:rsidP="00C469F1">
      <w:pPr>
        <w:pStyle w:val="CDIFigure-Table-Footnote"/>
        <w:divId w:val="935526654"/>
      </w:pPr>
      <w:r>
        <w:t>e</w:t>
      </w:r>
      <w:r>
        <w:tab/>
        <w:t>Chest X-ray.</w:t>
      </w:r>
    </w:p>
    <w:p w14:paraId="2D8B19D6" w14:textId="77777777" w:rsidR="00BA793A" w:rsidRPr="00BA793A" w:rsidRDefault="00BA793A" w:rsidP="00BA793A">
      <w:pPr>
        <w:divId w:val="935526654"/>
        <w:rPr>
          <w:lang w:val="en-GB"/>
        </w:rPr>
      </w:pPr>
      <w:r w:rsidRPr="00BA793A">
        <w:rPr>
          <w:lang w:val="en-GB"/>
        </w:rPr>
        <w:t xml:space="preserve">Even with the updated criteria, there was no change in classification level of any of the 225 cases. The BC criteria defined 79 cases (35%) as level 1 (definitive) and 146 (65%) as level 2 (probable). The CDC criteria defined 60 (27%) as confirmed, and 165 (73%) as probable. All 60 level 1 or confirmed CDC cases were also categorised as level 1 or definitive using the BC criteria. Of the 165 level 2 or probable CDC cases, 146 were BC probable and 19 were BC definitive. All 146 BC level 2 (probable) cases also met the criteria for CDC probable cases. </w:t>
      </w:r>
    </w:p>
    <w:p w14:paraId="4C6AECA6" w14:textId="77777777" w:rsidR="00BA793A" w:rsidRPr="00BA793A" w:rsidRDefault="00BA793A" w:rsidP="00BA793A">
      <w:pPr>
        <w:divId w:val="935526654"/>
        <w:rPr>
          <w:lang w:val="en-GB"/>
        </w:rPr>
      </w:pPr>
      <w:r w:rsidRPr="00BA793A">
        <w:rPr>
          <w:lang w:val="en-GB"/>
        </w:rPr>
        <w:t>The authors believe the identical distribution, despite updated BC criteria, demonstrates that it was rare for myocarditis cases to have an isolated abnormal CMR without a corresponding elevated troponin in our cohort. This is most likely due to resource access, with troponin more widely available as a first line biomarker for all cases, whereas CMR was only used in a much smaller proportion.</w:t>
      </w:r>
    </w:p>
    <w:p w14:paraId="3D058834" w14:textId="77777777" w:rsidR="00BA793A" w:rsidRPr="00BA793A" w:rsidRDefault="00BA793A" w:rsidP="00BA793A">
      <w:pPr>
        <w:divId w:val="935526654"/>
        <w:rPr>
          <w:lang w:val="en-GB"/>
        </w:rPr>
      </w:pPr>
      <w:r w:rsidRPr="00BA793A">
        <w:rPr>
          <w:lang w:val="en-GB"/>
        </w:rPr>
        <w:t>The discrepancies between the two criteria were 19 cases classified as definitive by BC criteria but probable by CDC criteria. This discrepancy was due to all cases having echocardiogram abnormalities but without any CMR imaging; CDC-confirmed cases require positive CMR findings if there is no histopathology, while echocardiogram abnormalities and elevated troponin alone are sufficient to classify a case as BC definitive.</w:t>
      </w:r>
    </w:p>
    <w:p w14:paraId="1846FBF3" w14:textId="77777777" w:rsidR="00BA793A" w:rsidRPr="00BA793A" w:rsidRDefault="00BA793A" w:rsidP="00BA793A">
      <w:pPr>
        <w:divId w:val="935526654"/>
        <w:rPr>
          <w:lang w:val="en-GB"/>
        </w:rPr>
      </w:pPr>
      <w:r w:rsidRPr="00BA793A">
        <w:rPr>
          <w:lang w:val="en-GB"/>
        </w:rPr>
        <w:t>While CMR may be less accessible than echocardiography, it is often more sensitive in diagnosing myocarditis due to its identification of late gadolinium enhancement (LGE), which provides evidence of myocardial injury such as necrosis, oedema, and fibrosis.</w:t>
      </w:r>
      <w:r w:rsidRPr="00BA793A">
        <w:rPr>
          <w:vertAlign w:val="superscript"/>
          <w:lang w:val="en-GB"/>
        </w:rPr>
        <w:t>3</w:t>
      </w:r>
      <w:r w:rsidRPr="00BA793A">
        <w:rPr>
          <w:lang w:val="en-GB"/>
        </w:rPr>
        <w:t xml:space="preserve"> It remains paramount as an investigation contributing to diagnosis in both the CDC and updated BC criteria, particularly because of its effectiveness and non-invasive methodology. This is important as myocarditis AEFI is predominant in the adolescent and young adult cohort, where the alternative gold-standard cardiac biopsy is less frequently performed due to its invasive nature.</w:t>
      </w:r>
    </w:p>
    <w:p w14:paraId="763C5092" w14:textId="77777777" w:rsidR="00BA793A" w:rsidRPr="00BA793A" w:rsidRDefault="00BA793A" w:rsidP="00BA793A">
      <w:pPr>
        <w:divId w:val="935526654"/>
        <w:rPr>
          <w:lang w:val="en-GB"/>
        </w:rPr>
      </w:pPr>
      <w:r w:rsidRPr="00BA793A">
        <w:rPr>
          <w:lang w:val="en-GB"/>
        </w:rPr>
        <w:t>If CMR is not available, echocardiography can be useful for functional assessment of the heart. Transoesophageal echocardiography is considered gold-standard when transthoracic views are limited. In settings where CMR or echocardiography are both unavailable, the BC criteria may prove more sensitive in diagnosis of myocarditis. This is because it includes a Level 3 or ‘possible case’ definition, which relies on more easily accessible investigations such as a chest X-ray or an electrocardiogram (ECG). A corresponding possible case definition does not exist in the CDC criteria.</w:t>
      </w:r>
    </w:p>
    <w:p w14:paraId="122019AA" w14:textId="77777777" w:rsidR="008A0736" w:rsidRPr="00702D05" w:rsidRDefault="008A0736" w:rsidP="008A0736">
      <w:pPr>
        <w:pStyle w:val="Heading1"/>
        <w:divId w:val="935526654"/>
        <w:rPr>
          <w:lang w:val="en-GB"/>
        </w:rPr>
      </w:pPr>
      <w:r w:rsidRPr="00702D05">
        <w:rPr>
          <w:lang w:val="en-GB"/>
        </w:rPr>
        <w:t>Conclusion</w:t>
      </w:r>
    </w:p>
    <w:p w14:paraId="73138AC6" w14:textId="77777777" w:rsidR="00BA793A" w:rsidRPr="00BA793A" w:rsidRDefault="00BA793A" w:rsidP="00BA793A">
      <w:pPr>
        <w:divId w:val="935526654"/>
        <w:rPr>
          <w:lang w:val="en-GB"/>
        </w:rPr>
      </w:pPr>
      <w:r w:rsidRPr="00BA793A">
        <w:rPr>
          <w:lang w:val="en-GB"/>
        </w:rPr>
        <w:t>Our findings continue to provide a valuable assessment of the utility of different criteria for myocarditis cases following COVID-19 vaccination. Local guidelines may consider recommending BC criteria where CMR or echocardiography is unavailable, as it demonstrates increased sensitivity for the diagnosis of myocarditis. The current study highlights the importance of refining criteria for AEFI based on evolving data, outcomes and availability of diagnostic tools.</w:t>
      </w:r>
    </w:p>
    <w:p w14:paraId="1CB0F671" w14:textId="77777777" w:rsidR="008A0736" w:rsidRDefault="008A0736" w:rsidP="00C469F1">
      <w:pPr>
        <w:pStyle w:val="Heading1"/>
        <w:divId w:val="935526654"/>
      </w:pPr>
      <w:r>
        <w:lastRenderedPageBreak/>
        <w:t>Author details</w:t>
      </w:r>
    </w:p>
    <w:p w14:paraId="45EF62D7" w14:textId="77777777" w:rsidR="00BA793A" w:rsidRPr="00BA793A" w:rsidRDefault="00BA793A" w:rsidP="00BA793A">
      <w:pPr>
        <w:divId w:val="935526654"/>
        <w:rPr>
          <w:lang w:val="en-GB"/>
        </w:rPr>
      </w:pPr>
      <w:r w:rsidRPr="00BA793A">
        <w:rPr>
          <w:lang w:val="en-GB"/>
        </w:rPr>
        <w:t>Dr Kevin M Slater</w:t>
      </w:r>
      <w:r w:rsidRPr="00BA793A">
        <w:rPr>
          <w:vertAlign w:val="superscript"/>
          <w:lang w:val="en-GB"/>
        </w:rPr>
        <w:t>1,2</w:t>
      </w:r>
      <w:r w:rsidRPr="00BA793A">
        <w:rPr>
          <w:lang w:val="en-GB"/>
        </w:rPr>
        <w:t xml:space="preserve"> </w:t>
      </w:r>
    </w:p>
    <w:p w14:paraId="0BAFA461" w14:textId="77777777" w:rsidR="00BA793A" w:rsidRPr="00BA793A" w:rsidRDefault="00BA793A" w:rsidP="00BA793A">
      <w:pPr>
        <w:pStyle w:val="Normal-lessspace"/>
        <w:divId w:val="935526654"/>
      </w:pPr>
      <w:r w:rsidRPr="00BA793A">
        <w:t>Prof. Jim P Buttery</w:t>
      </w:r>
      <w:r w:rsidRPr="00BA793A">
        <w:rPr>
          <w:vertAlign w:val="superscript"/>
        </w:rPr>
        <w:t>1–4</w:t>
      </w:r>
      <w:r w:rsidRPr="00BA793A">
        <w:t xml:space="preserve"> </w:t>
      </w:r>
    </w:p>
    <w:p w14:paraId="6C41E1A5" w14:textId="77777777" w:rsidR="00BA793A" w:rsidRPr="00BA793A" w:rsidRDefault="00BA793A" w:rsidP="00BA793A">
      <w:pPr>
        <w:pStyle w:val="Normal-lessspace"/>
        <w:divId w:val="935526654"/>
      </w:pPr>
      <w:r w:rsidRPr="00BA793A">
        <w:t>Prof. Nigel W Crawford</w:t>
      </w:r>
      <w:r w:rsidRPr="00BA793A">
        <w:rPr>
          <w:vertAlign w:val="superscript"/>
        </w:rPr>
        <w:t>1–3</w:t>
      </w:r>
      <w:r w:rsidRPr="00BA793A">
        <w:t xml:space="preserve"> </w:t>
      </w:r>
    </w:p>
    <w:p w14:paraId="367A70ED" w14:textId="77777777" w:rsidR="00BA793A" w:rsidRPr="00BA793A" w:rsidRDefault="00BA793A" w:rsidP="00BA793A">
      <w:pPr>
        <w:pStyle w:val="Normal-lessspace"/>
        <w:divId w:val="935526654"/>
      </w:pPr>
      <w:r w:rsidRPr="00BA793A">
        <w:t>A/Prof. Daryl R Cheng</w:t>
      </w:r>
      <w:r w:rsidRPr="00BA793A">
        <w:rPr>
          <w:vertAlign w:val="superscript"/>
        </w:rPr>
        <w:t>1–4</w:t>
      </w:r>
      <w:r w:rsidRPr="00BA793A">
        <w:t xml:space="preserve"> </w:t>
      </w:r>
    </w:p>
    <w:p w14:paraId="124B02DA" w14:textId="77777777" w:rsidR="00BA793A" w:rsidRPr="00BA793A" w:rsidRDefault="00BA793A" w:rsidP="00BA793A">
      <w:pPr>
        <w:pStyle w:val="CDINumberedList1L1"/>
        <w:divId w:val="935526654"/>
      </w:pPr>
      <w:r w:rsidRPr="00BA793A">
        <w:t xml:space="preserve">SAEFVIC, Murdoch Children’s Research Institute, Parkville </w:t>
      </w:r>
    </w:p>
    <w:p w14:paraId="62B914FF" w14:textId="77777777" w:rsidR="00BA793A" w:rsidRPr="00BA793A" w:rsidRDefault="00BA793A" w:rsidP="00BA793A">
      <w:pPr>
        <w:pStyle w:val="CDINumberedList1L1"/>
        <w:divId w:val="935526654"/>
      </w:pPr>
      <w:r w:rsidRPr="00BA793A">
        <w:t xml:space="preserve">Royal Children’s Hospital Melbourne, Parkville </w:t>
      </w:r>
    </w:p>
    <w:p w14:paraId="7167767E" w14:textId="77777777" w:rsidR="00BA793A" w:rsidRPr="00BA793A" w:rsidRDefault="00BA793A" w:rsidP="00BA793A">
      <w:pPr>
        <w:pStyle w:val="CDINumberedList1L1"/>
        <w:divId w:val="935526654"/>
      </w:pPr>
      <w:r w:rsidRPr="00BA793A">
        <w:t xml:space="preserve">Department of Paediatrics, University of Melbourne, Parkville </w:t>
      </w:r>
    </w:p>
    <w:p w14:paraId="2939A348" w14:textId="77777777" w:rsidR="00BA793A" w:rsidRPr="00BA793A" w:rsidRDefault="00BA793A" w:rsidP="00BA793A">
      <w:pPr>
        <w:pStyle w:val="CDINumberedList1L1"/>
        <w:divId w:val="935526654"/>
      </w:pPr>
      <w:r w:rsidRPr="00BA793A">
        <w:t xml:space="preserve">Centre for Health Analytics, Melbourne Children’s Campus, Parkville </w:t>
      </w:r>
    </w:p>
    <w:p w14:paraId="2339BD07" w14:textId="77777777" w:rsidR="00BA793A" w:rsidRPr="00BA793A" w:rsidRDefault="00BA793A" w:rsidP="00BA793A">
      <w:pPr>
        <w:divId w:val="935526654"/>
        <w:rPr>
          <w:b/>
          <w:bCs/>
          <w:lang w:val="en-GB"/>
        </w:rPr>
      </w:pPr>
      <w:r w:rsidRPr="00BA793A">
        <w:rPr>
          <w:b/>
          <w:bCs/>
          <w:lang w:val="en-GB"/>
        </w:rPr>
        <w:t xml:space="preserve">Corresponding author </w:t>
      </w:r>
    </w:p>
    <w:p w14:paraId="79156E09" w14:textId="77777777" w:rsidR="00BA793A" w:rsidRPr="00BA793A" w:rsidRDefault="00BA793A" w:rsidP="00BA793A">
      <w:pPr>
        <w:divId w:val="935526654"/>
        <w:rPr>
          <w:lang w:val="en-GB"/>
        </w:rPr>
      </w:pPr>
      <w:r w:rsidRPr="00BA793A">
        <w:rPr>
          <w:lang w:val="en-GB"/>
        </w:rPr>
        <w:t xml:space="preserve">A/Prof. Daryl R Cheng </w:t>
      </w:r>
    </w:p>
    <w:p w14:paraId="0655698E" w14:textId="76025E04" w:rsidR="00BA793A" w:rsidRPr="00BA793A" w:rsidRDefault="00BA793A" w:rsidP="00BA793A">
      <w:pPr>
        <w:pStyle w:val="Normal-lessspace"/>
        <w:divId w:val="935526654"/>
      </w:pPr>
      <w:r w:rsidRPr="00BA793A">
        <w:t>Address:</w:t>
      </w:r>
      <w:r>
        <w:t xml:space="preserve"> </w:t>
      </w:r>
      <w:r w:rsidRPr="00BA793A">
        <w:t xml:space="preserve">SAEFVIC, Murdoch Children’s Research Institute, Parkville, Melbourne, Victoria </w:t>
      </w:r>
    </w:p>
    <w:p w14:paraId="15BF0E28" w14:textId="77777777" w:rsidR="00BA793A" w:rsidRPr="00BA793A" w:rsidRDefault="00BA793A" w:rsidP="00BA793A">
      <w:pPr>
        <w:pStyle w:val="Normal-lessspace"/>
        <w:divId w:val="935526654"/>
      </w:pPr>
      <w:r w:rsidRPr="00BA793A">
        <w:t xml:space="preserve">Phone: +61 3 9345 5522 </w:t>
      </w:r>
    </w:p>
    <w:p w14:paraId="150C63DA" w14:textId="4633DDC3" w:rsidR="008A0736" w:rsidRPr="007A2D74" w:rsidRDefault="00BA793A" w:rsidP="00BA793A">
      <w:pPr>
        <w:pStyle w:val="Normal-lessspace"/>
        <w:divId w:val="935526654"/>
      </w:pPr>
      <w:r w:rsidRPr="00BA793A">
        <w:t>Email: daryl.cheng@mcri.edu.au</w:t>
      </w:r>
      <w:r w:rsidR="008A0736" w:rsidRPr="007A2D74">
        <w:br w:type="page"/>
      </w:r>
    </w:p>
    <w:p w14:paraId="175F5753" w14:textId="77777777" w:rsidR="008A0736" w:rsidRDefault="008A0736" w:rsidP="00C469F1">
      <w:pPr>
        <w:pStyle w:val="Heading1"/>
        <w:divId w:val="935526654"/>
      </w:pPr>
      <w:r>
        <w:lastRenderedPageBreak/>
        <w:t>References</w:t>
      </w:r>
    </w:p>
    <w:p w14:paraId="46520579" w14:textId="77777777" w:rsidR="00BA793A" w:rsidRPr="00BA793A" w:rsidRDefault="00BA793A" w:rsidP="00BA793A">
      <w:pPr>
        <w:pStyle w:val="CDINumberedList1L1"/>
        <w:divId w:val="935526654"/>
      </w:pPr>
      <w:r w:rsidRPr="00BA793A">
        <w:t xml:space="preserve">Marshall M, Ferguson ID, Lewis P, Jaggi P, Gagliardo C, Collins JS et al. Symptomatic acute myocarditis in 7 adolescents after Pfizer-BioNTech COVID-19 vaccination. </w:t>
      </w:r>
      <w:proofErr w:type="spellStart"/>
      <w:r w:rsidRPr="00BA793A">
        <w:rPr>
          <w:i/>
          <w:iCs/>
        </w:rPr>
        <w:t>Pediatrics</w:t>
      </w:r>
      <w:proofErr w:type="spellEnd"/>
      <w:r w:rsidRPr="00BA793A">
        <w:t>. 2021;148(3</w:t>
      </w:r>
      <w:proofErr w:type="gramStart"/>
      <w:r w:rsidRPr="00BA793A">
        <w:t>):e</w:t>
      </w:r>
      <w:proofErr w:type="gramEnd"/>
      <w:r w:rsidRPr="00BA793A">
        <w:t xml:space="preserve">2021052478. doi: https://doi.org/10.1542/peds.2021-052478. </w:t>
      </w:r>
    </w:p>
    <w:p w14:paraId="53A8D8DC" w14:textId="77777777" w:rsidR="00BA793A" w:rsidRPr="00BA793A" w:rsidRDefault="00BA793A" w:rsidP="00BA793A">
      <w:pPr>
        <w:pStyle w:val="CDINumberedList1L1"/>
        <w:divId w:val="935526654"/>
      </w:pPr>
      <w:r w:rsidRPr="00BA793A">
        <w:t xml:space="preserve">Marshall TR, Schrader S, Voss L, Buttery JP, Crawford NW, Cheng DR. A comparison of post-COVID vaccine myocarditis classification using the Brighton Collaboration criteria versus Centre for Disease Control criteria. </w:t>
      </w:r>
      <w:r w:rsidRPr="00BA793A">
        <w:rPr>
          <w:i/>
          <w:iCs/>
        </w:rPr>
        <w:t>Commun Dis Intell (2018)</w:t>
      </w:r>
      <w:r w:rsidRPr="00BA793A">
        <w:t>. 2023;47. doi: https://doi.org/10.33321/cdi.2023.47.2.</w:t>
      </w:r>
    </w:p>
    <w:p w14:paraId="0F944AF7" w14:textId="6DECA141" w:rsidR="00BA793A" w:rsidRPr="00BA793A" w:rsidRDefault="00BA793A" w:rsidP="00BA793A">
      <w:pPr>
        <w:pStyle w:val="CDINumberedList1L1"/>
        <w:divId w:val="935526654"/>
      </w:pPr>
      <w:r w:rsidRPr="00BA793A">
        <w:t xml:space="preserve">Sexson </w:t>
      </w:r>
      <w:proofErr w:type="spellStart"/>
      <w:r w:rsidRPr="00BA793A">
        <w:t>Tejtel</w:t>
      </w:r>
      <w:proofErr w:type="spellEnd"/>
      <w:r w:rsidRPr="00BA793A">
        <w:t xml:space="preserve"> SK, Munoz FM, Al-</w:t>
      </w:r>
      <w:proofErr w:type="spellStart"/>
      <w:r w:rsidRPr="00BA793A">
        <w:t>Ammouri</w:t>
      </w:r>
      <w:proofErr w:type="spellEnd"/>
      <w:r w:rsidRPr="00BA793A">
        <w:t xml:space="preserve"> I, Savorgnan F, </w:t>
      </w:r>
      <w:proofErr w:type="spellStart"/>
      <w:r w:rsidRPr="00BA793A">
        <w:t>Guggilla</w:t>
      </w:r>
      <w:proofErr w:type="spellEnd"/>
      <w:r w:rsidRPr="00BA793A">
        <w:t xml:space="preserve"> RK, Khuri-Bulos N et al. Myocarditis and pericarditis: case definition and guidelines for data collection, analysis, and presentation of immunization safety data. </w:t>
      </w:r>
      <w:r w:rsidRPr="00BA793A">
        <w:rPr>
          <w:i/>
          <w:iCs/>
        </w:rPr>
        <w:t>Vaccine</w:t>
      </w:r>
      <w:r w:rsidRPr="00BA793A">
        <w:t xml:space="preserve">. 2022;40(10):1499–511. </w:t>
      </w:r>
      <w:r>
        <w:br/>
      </w:r>
      <w:r w:rsidRPr="00BA793A">
        <w:t>doi: https://doi. org /10.1016/j.vaccine.2021.11.074.</w:t>
      </w:r>
    </w:p>
    <w:p w14:paraId="3B4B2C6C" w14:textId="1711C029" w:rsidR="00620509" w:rsidRPr="00BA793A" w:rsidRDefault="00BA793A" w:rsidP="00A745E1">
      <w:pPr>
        <w:pStyle w:val="CDINumberedList1L1"/>
        <w:divId w:val="935526654"/>
      </w:pPr>
      <w:r w:rsidRPr="00BA793A">
        <w:t xml:space="preserve">Gargano JW, Wallace M, Hadler SC, Langley G, Su JR, Oster ME et al. Use of mRNA COVID-19 vaccine after reports of myocarditis among vaccine recipients: update from the Advisory Committee on Immunization Practices — United States, June 2021. </w:t>
      </w:r>
      <w:r w:rsidRPr="00BA793A">
        <w:rPr>
          <w:i/>
          <w:iCs/>
        </w:rPr>
        <w:t xml:space="preserve">MMWR </w:t>
      </w:r>
      <w:proofErr w:type="spellStart"/>
      <w:r w:rsidRPr="00BA793A">
        <w:rPr>
          <w:i/>
          <w:iCs/>
        </w:rPr>
        <w:t>Morb</w:t>
      </w:r>
      <w:proofErr w:type="spellEnd"/>
      <w:r w:rsidRPr="00BA793A">
        <w:rPr>
          <w:i/>
          <w:iCs/>
        </w:rPr>
        <w:t xml:space="preserve"> Mortal </w:t>
      </w:r>
      <w:proofErr w:type="spellStart"/>
      <w:r w:rsidRPr="00BA793A">
        <w:rPr>
          <w:i/>
          <w:iCs/>
        </w:rPr>
        <w:t>Wkly</w:t>
      </w:r>
      <w:proofErr w:type="spellEnd"/>
      <w:r w:rsidRPr="00BA793A">
        <w:rPr>
          <w:i/>
          <w:iCs/>
        </w:rPr>
        <w:t xml:space="preserve"> Rep</w:t>
      </w:r>
      <w:r w:rsidRPr="00BA793A">
        <w:t>. 2021;70(27):977–82. doi: https://doi.org/10.15585/mmwr.mm7027e2.</w:t>
      </w:r>
    </w:p>
    <w:p w14:paraId="4DF3F63D" w14:textId="77777777" w:rsidR="001A26DD" w:rsidRDefault="001A26DD" w:rsidP="0037146D">
      <w:pPr>
        <w:divId w:val="935526654"/>
        <w:sectPr w:rsidR="001A26DD" w:rsidSect="00912A31">
          <w:headerReference w:type="even" r:id="rId9"/>
          <w:headerReference w:type="default" r:id="rId10"/>
          <w:footerReference w:type="even" r:id="rId11"/>
          <w:footerReference w:type="default" r:id="rId12"/>
          <w:headerReference w:type="first" r:id="rId13"/>
          <w:footerReference w:type="first" r:id="rId14"/>
          <w:pgSz w:w="11907" w:h="16840" w:code="9"/>
          <w:pgMar w:top="1304" w:right="1134" w:bottom="1304" w:left="1134" w:header="709" w:footer="527" w:gutter="0"/>
          <w:cols w:space="708"/>
          <w:titlePg/>
          <w:docGrid w:linePitch="360"/>
        </w:sectPr>
      </w:pPr>
    </w:p>
    <w:p w14:paraId="21995885" w14:textId="77777777" w:rsidR="000A5F42" w:rsidRPr="00A65DFA" w:rsidRDefault="007E610C" w:rsidP="00AC0F5D">
      <w:pPr>
        <w:pStyle w:val="CDICopyrightTitle"/>
      </w:pPr>
      <w:r>
        <w:lastRenderedPageBreak/>
        <w:t xml:space="preserve">About </w:t>
      </w:r>
      <w:r w:rsidR="000A5F42" w:rsidRPr="00A65DFA">
        <w:t xml:space="preserve">Communicable Diseases </w:t>
      </w:r>
      <w:r w:rsidR="000A5F42" w:rsidRPr="00194A12">
        <w:t>Intelligence</w:t>
      </w:r>
    </w:p>
    <w:p w14:paraId="12E5B632" w14:textId="107F8200" w:rsidR="000A5F42" w:rsidRPr="0089025E" w:rsidRDefault="000A5F42" w:rsidP="00194A12">
      <w:pPr>
        <w:pStyle w:val="CDICopyrightText"/>
      </w:pPr>
      <w:r w:rsidRPr="0089025E">
        <w:t xml:space="preserve">Communicable Diseases Intelligence (CDI) is a peer-reviewed scientific journal published by the </w:t>
      </w:r>
      <w:r w:rsidR="00A27469" w:rsidRPr="00A27469">
        <w:t>Health Protection Policy &amp; Surveillance Division</w:t>
      </w:r>
      <w:r w:rsidRPr="0089025E">
        <w:t xml:space="preserve">, </w:t>
      </w:r>
      <w:r w:rsidR="001723AC" w:rsidRPr="0089025E">
        <w:t>Department of Health and Aged Care</w:t>
      </w:r>
      <w:r w:rsidRPr="0089025E">
        <w:t>. The journal aims to disseminate information on the epidemiology, surveillance, prevention and control of communicable diseases of relevance to Australia.</w:t>
      </w:r>
    </w:p>
    <w:p w14:paraId="118B5869" w14:textId="77777777" w:rsidR="000705FF" w:rsidRPr="0089025E" w:rsidRDefault="000705FF" w:rsidP="00194A12">
      <w:pPr>
        <w:pStyle w:val="CDICopyrightText"/>
      </w:pPr>
      <w:r w:rsidRPr="0089025E">
        <w:t xml:space="preserve">© </w:t>
      </w:r>
      <w:fldSimple w:instr=" DOCPROPERTY  Year  \* MERGEFORMAT ">
        <w:r w:rsidR="00165E25">
          <w:t>2024</w:t>
        </w:r>
      </w:fldSimple>
      <w:r w:rsidRPr="0089025E">
        <w:t xml:space="preserve"> Commonwealth of Australia as represented by the Department of Health and Aged Care</w:t>
      </w:r>
    </w:p>
    <w:p w14:paraId="29CB691F" w14:textId="77777777" w:rsidR="00DE4482" w:rsidRPr="0089025E" w:rsidRDefault="00DE4482" w:rsidP="00194A12">
      <w:pPr>
        <w:pStyle w:val="CDICopyrightText"/>
      </w:pPr>
      <w:r w:rsidRPr="0089025E">
        <w:t>ISSN: 2209-6051 Online</w:t>
      </w:r>
    </w:p>
    <w:p w14:paraId="7B8C8DD8" w14:textId="77777777" w:rsidR="00DE4482" w:rsidRPr="0089025E" w:rsidRDefault="00DE4482" w:rsidP="00194A12">
      <w:pPr>
        <w:pStyle w:val="CDICopyrightText"/>
      </w:pPr>
      <w:r w:rsidRPr="0089025E">
        <w:t>This journal is indexed by Index Medicus and Medline.</w:t>
      </w:r>
    </w:p>
    <w:p w14:paraId="5A2A9187" w14:textId="77777777" w:rsidR="000705FF" w:rsidRPr="0089025E" w:rsidRDefault="000705FF" w:rsidP="00194A12">
      <w:pPr>
        <w:pStyle w:val="CDICopyrightText"/>
      </w:pPr>
      <w:r w:rsidRPr="0089025E">
        <w:t>This publication is licensed under a Creative Commons Attribution-NonCommercial-NoDerivatives 4.0 International Licence</w:t>
      </w:r>
      <w:r w:rsidR="00DE4482" w:rsidRPr="0089025E">
        <w:t xml:space="preserve"> (CC BY-NC-ND)</w:t>
      </w:r>
      <w:r w:rsidRPr="0089025E">
        <w:t xml:space="preserve"> </w:t>
      </w:r>
      <w:r w:rsidR="00DE4482" w:rsidRPr="0089025E">
        <w:t xml:space="preserve">available </w:t>
      </w:r>
      <w:r w:rsidRPr="0089025E">
        <w:t xml:space="preserve">from </w:t>
      </w:r>
      <w:r w:rsidRPr="008355D9">
        <w:rPr>
          <w:rFonts w:cstheme="minorHAnsi"/>
        </w:rPr>
        <w:t>https://creativecommons.org/licenses/by-nc-nd/4.0/legalcode</w:t>
      </w:r>
      <w:r w:rsidRPr="0089025E">
        <w:t xml:space="preserve"> (Licence). You must read and understand the Licence before using any material from this publication.</w:t>
      </w:r>
    </w:p>
    <w:p w14:paraId="2E1DBDD6" w14:textId="77777777" w:rsidR="000705FF" w:rsidRPr="00194A12" w:rsidRDefault="000705FF" w:rsidP="00194A12">
      <w:pPr>
        <w:pStyle w:val="CDICopyrightHeading"/>
      </w:pPr>
      <w:r w:rsidRPr="00194A12">
        <w:t>Restrictions</w:t>
      </w:r>
    </w:p>
    <w:p w14:paraId="460893C2" w14:textId="77777777" w:rsidR="000705FF" w:rsidRPr="0089025E" w:rsidRDefault="000705FF" w:rsidP="00194A12">
      <w:pPr>
        <w:pStyle w:val="CDICopyrightText"/>
      </w:pPr>
      <w:r w:rsidRPr="0089025E">
        <w:t>The Licence does not cover, and there is no permission given for, use of any of the following material found in this publication (if</w:t>
      </w:r>
      <w:r w:rsidR="000F223B" w:rsidRPr="0089025E">
        <w:t xml:space="preserve"> </w:t>
      </w:r>
      <w:r w:rsidRPr="0089025E">
        <w:t xml:space="preserve">any): </w:t>
      </w:r>
    </w:p>
    <w:p w14:paraId="52194B39" w14:textId="77777777" w:rsidR="000705FF" w:rsidRPr="008355D9" w:rsidRDefault="000705FF" w:rsidP="00AC0F5D">
      <w:pPr>
        <w:pStyle w:val="CDICopyrightBullets"/>
      </w:pPr>
      <w:r w:rsidRPr="008355D9">
        <w:t xml:space="preserve">the Commonwealth Coat of Arms (by way of information, the terms under which the Coat of Arms may be used can be </w:t>
      </w:r>
      <w:r w:rsidRPr="00AC0F5D">
        <w:t>found</w:t>
      </w:r>
      <w:r w:rsidRPr="008355D9">
        <w:t xml:space="preserve"> at </w:t>
      </w:r>
      <w:r w:rsidR="008355D9" w:rsidRPr="008355D9">
        <w:t>www.pmc.gov.au/resources/commonwealth-coat-arms-information-and-guidelines)</w:t>
      </w:r>
      <w:r w:rsidRPr="008355D9">
        <w:t>;</w:t>
      </w:r>
    </w:p>
    <w:p w14:paraId="2F67AA11" w14:textId="77777777" w:rsidR="000705FF" w:rsidRPr="0089025E" w:rsidRDefault="000705FF" w:rsidP="00AC0F5D">
      <w:pPr>
        <w:pStyle w:val="CDICopyrightBullets"/>
      </w:pPr>
      <w:r w:rsidRPr="0089025E">
        <w:t>any logos (including the Department of Health and Aged Care’s logo) and trademarks;</w:t>
      </w:r>
    </w:p>
    <w:p w14:paraId="36F41848" w14:textId="77777777" w:rsidR="000705FF" w:rsidRPr="0089025E" w:rsidRDefault="000705FF" w:rsidP="00AC0F5D">
      <w:pPr>
        <w:pStyle w:val="CDICopyrightBullets"/>
      </w:pPr>
      <w:r w:rsidRPr="0089025E">
        <w:t xml:space="preserve">any photographs and images; </w:t>
      </w:r>
    </w:p>
    <w:p w14:paraId="4D544E48" w14:textId="77777777" w:rsidR="000705FF" w:rsidRPr="0089025E" w:rsidRDefault="000705FF" w:rsidP="00AC0F5D">
      <w:pPr>
        <w:pStyle w:val="CDICopyrightBullets"/>
      </w:pPr>
      <w:r w:rsidRPr="0089025E">
        <w:t>any signatures; and</w:t>
      </w:r>
    </w:p>
    <w:p w14:paraId="364C0EFA" w14:textId="77777777" w:rsidR="000705FF" w:rsidRPr="0089025E" w:rsidRDefault="000705FF" w:rsidP="00AC0F5D">
      <w:pPr>
        <w:pStyle w:val="CDICopyrightBullets"/>
      </w:pPr>
      <w:r w:rsidRPr="0089025E">
        <w:t xml:space="preserve">any material belonging to third parties. </w:t>
      </w:r>
    </w:p>
    <w:p w14:paraId="1EE7591A" w14:textId="77777777" w:rsidR="000F223B" w:rsidRPr="0089025E" w:rsidRDefault="000705FF" w:rsidP="00194A12">
      <w:pPr>
        <w:pStyle w:val="CDICopyrightHeading"/>
      </w:pPr>
      <w:r w:rsidRPr="0089025E">
        <w:t>Disclaimer</w:t>
      </w:r>
    </w:p>
    <w:p w14:paraId="2C51EA7A" w14:textId="77777777" w:rsidR="000705FF" w:rsidRPr="0089025E" w:rsidRDefault="000705FF" w:rsidP="00194A12">
      <w:pPr>
        <w:pStyle w:val="CDICopyrightText"/>
      </w:pPr>
      <w:r w:rsidRPr="0089025E">
        <w:t xml:space="preserve">Opinions expressed in </w:t>
      </w:r>
      <w:r w:rsidRPr="00682E53">
        <w:rPr>
          <w:i/>
          <w:iCs/>
        </w:rPr>
        <w:t>Communicable Diseases Intelligence</w:t>
      </w:r>
      <w:r w:rsidRPr="0089025E">
        <w:t xml:space="preserve"> are those of the authors and not necessarily those of the Australian Government Department of Health and Aged Care or the Communicable Diseases Network Australia. Data may be subject to revision.</w:t>
      </w:r>
    </w:p>
    <w:p w14:paraId="5D9D0E5B" w14:textId="77777777" w:rsidR="000F223B" w:rsidRPr="0089025E" w:rsidRDefault="000705FF" w:rsidP="00194A12">
      <w:pPr>
        <w:pStyle w:val="CDICopyrightHeading"/>
      </w:pPr>
      <w:r w:rsidRPr="0089025E">
        <w:t>Enquiries</w:t>
      </w:r>
    </w:p>
    <w:p w14:paraId="6D3C9033" w14:textId="77777777" w:rsidR="000705FF" w:rsidRPr="0089025E" w:rsidRDefault="000705FF" w:rsidP="00194A12">
      <w:pPr>
        <w:pStyle w:val="CDICopyrightText"/>
      </w:pPr>
      <w:r w:rsidRPr="0089025E">
        <w:t xml:space="preserve">Enquiries regarding any other use of this publication should be addressed to the </w:t>
      </w:r>
      <w:r w:rsidR="000F223B" w:rsidRPr="0089025E">
        <w:t xml:space="preserve">CDI Editor at: </w:t>
      </w:r>
      <w:hyperlink r:id="rId15" w:history="1">
        <w:r w:rsidR="006307C1" w:rsidRPr="005A4A08">
          <w:rPr>
            <w:rStyle w:val="Hyperlink"/>
          </w:rPr>
          <w:t>cdi.editor@health.gov.au</w:t>
        </w:r>
      </w:hyperlink>
      <w:r w:rsidR="006307C1">
        <w:t xml:space="preserve"> </w:t>
      </w:r>
      <w:r w:rsidRPr="0089025E">
        <w:t xml:space="preserve"> </w:t>
      </w:r>
    </w:p>
    <w:p w14:paraId="4774D7E2" w14:textId="77777777" w:rsidR="000F223B" w:rsidRPr="0089025E" w:rsidRDefault="000705FF" w:rsidP="00194A12">
      <w:pPr>
        <w:pStyle w:val="CDICopyrightHeading"/>
      </w:pPr>
      <w:r w:rsidRPr="0089025E">
        <w:t>Communicable Diseases Network Australia</w:t>
      </w:r>
    </w:p>
    <w:p w14:paraId="688ACD8B" w14:textId="77777777" w:rsidR="00DA2E9E" w:rsidRPr="0089025E" w:rsidRDefault="000705FF" w:rsidP="00194A12">
      <w:pPr>
        <w:pStyle w:val="CDICopyrightText"/>
      </w:pPr>
      <w:r w:rsidRPr="0089025E">
        <w:t>Communicable Diseases Intelligence contributes to the work of the Communicable Diseases Network Australia.</w:t>
      </w:r>
      <w:r w:rsidR="0089025E" w:rsidRPr="0089025E">
        <w:t xml:space="preserve"> </w:t>
      </w:r>
      <w:r w:rsidR="007D6F3B" w:rsidRPr="008355D9">
        <w:t>www.health.gov.au/cdna</w:t>
      </w:r>
    </w:p>
    <w:p w14:paraId="2FFC4289" w14:textId="77777777" w:rsidR="000A5F42" w:rsidRPr="0089025E" w:rsidRDefault="000A5F42" w:rsidP="00D43E8E">
      <w:pPr>
        <w:pStyle w:val="CDICopyrightText"/>
      </w:pPr>
      <w:r w:rsidRPr="0089025E">
        <w:rPr>
          <w:b/>
          <w:bCs/>
        </w:rPr>
        <w:t>Editor</w:t>
      </w:r>
      <w:r w:rsidRPr="0089025E">
        <w:t xml:space="preserve">: </w:t>
      </w:r>
      <w:r w:rsidR="008B62FF" w:rsidRPr="0089025E">
        <w:t>Christina Bareja</w:t>
      </w:r>
      <w:r w:rsidR="00DA2E9E" w:rsidRPr="0089025E">
        <w:t xml:space="preserve"> </w:t>
      </w:r>
      <w:r w:rsidR="00DA2E9E" w:rsidRPr="00D43E8E">
        <w:rPr>
          <w:rStyle w:val="CDICopyrightTextBullet"/>
        </w:rPr>
        <w:t>•</w:t>
      </w:r>
      <w:r w:rsidR="00DA2E9E" w:rsidRPr="0089025E">
        <w:t xml:space="preserve"> </w:t>
      </w:r>
      <w:r w:rsidRPr="0089025E">
        <w:rPr>
          <w:b/>
          <w:bCs/>
        </w:rPr>
        <w:t>Deputy Editor</w:t>
      </w:r>
      <w:r w:rsidRPr="0089025E">
        <w:t xml:space="preserve">: </w:t>
      </w:r>
      <w:r w:rsidR="00C838F5" w:rsidRPr="0089025E">
        <w:t>Simon Petrie</w:t>
      </w:r>
      <w:r w:rsidR="00DA2E9E" w:rsidRPr="0089025E">
        <w:t xml:space="preserve"> </w:t>
      </w:r>
      <w:r w:rsidR="00DA2E9E" w:rsidRPr="00D43E8E">
        <w:rPr>
          <w:rStyle w:val="CDICopyrightTextBullet"/>
        </w:rPr>
        <w:t>•</w:t>
      </w:r>
      <w:r w:rsidR="00DA2E9E" w:rsidRPr="0089025E">
        <w:t xml:space="preserve"> </w:t>
      </w:r>
      <w:r w:rsidR="00967410" w:rsidRPr="0089025E">
        <w:rPr>
          <w:b/>
          <w:bCs/>
        </w:rPr>
        <w:t>Design</w:t>
      </w:r>
      <w:r w:rsidRPr="0089025E">
        <w:rPr>
          <w:b/>
          <w:bCs/>
        </w:rPr>
        <w:t xml:space="preserve"> and Production</w:t>
      </w:r>
      <w:r w:rsidRPr="0089025E">
        <w:t xml:space="preserve">: </w:t>
      </w:r>
      <w:r w:rsidR="00703009" w:rsidRPr="0089025E">
        <w:t>Lisa Thompson</w:t>
      </w:r>
    </w:p>
    <w:p w14:paraId="7B9150F7" w14:textId="3DC62EBB" w:rsidR="000A5F42" w:rsidRPr="0089025E" w:rsidRDefault="000A5F42" w:rsidP="00194A12">
      <w:pPr>
        <w:pStyle w:val="CDICopyrightText"/>
      </w:pPr>
      <w:r w:rsidRPr="0089025E">
        <w:rPr>
          <w:b/>
          <w:bCs/>
        </w:rPr>
        <w:t>Editorial Advisory Board</w:t>
      </w:r>
      <w:r w:rsidRPr="0089025E">
        <w:t xml:space="preserve">: </w:t>
      </w:r>
      <w:r w:rsidR="00CF75DF" w:rsidRPr="0089025E">
        <w:t>David Durrheim, Mark Ferson, Clare Huppatz, John Kaldor, Martyn Kirk</w:t>
      </w:r>
      <w:r w:rsidR="00F9515C">
        <w:t xml:space="preserve">, </w:t>
      </w:r>
      <w:r w:rsidR="00CF75DF" w:rsidRPr="0089025E">
        <w:t>Meru</w:t>
      </w:r>
      <w:r w:rsidR="0089025E" w:rsidRPr="0089025E">
        <w:t> </w:t>
      </w:r>
      <w:r w:rsidR="00CF75DF" w:rsidRPr="0089025E">
        <w:t>Sheel</w:t>
      </w:r>
      <w:r w:rsidR="00F9515C">
        <w:t xml:space="preserve"> and Stephanie Williams</w:t>
      </w:r>
    </w:p>
    <w:p w14:paraId="10DC13B6" w14:textId="77777777" w:rsidR="00DE4482" w:rsidRPr="0089025E" w:rsidRDefault="000A5F42" w:rsidP="00194A12">
      <w:pPr>
        <w:pStyle w:val="CDICopyrightHeading"/>
      </w:pPr>
      <w:r w:rsidRPr="0089025E">
        <w:t>Contacts</w:t>
      </w:r>
    </w:p>
    <w:p w14:paraId="65ECE9E2" w14:textId="77777777" w:rsidR="00682E53" w:rsidRDefault="00E54BBD" w:rsidP="00194A12">
      <w:pPr>
        <w:pStyle w:val="CDICopyrightText"/>
      </w:pPr>
      <w:r w:rsidRPr="0089025E">
        <w:t>CDI is produced by</w:t>
      </w:r>
      <w:r w:rsidR="00682E53">
        <w:t>:</w:t>
      </w:r>
    </w:p>
    <w:p w14:paraId="4CD568DB" w14:textId="0B3BB390" w:rsidR="000A5F42" w:rsidRPr="0089025E" w:rsidRDefault="00A27469" w:rsidP="00194A12">
      <w:pPr>
        <w:pStyle w:val="CDICopyrightText"/>
      </w:pPr>
      <w:r w:rsidRPr="00A27469">
        <w:t>Health Protection Policy &amp; Surveillance Division</w:t>
      </w:r>
      <w:r w:rsidR="00E54BBD" w:rsidRPr="0089025E">
        <w:t>, Australian Government Department of Health</w:t>
      </w:r>
      <w:r w:rsidR="00AE0209" w:rsidRPr="0089025E">
        <w:t xml:space="preserve"> and Aged Care</w:t>
      </w:r>
      <w:r w:rsidR="00E54BBD" w:rsidRPr="0089025E">
        <w:t>,</w:t>
      </w:r>
      <w:r w:rsidR="00682E53">
        <w:br/>
      </w:r>
      <w:r w:rsidR="00E54BBD" w:rsidRPr="0089025E">
        <w:t>GPO Box 9848, (MDP 6) CANBERRA ACT 2601</w:t>
      </w:r>
    </w:p>
    <w:p w14:paraId="322466A9" w14:textId="77777777" w:rsidR="00DA2E9E" w:rsidRPr="0089025E" w:rsidRDefault="00DA2E9E" w:rsidP="00194A12">
      <w:pPr>
        <w:pStyle w:val="CDICopyrightText"/>
      </w:pPr>
      <w:r w:rsidRPr="0089025E">
        <w:t xml:space="preserve">Website: </w:t>
      </w:r>
      <w:hyperlink r:id="rId16" w:history="1">
        <w:r w:rsidR="00AC0F5D" w:rsidRPr="000C6EB5">
          <w:rPr>
            <w:rStyle w:val="Hyperlink"/>
          </w:rPr>
          <w:t>www.health.gov.au/cdi</w:t>
        </w:r>
      </w:hyperlink>
      <w:r w:rsidR="00AC0F5D">
        <w:t xml:space="preserve"> </w:t>
      </w:r>
    </w:p>
    <w:p w14:paraId="398337B6" w14:textId="77777777" w:rsidR="000A5F42" w:rsidRPr="0089025E" w:rsidRDefault="000A5F42" w:rsidP="00194A12">
      <w:pPr>
        <w:pStyle w:val="CDICopyrightText"/>
      </w:pPr>
      <w:r w:rsidRPr="0089025E">
        <w:t xml:space="preserve">Email: </w:t>
      </w:r>
      <w:hyperlink r:id="rId17" w:history="1">
        <w:r w:rsidR="00AC0F5D" w:rsidRPr="000C6EB5">
          <w:rPr>
            <w:rStyle w:val="Hyperlink"/>
          </w:rPr>
          <w:t>cdi.editor@health.gov.au</w:t>
        </w:r>
      </w:hyperlink>
      <w:r w:rsidR="00AC0F5D">
        <w:t xml:space="preserve"> </w:t>
      </w:r>
    </w:p>
    <w:p w14:paraId="79FD248B" w14:textId="77777777" w:rsidR="00DE4482" w:rsidRPr="0089025E" w:rsidRDefault="000A5F42" w:rsidP="00194A12">
      <w:pPr>
        <w:pStyle w:val="CDICopyrightHeading"/>
      </w:pPr>
      <w:r w:rsidRPr="0089025E">
        <w:t xml:space="preserve">Submit an </w:t>
      </w:r>
      <w:proofErr w:type="gramStart"/>
      <w:r w:rsidRPr="0089025E">
        <w:t>Article</w:t>
      </w:r>
      <w:proofErr w:type="gramEnd"/>
    </w:p>
    <w:p w14:paraId="7F6FEA1E" w14:textId="77777777" w:rsidR="000A5F42" w:rsidRPr="0089025E" w:rsidRDefault="000A5F42" w:rsidP="00194A12">
      <w:pPr>
        <w:pStyle w:val="CDICopyrightText"/>
      </w:pPr>
      <w:r w:rsidRPr="0089025E">
        <w:t xml:space="preserve">You are invited to submit your next communicable disease related article to the </w:t>
      </w:r>
      <w:r w:rsidRPr="00682E53">
        <w:rPr>
          <w:i/>
          <w:iCs/>
        </w:rPr>
        <w:t>Communicable Diseases Intelligence</w:t>
      </w:r>
      <w:r w:rsidRPr="0089025E">
        <w:t xml:space="preserve"> (CDI) for consideration. More information regarding CDI can be found at: </w:t>
      </w:r>
      <w:r w:rsidR="00DE4482" w:rsidRPr="008355D9">
        <w:t>www.health.gov.au/cdi</w:t>
      </w:r>
      <w:r w:rsidRPr="0089025E">
        <w:t xml:space="preserve">. </w:t>
      </w:r>
    </w:p>
    <w:p w14:paraId="03758A65" w14:textId="77777777" w:rsidR="000A5F42" w:rsidRPr="0089025E" w:rsidRDefault="000A5F42" w:rsidP="00194A12">
      <w:pPr>
        <w:pStyle w:val="CDICopyrightText"/>
      </w:pPr>
      <w:r w:rsidRPr="0089025E">
        <w:t xml:space="preserve">Further enquiries should be directed to: </w:t>
      </w:r>
      <w:hyperlink r:id="rId18" w:history="1">
        <w:r w:rsidR="00AC0F5D" w:rsidRPr="000C6EB5">
          <w:rPr>
            <w:rStyle w:val="Hyperlink"/>
          </w:rPr>
          <w:t>cdi.editor@health.gov.au</w:t>
        </w:r>
      </w:hyperlink>
      <w:r w:rsidR="00AC0F5D">
        <w:t xml:space="preserve"> </w:t>
      </w:r>
    </w:p>
    <w:sectPr w:rsidR="000A5F42" w:rsidRPr="0089025E" w:rsidSect="001A26DD">
      <w:footerReference w:type="default" r:id="rId19"/>
      <w:pgSz w:w="11907" w:h="16840" w:code="9"/>
      <w:pgMar w:top="1304" w:right="1134" w:bottom="1304" w:left="1134" w:header="709"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F7E1A1" w14:textId="77777777" w:rsidR="00165E25" w:rsidRDefault="00165E25" w:rsidP="00E54DBA">
      <w:r>
        <w:separator/>
      </w:r>
    </w:p>
    <w:p w14:paraId="4397BF1F" w14:textId="77777777" w:rsidR="00165E25" w:rsidRDefault="00165E25"/>
    <w:p w14:paraId="2F8BD5BD" w14:textId="77777777" w:rsidR="00165E25" w:rsidRDefault="00165E25" w:rsidP="008714B0"/>
  </w:endnote>
  <w:endnote w:type="continuationSeparator" w:id="0">
    <w:p w14:paraId="109A0555" w14:textId="77777777" w:rsidR="00165E25" w:rsidRDefault="00165E25" w:rsidP="00E54DBA">
      <w:r>
        <w:continuationSeparator/>
      </w:r>
    </w:p>
    <w:p w14:paraId="7FCB44A6" w14:textId="77777777" w:rsidR="00165E25" w:rsidRDefault="00165E25"/>
    <w:p w14:paraId="34158C0B" w14:textId="77777777" w:rsidR="00165E25" w:rsidRDefault="00165E25"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rope ExtraLight">
    <w:panose1 w:val="00000000000000000000"/>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C5DD60" w14:textId="77777777" w:rsidR="00A14629" w:rsidRDefault="00A146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840EA4" w14:textId="30A48E94" w:rsidR="00A14629" w:rsidRPr="00912A31" w:rsidRDefault="00912A31" w:rsidP="00912A31">
    <w:pPr>
      <w:pStyle w:val="CDIFooter"/>
    </w:pPr>
    <w:r w:rsidRPr="001D0612">
      <w:t xml:space="preserve">www.health.gov.au/cdi </w:t>
    </w:r>
    <w:r w:rsidRPr="00912A31">
      <w:rPr>
        <w:rStyle w:val="CDICopyrightTextBullet"/>
      </w:rPr>
      <w:t>•</w:t>
    </w:r>
    <w:r w:rsidRPr="001D0612">
      <w:rPr>
        <w:rFonts w:cstheme="minorHAnsi"/>
      </w:rPr>
      <w:t xml:space="preserve"> </w:t>
    </w:r>
    <w:r w:rsidRPr="00F664DD">
      <w:rPr>
        <w:i/>
        <w:iCs/>
      </w:rPr>
      <w:t>Commun Dis Intell (2018)</w:t>
    </w:r>
    <w:r w:rsidRPr="001D0612">
      <w:t xml:space="preserve">  </w:t>
    </w:r>
    <w:fldSimple w:instr=" DOCPROPERTY  Year  \* MERGEFORMAT ">
      <w:r w:rsidR="00165E25">
        <w:t>2024</w:t>
      </w:r>
    </w:fldSimple>
    <w:r w:rsidRPr="001D0612">
      <w:t xml:space="preserve"> </w:t>
    </w:r>
    <w:fldSimple w:instr=" DOCPROPERTY  Vol  \* MERGEFORMAT ">
      <w:r w:rsidR="00165E25">
        <w:t>48</w:t>
      </w:r>
    </w:fldSimple>
    <w:r w:rsidRPr="001D0612">
      <w:t xml:space="preserve">  (</w:t>
    </w:r>
    <w:fldSimple w:instr=" DOCPROPERTY  DOI  \* MERGEFORMAT ">
      <w:r w:rsidR="00F9515C">
        <w:t>https://doi.org/10.33321/cdi.2024.48.18</w:t>
      </w:r>
    </w:fldSimple>
    <w:r w:rsidRPr="001D0612">
      <w:t xml:space="preserve">) </w:t>
    </w:r>
    <w:r w:rsidRPr="00912A31">
      <w:rPr>
        <w:rStyle w:val="CDICopyrightTextBullet"/>
      </w:rPr>
      <w:t>•</w:t>
    </w:r>
    <w:r w:rsidRPr="001D0612">
      <w:rPr>
        <w:rFonts w:cstheme="minorHAnsi"/>
      </w:rPr>
      <w:t xml:space="preserve"> </w:t>
    </w:r>
    <w:r w:rsidRPr="001D0612">
      <w:t xml:space="preserve">Epub </w:t>
    </w:r>
    <w:fldSimple w:instr=" DOCPROPERTY  ePubDate  \* MERGEFORMAT ">
      <w:r w:rsidR="00F9515C">
        <w:t>28/03/2024</w:t>
      </w:r>
    </w:fldSimple>
    <w:r w:rsidR="00F9515C">
      <w:ptab w:relativeTo="margin" w:alignment="right" w:leader="none"/>
    </w:r>
    <w:r w:rsidRPr="001D0612">
      <w:fldChar w:fldCharType="begin"/>
    </w:r>
    <w:r w:rsidRPr="001D0612">
      <w:instrText xml:space="preserve"> PAGE   \* MERGEFORMAT </w:instrText>
    </w:r>
    <w:r w:rsidRPr="001D0612">
      <w:fldChar w:fldCharType="separate"/>
    </w:r>
    <w:r>
      <w:t>3</w:t>
    </w:r>
    <w:r w:rsidRPr="001D061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072F0C" w14:textId="77777777" w:rsidR="00A14629" w:rsidRDefault="00A14629" w:rsidP="00F664DD">
    <w:pPr>
      <w:pStyle w:val="CDIFirst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B1957" w14:textId="70F80E1C" w:rsidR="00343991" w:rsidRDefault="00343991" w:rsidP="00F664DD">
    <w:pPr>
      <w:pStyle w:val="CDIFooter"/>
    </w:pPr>
    <w:r w:rsidRPr="001D0612">
      <w:t xml:space="preserve">www.health.gov.au/cdi </w:t>
    </w:r>
    <w:r w:rsidRPr="001D0612">
      <w:rPr>
        <w:rFonts w:cstheme="minorHAnsi"/>
        <w:color w:val="033636" w:themeColor="text2"/>
      </w:rPr>
      <w:t>•</w:t>
    </w:r>
    <w:r w:rsidRPr="001D0612">
      <w:rPr>
        <w:rFonts w:cstheme="minorHAnsi"/>
      </w:rPr>
      <w:t xml:space="preserve"> </w:t>
    </w:r>
    <w:r w:rsidRPr="00F664DD">
      <w:rPr>
        <w:i/>
        <w:iCs/>
      </w:rPr>
      <w:t>Commun Dis Intell (2018)</w:t>
    </w:r>
    <w:r w:rsidRPr="001D0612">
      <w:t xml:space="preserve">  </w:t>
    </w:r>
    <w:fldSimple w:instr=" DOCPROPERTY  Year  \* MERGEFORMAT ">
      <w:r w:rsidR="00165E25">
        <w:t>2024</w:t>
      </w:r>
    </w:fldSimple>
    <w:r w:rsidRPr="001D0612">
      <w:t xml:space="preserve"> </w:t>
    </w:r>
    <w:fldSimple w:instr=" DOCPROPERTY  Vol  \* MERGEFORMAT ">
      <w:r w:rsidR="00165E25">
        <w:t>48</w:t>
      </w:r>
    </w:fldSimple>
    <w:r w:rsidRPr="001D0612">
      <w:t xml:space="preserve">  (</w:t>
    </w:r>
    <w:fldSimple w:instr=" DOCPROPERTY  DOI  \* MERGEFORMAT ">
      <w:r w:rsidR="00F9515C">
        <w:t>https://doi.org/10.33321/cdi.2024.48.18</w:t>
      </w:r>
    </w:fldSimple>
    <w:r w:rsidRPr="001D0612">
      <w:t xml:space="preserve">) </w:t>
    </w:r>
    <w:r w:rsidRPr="001D0612">
      <w:rPr>
        <w:rFonts w:cstheme="minorHAnsi"/>
        <w:color w:val="033636" w:themeColor="text2"/>
      </w:rPr>
      <w:t>•</w:t>
    </w:r>
    <w:r w:rsidRPr="001D0612">
      <w:rPr>
        <w:rFonts w:cstheme="minorHAnsi"/>
      </w:rPr>
      <w:t xml:space="preserve"> </w:t>
    </w:r>
    <w:r w:rsidRPr="001D0612">
      <w:t xml:space="preserve">Epub </w:t>
    </w:r>
    <w:fldSimple w:instr=" DOCPROPERTY  ePubDate  \* MERGEFORMAT ">
      <w:r w:rsidR="00F9515C">
        <w:t>28/03/2024</w:t>
      </w:r>
    </w:fldSimple>
    <w:r w:rsidR="00F9515C">
      <w:ptab w:relativeTo="margin" w:alignment="right" w:leader="none"/>
    </w:r>
    <w:r w:rsidRPr="001D0612">
      <w:fldChar w:fldCharType="begin"/>
    </w:r>
    <w:r w:rsidRPr="001D0612">
      <w:instrText xml:space="preserve"> PAGE   \* MERGEFORMAT </w:instrText>
    </w:r>
    <w:r w:rsidRPr="001D0612">
      <w:fldChar w:fldCharType="separate"/>
    </w:r>
    <w:r>
      <w:t>3</w:t>
    </w:r>
    <w:r w:rsidRPr="001D06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EB469B" w14:textId="77777777" w:rsidR="00165E25" w:rsidRPr="00B91FB5" w:rsidRDefault="00165E25" w:rsidP="00B91FB5">
      <w:pPr>
        <w:spacing w:line="240" w:lineRule="auto"/>
        <w:rPr>
          <w:sz w:val="18"/>
          <w:szCs w:val="18"/>
        </w:rPr>
      </w:pPr>
      <w:r w:rsidRPr="00B91FB5">
        <w:rPr>
          <w:sz w:val="18"/>
          <w:szCs w:val="18"/>
        </w:rPr>
        <w:separator/>
      </w:r>
    </w:p>
  </w:footnote>
  <w:footnote w:type="continuationSeparator" w:id="0">
    <w:p w14:paraId="13A8CCE3" w14:textId="77777777" w:rsidR="00165E25" w:rsidRDefault="00165E25" w:rsidP="00E54DBA">
      <w:r>
        <w:continuationSeparator/>
      </w:r>
    </w:p>
  </w:footnote>
  <w:footnote w:type="continuationNotice" w:id="1">
    <w:p w14:paraId="2C2719D8" w14:textId="77777777" w:rsidR="00165E25" w:rsidRPr="00224EFF" w:rsidRDefault="00165E25"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59230A" w14:textId="77777777" w:rsidR="00A14629" w:rsidRDefault="00A1462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C6A89" w14:textId="77777777" w:rsidR="008B5348" w:rsidRPr="00830070" w:rsidRDefault="008B5348" w:rsidP="00912A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9F10FC" w14:textId="77777777" w:rsidR="00A14629" w:rsidRDefault="00962C2F" w:rsidP="00962C2F">
    <w:pPr>
      <w:pStyle w:val="CDIHeaderplacement"/>
    </w:pPr>
    <w:r>
      <w:rPr>
        <w:noProof/>
      </w:rPr>
      <w:drawing>
        <wp:anchor distT="0" distB="0" distL="114300" distR="114300" simplePos="0" relativeHeight="251659264" behindDoc="1" locked="1" layoutInCell="1" allowOverlap="1" wp14:anchorId="4CC4AC80" wp14:editId="301A8085">
          <wp:simplePos x="0" y="0"/>
          <wp:positionH relativeFrom="page">
            <wp:align>left</wp:align>
          </wp:positionH>
          <wp:positionV relativeFrom="page">
            <wp:align>top</wp:align>
          </wp:positionV>
          <wp:extent cx="7567200" cy="2268000"/>
          <wp:effectExtent l="0" t="0" r="0" b="0"/>
          <wp:wrapNone/>
          <wp:docPr id="6" name="Picture 6" descr="A green rectangle with dark green and white strokes and black text displaying the title of the journal - Communicable Diseases Intellig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rectangle with dark green and white strokes and black text displaying the title of the journal - Communicable Diseases Intellig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200" cy="2268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847FAF"/>
    <w:multiLevelType w:val="hybridMultilevel"/>
    <w:tmpl w:val="5B94B1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D80A6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791E94"/>
    <w:multiLevelType w:val="hybridMultilevel"/>
    <w:tmpl w:val="09A44BB6"/>
    <w:lvl w:ilvl="0" w:tplc="92961A60">
      <w:start w:val="1"/>
      <w:numFmt w:val="bullet"/>
      <w:pStyle w:val="CDIFigure-Table-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E23D41"/>
    <w:multiLevelType w:val="hybridMultilevel"/>
    <w:tmpl w:val="62D84E70"/>
    <w:lvl w:ilvl="0" w:tplc="79A29D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D5021"/>
    <w:multiLevelType w:val="hybridMultilevel"/>
    <w:tmpl w:val="88A22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5F1EF6"/>
    <w:multiLevelType w:val="hybridMultilevel"/>
    <w:tmpl w:val="88A251AE"/>
    <w:lvl w:ilvl="0" w:tplc="02BEA01A">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CB7B26"/>
    <w:multiLevelType w:val="hybridMultilevel"/>
    <w:tmpl w:val="FF5273AA"/>
    <w:lvl w:ilvl="0" w:tplc="3362C0A6">
      <w:start w:val="1"/>
      <w:numFmt w:val="bullet"/>
      <w:pStyle w:val="CDIBullets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C34111"/>
    <w:multiLevelType w:val="hybridMultilevel"/>
    <w:tmpl w:val="BD224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7D3EE2"/>
    <w:multiLevelType w:val="hybridMultilevel"/>
    <w:tmpl w:val="3AB20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D270B0"/>
    <w:multiLevelType w:val="hybridMultilevel"/>
    <w:tmpl w:val="B0009DC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C14B8B"/>
    <w:multiLevelType w:val="hybridMultilevel"/>
    <w:tmpl w:val="2320C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3E2038"/>
    <w:multiLevelType w:val="hybridMultilevel"/>
    <w:tmpl w:val="8FA42C4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D37045"/>
    <w:multiLevelType w:val="hybridMultilevel"/>
    <w:tmpl w:val="8CBEF372"/>
    <w:lvl w:ilvl="0" w:tplc="632C1B84">
      <w:start w:val="1"/>
      <w:numFmt w:val="bullet"/>
      <w:pStyle w:val="CDICopyright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A9135D"/>
    <w:multiLevelType w:val="multilevel"/>
    <w:tmpl w:val="1D3E1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8296814">
    <w:abstractNumId w:val="7"/>
  </w:num>
  <w:num w:numId="2" w16cid:durableId="1897424293">
    <w:abstractNumId w:val="12"/>
  </w:num>
  <w:num w:numId="3" w16cid:durableId="1257204005">
    <w:abstractNumId w:val="13"/>
  </w:num>
  <w:num w:numId="4" w16cid:durableId="249435281">
    <w:abstractNumId w:val="6"/>
  </w:num>
  <w:num w:numId="5" w16cid:durableId="1065370261">
    <w:abstractNumId w:val="17"/>
  </w:num>
  <w:num w:numId="6" w16cid:durableId="1981112450">
    <w:abstractNumId w:val="18"/>
  </w:num>
  <w:num w:numId="7" w16cid:durableId="1847285225">
    <w:abstractNumId w:val="19"/>
  </w:num>
  <w:num w:numId="8" w16cid:durableId="1155611035">
    <w:abstractNumId w:val="9"/>
  </w:num>
  <w:num w:numId="9" w16cid:durableId="1609970672">
    <w:abstractNumId w:val="15"/>
  </w:num>
  <w:num w:numId="10" w16cid:durableId="1791893130">
    <w:abstractNumId w:val="11"/>
  </w:num>
  <w:num w:numId="11" w16cid:durableId="470942222">
    <w:abstractNumId w:val="0"/>
  </w:num>
  <w:num w:numId="12" w16cid:durableId="564532051">
    <w:abstractNumId w:val="1"/>
  </w:num>
  <w:num w:numId="13" w16cid:durableId="1881085909">
    <w:abstractNumId w:val="3"/>
  </w:num>
  <w:num w:numId="14" w16cid:durableId="1568371897">
    <w:abstractNumId w:val="4"/>
  </w:num>
  <w:num w:numId="15" w16cid:durableId="1940402864">
    <w:abstractNumId w:val="10"/>
  </w:num>
  <w:num w:numId="16" w16cid:durableId="1786655782">
    <w:abstractNumId w:val="14"/>
  </w:num>
  <w:num w:numId="17" w16cid:durableId="479153694">
    <w:abstractNumId w:val="5"/>
  </w:num>
  <w:num w:numId="18" w16cid:durableId="283313819">
    <w:abstractNumId w:val="8"/>
  </w:num>
  <w:num w:numId="19" w16cid:durableId="1861163522">
    <w:abstractNumId w:val="5"/>
    <w:lvlOverride w:ilvl="0">
      <w:startOverride w:val="1"/>
    </w:lvlOverride>
  </w:num>
  <w:num w:numId="20" w16cid:durableId="1804809668">
    <w:abstractNumId w:val="5"/>
    <w:lvlOverride w:ilvl="0">
      <w:startOverride w:val="1"/>
    </w:lvlOverride>
  </w:num>
  <w:num w:numId="21" w16cid:durableId="1603873510">
    <w:abstractNumId w:val="5"/>
    <w:lvlOverride w:ilvl="0">
      <w:startOverride w:val="1"/>
    </w:lvlOverride>
  </w:num>
  <w:num w:numId="22" w16cid:durableId="914365539">
    <w:abstractNumId w:val="5"/>
    <w:lvlOverride w:ilvl="0">
      <w:startOverride w:val="1"/>
    </w:lvlOverride>
  </w:num>
  <w:num w:numId="23" w16cid:durableId="1022317170">
    <w:abstractNumId w:val="5"/>
    <w:lvlOverride w:ilvl="0">
      <w:startOverride w:val="1"/>
    </w:lvlOverride>
  </w:num>
  <w:num w:numId="24" w16cid:durableId="1343896282">
    <w:abstractNumId w:val="5"/>
    <w:lvlOverride w:ilvl="0">
      <w:startOverride w:val="1"/>
    </w:lvlOverride>
  </w:num>
  <w:num w:numId="25" w16cid:durableId="195311537">
    <w:abstractNumId w:val="5"/>
    <w:lvlOverride w:ilvl="0">
      <w:startOverride w:val="1"/>
    </w:lvlOverride>
  </w:num>
  <w:num w:numId="26" w16cid:durableId="939068915">
    <w:abstractNumId w:val="5"/>
    <w:lvlOverride w:ilvl="0">
      <w:startOverride w:val="1"/>
    </w:lvlOverride>
  </w:num>
  <w:num w:numId="27" w16cid:durableId="1996446220">
    <w:abstractNumId w:val="5"/>
    <w:lvlOverride w:ilvl="0">
      <w:startOverride w:val="1"/>
    </w:lvlOverride>
  </w:num>
  <w:num w:numId="28" w16cid:durableId="1808283431">
    <w:abstractNumId w:val="5"/>
    <w:lvlOverride w:ilvl="0">
      <w:startOverride w:val="1"/>
    </w:lvlOverride>
  </w:num>
  <w:num w:numId="29" w16cid:durableId="1886942018">
    <w:abstractNumId w:val="8"/>
  </w:num>
  <w:num w:numId="30" w16cid:durableId="1615593665">
    <w:abstractNumId w:val="16"/>
  </w:num>
  <w:num w:numId="31" w16cid:durableId="528883462">
    <w:abstractNumId w:val="2"/>
  </w:num>
  <w:num w:numId="32" w16cid:durableId="1956327888">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301" w:allStyles="1" w:customStyles="0" w:latentStyles="0" w:stylesInUse="0" w:headingStyles="0" w:numberingStyles="0" w:tableStyles="0" w:directFormattingOnRuns="1" w:directFormattingOnParagraphs="1" w:directFormattingOnNumbering="0" w:directFormattingOnTables="0"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E25"/>
    <w:rsid w:val="00000B5B"/>
    <w:rsid w:val="00001611"/>
    <w:rsid w:val="00002B8D"/>
    <w:rsid w:val="000104A8"/>
    <w:rsid w:val="0001246E"/>
    <w:rsid w:val="000124B1"/>
    <w:rsid w:val="000147ED"/>
    <w:rsid w:val="00014B0F"/>
    <w:rsid w:val="0001562E"/>
    <w:rsid w:val="00016FE6"/>
    <w:rsid w:val="0002642D"/>
    <w:rsid w:val="00026D55"/>
    <w:rsid w:val="00031064"/>
    <w:rsid w:val="00031692"/>
    <w:rsid w:val="00032531"/>
    <w:rsid w:val="000325A0"/>
    <w:rsid w:val="00032BCB"/>
    <w:rsid w:val="00034DCB"/>
    <w:rsid w:val="000420DA"/>
    <w:rsid w:val="000471BF"/>
    <w:rsid w:val="00047B68"/>
    <w:rsid w:val="00052600"/>
    <w:rsid w:val="0005643C"/>
    <w:rsid w:val="0006264A"/>
    <w:rsid w:val="00065A6B"/>
    <w:rsid w:val="00066764"/>
    <w:rsid w:val="000705FF"/>
    <w:rsid w:val="000733B3"/>
    <w:rsid w:val="00073D77"/>
    <w:rsid w:val="00081655"/>
    <w:rsid w:val="00084BAB"/>
    <w:rsid w:val="000864E0"/>
    <w:rsid w:val="00087301"/>
    <w:rsid w:val="000969B3"/>
    <w:rsid w:val="000A5F42"/>
    <w:rsid w:val="000C34E2"/>
    <w:rsid w:val="000C3D48"/>
    <w:rsid w:val="000C3FB4"/>
    <w:rsid w:val="000D4B4D"/>
    <w:rsid w:val="000E1322"/>
    <w:rsid w:val="000E6C4C"/>
    <w:rsid w:val="000F223B"/>
    <w:rsid w:val="000F73D7"/>
    <w:rsid w:val="00112E44"/>
    <w:rsid w:val="00113D58"/>
    <w:rsid w:val="001200CB"/>
    <w:rsid w:val="001371D9"/>
    <w:rsid w:val="001378A3"/>
    <w:rsid w:val="00146435"/>
    <w:rsid w:val="00153D94"/>
    <w:rsid w:val="00155582"/>
    <w:rsid w:val="00161590"/>
    <w:rsid w:val="00161C85"/>
    <w:rsid w:val="00163BE3"/>
    <w:rsid w:val="00165E25"/>
    <w:rsid w:val="001704D1"/>
    <w:rsid w:val="0017056E"/>
    <w:rsid w:val="00171CC0"/>
    <w:rsid w:val="001723AC"/>
    <w:rsid w:val="00175494"/>
    <w:rsid w:val="00175629"/>
    <w:rsid w:val="001830EC"/>
    <w:rsid w:val="00183534"/>
    <w:rsid w:val="0018758E"/>
    <w:rsid w:val="00194A12"/>
    <w:rsid w:val="00197A4A"/>
    <w:rsid w:val="00197ACB"/>
    <w:rsid w:val="001A26DD"/>
    <w:rsid w:val="001A4A96"/>
    <w:rsid w:val="001A5900"/>
    <w:rsid w:val="001A5D05"/>
    <w:rsid w:val="001A796C"/>
    <w:rsid w:val="001B0E7B"/>
    <w:rsid w:val="001B2614"/>
    <w:rsid w:val="001B37B8"/>
    <w:rsid w:val="001B552F"/>
    <w:rsid w:val="001C0893"/>
    <w:rsid w:val="001C0AA1"/>
    <w:rsid w:val="001C1303"/>
    <w:rsid w:val="001C1BD1"/>
    <w:rsid w:val="001C2B4B"/>
    <w:rsid w:val="001C5BB1"/>
    <w:rsid w:val="001C5F09"/>
    <w:rsid w:val="001C70B2"/>
    <w:rsid w:val="001D0612"/>
    <w:rsid w:val="001D37C7"/>
    <w:rsid w:val="001D6888"/>
    <w:rsid w:val="001E4E1D"/>
    <w:rsid w:val="001F0D9D"/>
    <w:rsid w:val="001F6248"/>
    <w:rsid w:val="00221481"/>
    <w:rsid w:val="00223F42"/>
    <w:rsid w:val="00224EFF"/>
    <w:rsid w:val="002276DC"/>
    <w:rsid w:val="00227E00"/>
    <w:rsid w:val="002307CB"/>
    <w:rsid w:val="00231046"/>
    <w:rsid w:val="00234F21"/>
    <w:rsid w:val="00242659"/>
    <w:rsid w:val="002428F7"/>
    <w:rsid w:val="00242A9E"/>
    <w:rsid w:val="0024315F"/>
    <w:rsid w:val="0024631C"/>
    <w:rsid w:val="00252C9A"/>
    <w:rsid w:val="00254E56"/>
    <w:rsid w:val="00256309"/>
    <w:rsid w:val="00257484"/>
    <w:rsid w:val="00260636"/>
    <w:rsid w:val="00262EA6"/>
    <w:rsid w:val="00271AFA"/>
    <w:rsid w:val="00275C5C"/>
    <w:rsid w:val="00275C78"/>
    <w:rsid w:val="00275F5D"/>
    <w:rsid w:val="00280594"/>
    <w:rsid w:val="00281EE3"/>
    <w:rsid w:val="00282B56"/>
    <w:rsid w:val="00284E4A"/>
    <w:rsid w:val="002A3799"/>
    <w:rsid w:val="002A3BCC"/>
    <w:rsid w:val="002A4516"/>
    <w:rsid w:val="002A569F"/>
    <w:rsid w:val="002A5B2C"/>
    <w:rsid w:val="002A7066"/>
    <w:rsid w:val="002B001E"/>
    <w:rsid w:val="002B09B7"/>
    <w:rsid w:val="002B493C"/>
    <w:rsid w:val="002B75A9"/>
    <w:rsid w:val="002C21B0"/>
    <w:rsid w:val="002C3003"/>
    <w:rsid w:val="002C5D55"/>
    <w:rsid w:val="002E2FB3"/>
    <w:rsid w:val="002F327B"/>
    <w:rsid w:val="00301626"/>
    <w:rsid w:val="003059EC"/>
    <w:rsid w:val="00313AA0"/>
    <w:rsid w:val="00316727"/>
    <w:rsid w:val="00316CCD"/>
    <w:rsid w:val="00324F7E"/>
    <w:rsid w:val="0032526F"/>
    <w:rsid w:val="003316F4"/>
    <w:rsid w:val="003323BC"/>
    <w:rsid w:val="00341720"/>
    <w:rsid w:val="00343991"/>
    <w:rsid w:val="00346D42"/>
    <w:rsid w:val="00346E11"/>
    <w:rsid w:val="00351364"/>
    <w:rsid w:val="003601C0"/>
    <w:rsid w:val="003635F5"/>
    <w:rsid w:val="00371080"/>
    <w:rsid w:val="0037146D"/>
    <w:rsid w:val="00372A88"/>
    <w:rsid w:val="00381A0F"/>
    <w:rsid w:val="00381E8E"/>
    <w:rsid w:val="00390F66"/>
    <w:rsid w:val="00392D07"/>
    <w:rsid w:val="003A1B3A"/>
    <w:rsid w:val="003A40F5"/>
    <w:rsid w:val="003B3487"/>
    <w:rsid w:val="003B5B8C"/>
    <w:rsid w:val="003B7ADD"/>
    <w:rsid w:val="003C554E"/>
    <w:rsid w:val="003C5E16"/>
    <w:rsid w:val="003C7841"/>
    <w:rsid w:val="003D15AE"/>
    <w:rsid w:val="003D5EAA"/>
    <w:rsid w:val="003D79B1"/>
    <w:rsid w:val="003E74EE"/>
    <w:rsid w:val="003F0552"/>
    <w:rsid w:val="003F3BC2"/>
    <w:rsid w:val="003F5172"/>
    <w:rsid w:val="003F725B"/>
    <w:rsid w:val="00401ED1"/>
    <w:rsid w:val="0040224C"/>
    <w:rsid w:val="004101DC"/>
    <w:rsid w:val="00411852"/>
    <w:rsid w:val="00413397"/>
    <w:rsid w:val="00413EE1"/>
    <w:rsid w:val="00415494"/>
    <w:rsid w:val="004164BB"/>
    <w:rsid w:val="0042000E"/>
    <w:rsid w:val="00421ECE"/>
    <w:rsid w:val="004228F2"/>
    <w:rsid w:val="00422FEB"/>
    <w:rsid w:val="0042435E"/>
    <w:rsid w:val="004315F5"/>
    <w:rsid w:val="00433456"/>
    <w:rsid w:val="00433DFA"/>
    <w:rsid w:val="00435D67"/>
    <w:rsid w:val="0043642C"/>
    <w:rsid w:val="0043704E"/>
    <w:rsid w:val="00461653"/>
    <w:rsid w:val="00464A58"/>
    <w:rsid w:val="00464E0D"/>
    <w:rsid w:val="00470721"/>
    <w:rsid w:val="00470C19"/>
    <w:rsid w:val="00473D2D"/>
    <w:rsid w:val="00491C26"/>
    <w:rsid w:val="004A19B8"/>
    <w:rsid w:val="004A2125"/>
    <w:rsid w:val="004A38F6"/>
    <w:rsid w:val="004B1266"/>
    <w:rsid w:val="004B4EB6"/>
    <w:rsid w:val="004B4F34"/>
    <w:rsid w:val="004C04D3"/>
    <w:rsid w:val="004C083C"/>
    <w:rsid w:val="004C3BDE"/>
    <w:rsid w:val="004C67C6"/>
    <w:rsid w:val="004D29DE"/>
    <w:rsid w:val="004E1094"/>
    <w:rsid w:val="004E2E81"/>
    <w:rsid w:val="0050662A"/>
    <w:rsid w:val="00510EAC"/>
    <w:rsid w:val="00526875"/>
    <w:rsid w:val="00532189"/>
    <w:rsid w:val="00542A57"/>
    <w:rsid w:val="00545068"/>
    <w:rsid w:val="0054635D"/>
    <w:rsid w:val="005635C8"/>
    <w:rsid w:val="00565974"/>
    <w:rsid w:val="005732C0"/>
    <w:rsid w:val="0057336D"/>
    <w:rsid w:val="0057489A"/>
    <w:rsid w:val="00574ACF"/>
    <w:rsid w:val="00581588"/>
    <w:rsid w:val="0058540B"/>
    <w:rsid w:val="00587C87"/>
    <w:rsid w:val="00590B80"/>
    <w:rsid w:val="005B3134"/>
    <w:rsid w:val="005B4E61"/>
    <w:rsid w:val="005B595A"/>
    <w:rsid w:val="005B66C2"/>
    <w:rsid w:val="005C1AA0"/>
    <w:rsid w:val="005C66A6"/>
    <w:rsid w:val="005D2465"/>
    <w:rsid w:val="005D4A40"/>
    <w:rsid w:val="005D79A5"/>
    <w:rsid w:val="005E33DD"/>
    <w:rsid w:val="005E3E4C"/>
    <w:rsid w:val="005E4229"/>
    <w:rsid w:val="005E5181"/>
    <w:rsid w:val="005E540E"/>
    <w:rsid w:val="005E55FB"/>
    <w:rsid w:val="005E709A"/>
    <w:rsid w:val="005F16BB"/>
    <w:rsid w:val="00604098"/>
    <w:rsid w:val="00606DFF"/>
    <w:rsid w:val="00607115"/>
    <w:rsid w:val="006108F2"/>
    <w:rsid w:val="00620509"/>
    <w:rsid w:val="00620768"/>
    <w:rsid w:val="00624477"/>
    <w:rsid w:val="0062594B"/>
    <w:rsid w:val="00627997"/>
    <w:rsid w:val="006306A8"/>
    <w:rsid w:val="006307C1"/>
    <w:rsid w:val="00631406"/>
    <w:rsid w:val="006324FF"/>
    <w:rsid w:val="00632787"/>
    <w:rsid w:val="006351D6"/>
    <w:rsid w:val="00636E0D"/>
    <w:rsid w:val="0064142F"/>
    <w:rsid w:val="00643CB4"/>
    <w:rsid w:val="00644B9D"/>
    <w:rsid w:val="00656427"/>
    <w:rsid w:val="00660255"/>
    <w:rsid w:val="00663EA5"/>
    <w:rsid w:val="00666D94"/>
    <w:rsid w:val="00681509"/>
    <w:rsid w:val="00682146"/>
    <w:rsid w:val="00682E53"/>
    <w:rsid w:val="00683E6F"/>
    <w:rsid w:val="006862C0"/>
    <w:rsid w:val="00690811"/>
    <w:rsid w:val="00693DAE"/>
    <w:rsid w:val="00697039"/>
    <w:rsid w:val="006971F3"/>
    <w:rsid w:val="006A12BE"/>
    <w:rsid w:val="006B337D"/>
    <w:rsid w:val="006C2787"/>
    <w:rsid w:val="006C74A3"/>
    <w:rsid w:val="006D1381"/>
    <w:rsid w:val="006D31BC"/>
    <w:rsid w:val="006D4979"/>
    <w:rsid w:val="006D508B"/>
    <w:rsid w:val="006D6625"/>
    <w:rsid w:val="006E7943"/>
    <w:rsid w:val="006F24EA"/>
    <w:rsid w:val="00702D05"/>
    <w:rsid w:val="00703009"/>
    <w:rsid w:val="00704CA9"/>
    <w:rsid w:val="0071048D"/>
    <w:rsid w:val="00710F86"/>
    <w:rsid w:val="007111A8"/>
    <w:rsid w:val="00714CD2"/>
    <w:rsid w:val="00723B5F"/>
    <w:rsid w:val="00725C33"/>
    <w:rsid w:val="00731BC3"/>
    <w:rsid w:val="00731FF7"/>
    <w:rsid w:val="00733216"/>
    <w:rsid w:val="00734159"/>
    <w:rsid w:val="00741192"/>
    <w:rsid w:val="007430BF"/>
    <w:rsid w:val="00743A33"/>
    <w:rsid w:val="00743DF3"/>
    <w:rsid w:val="00745AE2"/>
    <w:rsid w:val="00746080"/>
    <w:rsid w:val="0075144A"/>
    <w:rsid w:val="00760A97"/>
    <w:rsid w:val="00771313"/>
    <w:rsid w:val="00774BA6"/>
    <w:rsid w:val="00775C3B"/>
    <w:rsid w:val="00780C3D"/>
    <w:rsid w:val="00781AEF"/>
    <w:rsid w:val="00781C54"/>
    <w:rsid w:val="007828D7"/>
    <w:rsid w:val="007852D0"/>
    <w:rsid w:val="00786329"/>
    <w:rsid w:val="007918B3"/>
    <w:rsid w:val="00792C7D"/>
    <w:rsid w:val="00794293"/>
    <w:rsid w:val="00794A4D"/>
    <w:rsid w:val="007A159E"/>
    <w:rsid w:val="007A2D74"/>
    <w:rsid w:val="007A33B9"/>
    <w:rsid w:val="007A35A0"/>
    <w:rsid w:val="007A4B9B"/>
    <w:rsid w:val="007A5234"/>
    <w:rsid w:val="007A764D"/>
    <w:rsid w:val="007B7854"/>
    <w:rsid w:val="007C1CF5"/>
    <w:rsid w:val="007C457F"/>
    <w:rsid w:val="007C56A1"/>
    <w:rsid w:val="007C6454"/>
    <w:rsid w:val="007D5B5D"/>
    <w:rsid w:val="007D6F3B"/>
    <w:rsid w:val="007E01E0"/>
    <w:rsid w:val="007E5CA0"/>
    <w:rsid w:val="007E610C"/>
    <w:rsid w:val="007E6297"/>
    <w:rsid w:val="007E7486"/>
    <w:rsid w:val="007F0B93"/>
    <w:rsid w:val="007F2ECA"/>
    <w:rsid w:val="008019B9"/>
    <w:rsid w:val="00802960"/>
    <w:rsid w:val="0080547B"/>
    <w:rsid w:val="00805663"/>
    <w:rsid w:val="00811708"/>
    <w:rsid w:val="00813007"/>
    <w:rsid w:val="0081404B"/>
    <w:rsid w:val="00816B90"/>
    <w:rsid w:val="00817799"/>
    <w:rsid w:val="00821796"/>
    <w:rsid w:val="00822F5F"/>
    <w:rsid w:val="00824FD3"/>
    <w:rsid w:val="00826589"/>
    <w:rsid w:val="00830070"/>
    <w:rsid w:val="00830F91"/>
    <w:rsid w:val="00834BCC"/>
    <w:rsid w:val="008355D9"/>
    <w:rsid w:val="00850D54"/>
    <w:rsid w:val="00852E2B"/>
    <w:rsid w:val="008714B0"/>
    <w:rsid w:val="00872A7F"/>
    <w:rsid w:val="00876331"/>
    <w:rsid w:val="00877B90"/>
    <w:rsid w:val="00880726"/>
    <w:rsid w:val="0089025E"/>
    <w:rsid w:val="008A0736"/>
    <w:rsid w:val="008A3532"/>
    <w:rsid w:val="008A3544"/>
    <w:rsid w:val="008B48B8"/>
    <w:rsid w:val="008B5348"/>
    <w:rsid w:val="008B58F8"/>
    <w:rsid w:val="008B62FF"/>
    <w:rsid w:val="008C0712"/>
    <w:rsid w:val="008C4520"/>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4CC1"/>
    <w:rsid w:val="009066AF"/>
    <w:rsid w:val="00910578"/>
    <w:rsid w:val="00912050"/>
    <w:rsid w:val="00912A31"/>
    <w:rsid w:val="00912E48"/>
    <w:rsid w:val="00912E68"/>
    <w:rsid w:val="00923159"/>
    <w:rsid w:val="0092746F"/>
    <w:rsid w:val="00935DC9"/>
    <w:rsid w:val="00937F3C"/>
    <w:rsid w:val="009446C0"/>
    <w:rsid w:val="00947BAF"/>
    <w:rsid w:val="00951883"/>
    <w:rsid w:val="009527E3"/>
    <w:rsid w:val="009533E1"/>
    <w:rsid w:val="0096082E"/>
    <w:rsid w:val="00961347"/>
    <w:rsid w:val="00962C2F"/>
    <w:rsid w:val="00964753"/>
    <w:rsid w:val="00965AD4"/>
    <w:rsid w:val="00967410"/>
    <w:rsid w:val="00967D73"/>
    <w:rsid w:val="00970B9A"/>
    <w:rsid w:val="00971C4F"/>
    <w:rsid w:val="009745B6"/>
    <w:rsid w:val="0098119A"/>
    <w:rsid w:val="009823EE"/>
    <w:rsid w:val="00984AAF"/>
    <w:rsid w:val="00985521"/>
    <w:rsid w:val="00991B09"/>
    <w:rsid w:val="0099319C"/>
    <w:rsid w:val="00993CB2"/>
    <w:rsid w:val="009A0251"/>
    <w:rsid w:val="009A218B"/>
    <w:rsid w:val="009A5166"/>
    <w:rsid w:val="009A76F8"/>
    <w:rsid w:val="009B2B83"/>
    <w:rsid w:val="009C49F8"/>
    <w:rsid w:val="009D56E7"/>
    <w:rsid w:val="009D77CC"/>
    <w:rsid w:val="009D797A"/>
    <w:rsid w:val="009E2423"/>
    <w:rsid w:val="009E5490"/>
    <w:rsid w:val="009E55D7"/>
    <w:rsid w:val="009F4150"/>
    <w:rsid w:val="009F5665"/>
    <w:rsid w:val="009F5DAD"/>
    <w:rsid w:val="009F752C"/>
    <w:rsid w:val="00A01BCA"/>
    <w:rsid w:val="00A07088"/>
    <w:rsid w:val="00A10458"/>
    <w:rsid w:val="00A104E5"/>
    <w:rsid w:val="00A14629"/>
    <w:rsid w:val="00A153B6"/>
    <w:rsid w:val="00A164D5"/>
    <w:rsid w:val="00A20E4F"/>
    <w:rsid w:val="00A21097"/>
    <w:rsid w:val="00A25601"/>
    <w:rsid w:val="00A2678D"/>
    <w:rsid w:val="00A273C3"/>
    <w:rsid w:val="00A27469"/>
    <w:rsid w:val="00A30C37"/>
    <w:rsid w:val="00A34275"/>
    <w:rsid w:val="00A3671B"/>
    <w:rsid w:val="00A36C65"/>
    <w:rsid w:val="00A37AE9"/>
    <w:rsid w:val="00A41BBE"/>
    <w:rsid w:val="00A443E3"/>
    <w:rsid w:val="00A45BDD"/>
    <w:rsid w:val="00A46060"/>
    <w:rsid w:val="00A46A0A"/>
    <w:rsid w:val="00A553F8"/>
    <w:rsid w:val="00A5606F"/>
    <w:rsid w:val="00A56852"/>
    <w:rsid w:val="00A571EC"/>
    <w:rsid w:val="00A623E8"/>
    <w:rsid w:val="00A649E7"/>
    <w:rsid w:val="00A65DFA"/>
    <w:rsid w:val="00A6708F"/>
    <w:rsid w:val="00A71BF6"/>
    <w:rsid w:val="00A72AF9"/>
    <w:rsid w:val="00A74050"/>
    <w:rsid w:val="00A86F9A"/>
    <w:rsid w:val="00A95A81"/>
    <w:rsid w:val="00AA35E6"/>
    <w:rsid w:val="00AA50B6"/>
    <w:rsid w:val="00AA78FF"/>
    <w:rsid w:val="00AB3472"/>
    <w:rsid w:val="00AC0F5D"/>
    <w:rsid w:val="00AC27EF"/>
    <w:rsid w:val="00AC4595"/>
    <w:rsid w:val="00AC659C"/>
    <w:rsid w:val="00AC66D9"/>
    <w:rsid w:val="00AD0762"/>
    <w:rsid w:val="00AE0209"/>
    <w:rsid w:val="00AE3DCF"/>
    <w:rsid w:val="00AE4452"/>
    <w:rsid w:val="00AE6604"/>
    <w:rsid w:val="00AE7C38"/>
    <w:rsid w:val="00AF1538"/>
    <w:rsid w:val="00AF2679"/>
    <w:rsid w:val="00AF2814"/>
    <w:rsid w:val="00AF5008"/>
    <w:rsid w:val="00AF6920"/>
    <w:rsid w:val="00B01F99"/>
    <w:rsid w:val="00B02B37"/>
    <w:rsid w:val="00B05276"/>
    <w:rsid w:val="00B132DB"/>
    <w:rsid w:val="00B15F5B"/>
    <w:rsid w:val="00B20A91"/>
    <w:rsid w:val="00B24C05"/>
    <w:rsid w:val="00B26F80"/>
    <w:rsid w:val="00B31427"/>
    <w:rsid w:val="00B3166B"/>
    <w:rsid w:val="00B32FF9"/>
    <w:rsid w:val="00B33861"/>
    <w:rsid w:val="00B33E0B"/>
    <w:rsid w:val="00B40DE2"/>
    <w:rsid w:val="00B4377A"/>
    <w:rsid w:val="00B50210"/>
    <w:rsid w:val="00B50D8D"/>
    <w:rsid w:val="00B53955"/>
    <w:rsid w:val="00B53BFC"/>
    <w:rsid w:val="00B63C79"/>
    <w:rsid w:val="00B6408A"/>
    <w:rsid w:val="00B6478A"/>
    <w:rsid w:val="00B714B8"/>
    <w:rsid w:val="00B716E8"/>
    <w:rsid w:val="00B814CF"/>
    <w:rsid w:val="00B82C2C"/>
    <w:rsid w:val="00B85F35"/>
    <w:rsid w:val="00B8720B"/>
    <w:rsid w:val="00B876EF"/>
    <w:rsid w:val="00B91551"/>
    <w:rsid w:val="00B91FB5"/>
    <w:rsid w:val="00BA4697"/>
    <w:rsid w:val="00BA5893"/>
    <w:rsid w:val="00BA5DC6"/>
    <w:rsid w:val="00BA793A"/>
    <w:rsid w:val="00BB5378"/>
    <w:rsid w:val="00BB6F53"/>
    <w:rsid w:val="00BC086C"/>
    <w:rsid w:val="00BC0BD3"/>
    <w:rsid w:val="00BC5BA6"/>
    <w:rsid w:val="00BD0107"/>
    <w:rsid w:val="00BD2220"/>
    <w:rsid w:val="00BD4DBE"/>
    <w:rsid w:val="00BE0C33"/>
    <w:rsid w:val="00BE0FE9"/>
    <w:rsid w:val="00BE262C"/>
    <w:rsid w:val="00BE4C25"/>
    <w:rsid w:val="00BE6C3D"/>
    <w:rsid w:val="00BF42FE"/>
    <w:rsid w:val="00C06DA4"/>
    <w:rsid w:val="00C07606"/>
    <w:rsid w:val="00C12542"/>
    <w:rsid w:val="00C130EE"/>
    <w:rsid w:val="00C24725"/>
    <w:rsid w:val="00C30BA9"/>
    <w:rsid w:val="00C32396"/>
    <w:rsid w:val="00C3541E"/>
    <w:rsid w:val="00C36A8F"/>
    <w:rsid w:val="00C401C8"/>
    <w:rsid w:val="00C42834"/>
    <w:rsid w:val="00C42FFA"/>
    <w:rsid w:val="00C469F1"/>
    <w:rsid w:val="00C47780"/>
    <w:rsid w:val="00C507D8"/>
    <w:rsid w:val="00C51F5A"/>
    <w:rsid w:val="00C57018"/>
    <w:rsid w:val="00C62EAC"/>
    <w:rsid w:val="00C63F9F"/>
    <w:rsid w:val="00C6558E"/>
    <w:rsid w:val="00C66F97"/>
    <w:rsid w:val="00C7723C"/>
    <w:rsid w:val="00C838F5"/>
    <w:rsid w:val="00C841C0"/>
    <w:rsid w:val="00CA1AF4"/>
    <w:rsid w:val="00CA6068"/>
    <w:rsid w:val="00CA757A"/>
    <w:rsid w:val="00CB15E1"/>
    <w:rsid w:val="00CB3D46"/>
    <w:rsid w:val="00CB3D75"/>
    <w:rsid w:val="00CC0771"/>
    <w:rsid w:val="00CD1A87"/>
    <w:rsid w:val="00CD35F3"/>
    <w:rsid w:val="00CD5C93"/>
    <w:rsid w:val="00CD69CD"/>
    <w:rsid w:val="00CE342B"/>
    <w:rsid w:val="00CE63A5"/>
    <w:rsid w:val="00CF131F"/>
    <w:rsid w:val="00CF320C"/>
    <w:rsid w:val="00CF3A4B"/>
    <w:rsid w:val="00CF4001"/>
    <w:rsid w:val="00CF75DF"/>
    <w:rsid w:val="00D05837"/>
    <w:rsid w:val="00D12D8A"/>
    <w:rsid w:val="00D13E0C"/>
    <w:rsid w:val="00D20FB5"/>
    <w:rsid w:val="00D25896"/>
    <w:rsid w:val="00D33918"/>
    <w:rsid w:val="00D34AAF"/>
    <w:rsid w:val="00D373A1"/>
    <w:rsid w:val="00D37C0F"/>
    <w:rsid w:val="00D4113F"/>
    <w:rsid w:val="00D43E8E"/>
    <w:rsid w:val="00D45661"/>
    <w:rsid w:val="00D45943"/>
    <w:rsid w:val="00D47D22"/>
    <w:rsid w:val="00D51865"/>
    <w:rsid w:val="00D51D0C"/>
    <w:rsid w:val="00D52ECE"/>
    <w:rsid w:val="00D55D13"/>
    <w:rsid w:val="00D56C54"/>
    <w:rsid w:val="00D6407A"/>
    <w:rsid w:val="00D64A19"/>
    <w:rsid w:val="00D7189B"/>
    <w:rsid w:val="00D7327C"/>
    <w:rsid w:val="00D74140"/>
    <w:rsid w:val="00D80045"/>
    <w:rsid w:val="00D93AD4"/>
    <w:rsid w:val="00DA2E9E"/>
    <w:rsid w:val="00DA6E56"/>
    <w:rsid w:val="00DA78DD"/>
    <w:rsid w:val="00DB0DF2"/>
    <w:rsid w:val="00DB1C65"/>
    <w:rsid w:val="00DC0C4C"/>
    <w:rsid w:val="00DC24E5"/>
    <w:rsid w:val="00DC3B05"/>
    <w:rsid w:val="00DC6705"/>
    <w:rsid w:val="00DD1EF6"/>
    <w:rsid w:val="00DD2DE8"/>
    <w:rsid w:val="00DE04B8"/>
    <w:rsid w:val="00DE2BFC"/>
    <w:rsid w:val="00DE38B4"/>
    <w:rsid w:val="00DE4482"/>
    <w:rsid w:val="00DE4BBB"/>
    <w:rsid w:val="00DE5D02"/>
    <w:rsid w:val="00DF1E91"/>
    <w:rsid w:val="00DF2102"/>
    <w:rsid w:val="00DF48CC"/>
    <w:rsid w:val="00DF78F3"/>
    <w:rsid w:val="00E005A9"/>
    <w:rsid w:val="00E03579"/>
    <w:rsid w:val="00E040CF"/>
    <w:rsid w:val="00E065BA"/>
    <w:rsid w:val="00E115A8"/>
    <w:rsid w:val="00E1166E"/>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3D7C"/>
    <w:rsid w:val="00E640D5"/>
    <w:rsid w:val="00E64C4F"/>
    <w:rsid w:val="00E66E2E"/>
    <w:rsid w:val="00E67691"/>
    <w:rsid w:val="00E714F6"/>
    <w:rsid w:val="00E80F90"/>
    <w:rsid w:val="00E87669"/>
    <w:rsid w:val="00E877F0"/>
    <w:rsid w:val="00E92237"/>
    <w:rsid w:val="00E951EF"/>
    <w:rsid w:val="00EA1A80"/>
    <w:rsid w:val="00EA387D"/>
    <w:rsid w:val="00EA3D54"/>
    <w:rsid w:val="00EA42F9"/>
    <w:rsid w:val="00EA487F"/>
    <w:rsid w:val="00EA5244"/>
    <w:rsid w:val="00EA56D9"/>
    <w:rsid w:val="00EA5CE3"/>
    <w:rsid w:val="00EA6AD8"/>
    <w:rsid w:val="00EA7AB8"/>
    <w:rsid w:val="00EB51C1"/>
    <w:rsid w:val="00EB5AE1"/>
    <w:rsid w:val="00EB5E0B"/>
    <w:rsid w:val="00EB7247"/>
    <w:rsid w:val="00EB7C2A"/>
    <w:rsid w:val="00EC05A3"/>
    <w:rsid w:val="00EC2171"/>
    <w:rsid w:val="00ED442D"/>
    <w:rsid w:val="00ED70C2"/>
    <w:rsid w:val="00EE18FF"/>
    <w:rsid w:val="00EE1D64"/>
    <w:rsid w:val="00EE3E29"/>
    <w:rsid w:val="00EE489F"/>
    <w:rsid w:val="00EE558A"/>
    <w:rsid w:val="00EF082D"/>
    <w:rsid w:val="00EF55AE"/>
    <w:rsid w:val="00F0647F"/>
    <w:rsid w:val="00F10CE3"/>
    <w:rsid w:val="00F12006"/>
    <w:rsid w:val="00F13443"/>
    <w:rsid w:val="00F14F3B"/>
    <w:rsid w:val="00F16362"/>
    <w:rsid w:val="00F207C7"/>
    <w:rsid w:val="00F24CCA"/>
    <w:rsid w:val="00F27185"/>
    <w:rsid w:val="00F34C4E"/>
    <w:rsid w:val="00F35D78"/>
    <w:rsid w:val="00F36B6D"/>
    <w:rsid w:val="00F41618"/>
    <w:rsid w:val="00F4166D"/>
    <w:rsid w:val="00F43FA3"/>
    <w:rsid w:val="00F4712F"/>
    <w:rsid w:val="00F4772B"/>
    <w:rsid w:val="00F510E5"/>
    <w:rsid w:val="00F55648"/>
    <w:rsid w:val="00F568F7"/>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EF3"/>
    <w:rsid w:val="00F82066"/>
    <w:rsid w:val="00F84496"/>
    <w:rsid w:val="00F85DCB"/>
    <w:rsid w:val="00F86F9C"/>
    <w:rsid w:val="00F90D76"/>
    <w:rsid w:val="00F94055"/>
    <w:rsid w:val="00F9515C"/>
    <w:rsid w:val="00F95581"/>
    <w:rsid w:val="00FB17AB"/>
    <w:rsid w:val="00FB48CF"/>
    <w:rsid w:val="00FC002E"/>
    <w:rsid w:val="00FC4C23"/>
    <w:rsid w:val="00FC6204"/>
    <w:rsid w:val="00FC642E"/>
    <w:rsid w:val="00FD6229"/>
    <w:rsid w:val="00FE2AE4"/>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3C97C3"/>
  <w15:docId w15:val="{B954253E-D9FC-44FE-8286-688299F1B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469"/>
    <w:pPr>
      <w:spacing w:before="240" w:after="0"/>
    </w:pPr>
    <w:rPr>
      <w:rFonts w:ascii="Calibri" w:hAnsi="Calibri"/>
      <w14:ligatures w14:val="standardContextual"/>
    </w:rPr>
  </w:style>
  <w:style w:type="paragraph" w:styleId="Heading1">
    <w:name w:val="heading 1"/>
    <w:basedOn w:val="Normal"/>
    <w:next w:val="Normal"/>
    <w:link w:val="Heading1Char"/>
    <w:uiPriority w:val="9"/>
    <w:qFormat/>
    <w:rsid w:val="00734159"/>
    <w:pPr>
      <w:keepNext/>
      <w:keepLines/>
      <w:autoSpaceDE w:val="0"/>
      <w:autoSpaceDN w:val="0"/>
      <w:adjustRightInd w:val="0"/>
      <w:spacing w:before="480" w:line="240" w:lineRule="auto"/>
      <w:textAlignment w:val="center"/>
      <w:outlineLvl w:val="0"/>
    </w:pPr>
    <w:rPr>
      <w:rFonts w:ascii="Arial" w:hAnsi="Arial" w:cs="Manrope ExtraLight"/>
      <w:b/>
      <w:color w:val="033636" w:themeColor="text2"/>
      <w:sz w:val="48"/>
      <w:szCs w:val="32"/>
    </w:rPr>
  </w:style>
  <w:style w:type="paragraph" w:styleId="Heading2">
    <w:name w:val="heading 2"/>
    <w:basedOn w:val="Normal"/>
    <w:next w:val="Normal"/>
    <w:link w:val="Heading2Char"/>
    <w:uiPriority w:val="9"/>
    <w:unhideWhenUsed/>
    <w:qFormat/>
    <w:rsid w:val="00734159"/>
    <w:pPr>
      <w:keepNext/>
      <w:keepLines/>
      <w:autoSpaceDE w:val="0"/>
      <w:autoSpaceDN w:val="0"/>
      <w:adjustRightInd w:val="0"/>
      <w:spacing w:before="360" w:line="240" w:lineRule="auto"/>
      <w:textAlignment w:val="center"/>
      <w:outlineLvl w:val="1"/>
    </w:pPr>
    <w:rPr>
      <w:rFonts w:ascii="Arial" w:hAnsi="Arial" w:cs="MyriadPro-Bold"/>
      <w:b/>
      <w:bCs/>
      <w:color w:val="033636" w:themeColor="text2"/>
      <w:sz w:val="40"/>
      <w:szCs w:val="28"/>
    </w:rPr>
  </w:style>
  <w:style w:type="paragraph" w:styleId="Heading3">
    <w:name w:val="heading 3"/>
    <w:basedOn w:val="Normal"/>
    <w:next w:val="Normal"/>
    <w:link w:val="Heading3Char"/>
    <w:uiPriority w:val="9"/>
    <w:unhideWhenUsed/>
    <w:qFormat/>
    <w:rsid w:val="00734159"/>
    <w:pPr>
      <w:keepNext/>
      <w:keepLines/>
      <w:autoSpaceDE w:val="0"/>
      <w:autoSpaceDN w:val="0"/>
      <w:adjustRightInd w:val="0"/>
      <w:spacing w:before="360" w:line="300" w:lineRule="atLeast"/>
      <w:textAlignment w:val="center"/>
      <w:outlineLvl w:val="2"/>
    </w:pPr>
    <w:rPr>
      <w:rFonts w:ascii="Arial" w:hAnsi="Arial" w:cs="MyriadPro-Regular"/>
      <w:bCs/>
      <w:color w:val="033636" w:themeColor="text2"/>
      <w:sz w:val="32"/>
      <w:szCs w:val="26"/>
    </w:rPr>
  </w:style>
  <w:style w:type="paragraph" w:styleId="Heading4">
    <w:name w:val="heading 4"/>
    <w:basedOn w:val="Normal"/>
    <w:next w:val="Normal"/>
    <w:link w:val="Heading4Char"/>
    <w:uiPriority w:val="9"/>
    <w:unhideWhenUsed/>
    <w:qFormat/>
    <w:rsid w:val="00734159"/>
    <w:pPr>
      <w:keepNext/>
      <w:outlineLvl w:val="3"/>
    </w:pPr>
    <w:rPr>
      <w:rFonts w:ascii="Arial" w:eastAsiaTheme="majorEastAsia" w:hAnsi="Arial" w:cstheme="majorBidi"/>
      <w:bCs/>
      <w:iCs/>
      <w:sz w:val="28"/>
      <w:lang w:val="en-GB"/>
    </w:rPr>
  </w:style>
  <w:style w:type="paragraph" w:styleId="Heading5">
    <w:name w:val="heading 5"/>
    <w:basedOn w:val="Normal"/>
    <w:next w:val="Normal"/>
    <w:link w:val="Heading5Char"/>
    <w:uiPriority w:val="9"/>
    <w:unhideWhenUsed/>
    <w:rsid w:val="00734159"/>
    <w:pPr>
      <w:keepNext/>
      <w:outlineLvl w:val="4"/>
    </w:pPr>
    <w:rPr>
      <w:rFonts w:ascii="Arial" w:eastAsiaTheme="majorEastAsia" w:hAnsi="Arial" w:cstheme="majorBidi"/>
      <w:b/>
      <w:bCs/>
      <w:color w:val="033636" w:themeColor="text2"/>
      <w:sz w:val="24"/>
      <w:lang w:val="en-GB"/>
    </w:rPr>
  </w:style>
  <w:style w:type="paragraph" w:styleId="Heading6">
    <w:name w:val="heading 6"/>
    <w:basedOn w:val="Normal"/>
    <w:next w:val="Normal"/>
    <w:link w:val="Heading6Char"/>
    <w:uiPriority w:val="9"/>
    <w:unhideWhenUsed/>
    <w:rsid w:val="00734159"/>
    <w:pPr>
      <w:keepNext/>
      <w:outlineLvl w:val="5"/>
    </w:pPr>
    <w:rPr>
      <w:rFonts w:ascii="Arial" w:eastAsiaTheme="majorEastAsia" w:hAnsi="Arial" w:cstheme="majorBidi"/>
      <w:bCs/>
      <w:i/>
      <w:iCs/>
      <w:color w:val="033636" w:themeColor="text2"/>
      <w:sz w:val="24"/>
      <w:lang w:val="en-GB"/>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159"/>
    <w:rPr>
      <w:rFonts w:ascii="Arial" w:hAnsi="Arial" w:cs="Manrope ExtraLight"/>
      <w:b/>
      <w:color w:val="033636" w:themeColor="text2"/>
      <w:sz w:val="48"/>
      <w:szCs w:val="32"/>
      <w14:ligatures w14:val="standardContextual"/>
    </w:rPr>
  </w:style>
  <w:style w:type="paragraph" w:customStyle="1" w:styleId="CDIFooter">
    <w:name w:val="CDI_Footer"/>
    <w:basedOn w:val="Normal"/>
    <w:qFormat/>
    <w:rsid w:val="001D0612"/>
    <w:pPr>
      <w:spacing w:before="0"/>
    </w:pPr>
    <w:rPr>
      <w:sz w:val="18"/>
      <w:szCs w:val="18"/>
    </w:rPr>
  </w:style>
  <w:style w:type="character" w:customStyle="1" w:styleId="Heading2Char">
    <w:name w:val="Heading 2 Char"/>
    <w:basedOn w:val="DefaultParagraphFont"/>
    <w:link w:val="Heading2"/>
    <w:uiPriority w:val="9"/>
    <w:rsid w:val="00734159"/>
    <w:rPr>
      <w:rFonts w:ascii="Arial" w:hAnsi="Arial" w:cs="MyriadPro-Bold"/>
      <w:b/>
      <w:bCs/>
      <w:color w:val="033636" w:themeColor="text2"/>
      <w:sz w:val="40"/>
      <w:szCs w:val="28"/>
      <w14:ligatures w14:val="standardContextual"/>
    </w:rPr>
  </w:style>
  <w:style w:type="paragraph" w:customStyle="1" w:styleId="CDIBoxSummaryHeadingGreen">
    <w:name w:val="CDI_Box Summary Heading Green"/>
    <w:basedOn w:val="CDIBoxHeadingGreen"/>
    <w:rsid w:val="00734159"/>
    <w:rPr>
      <w:b/>
      <w:bCs/>
      <w:sz w:val="48"/>
    </w:rPr>
  </w:style>
  <w:style w:type="paragraph" w:styleId="Title">
    <w:name w:val="Title"/>
    <w:basedOn w:val="Normal"/>
    <w:next w:val="Normal"/>
    <w:link w:val="TitleChar"/>
    <w:uiPriority w:val="10"/>
    <w:qFormat/>
    <w:rsid w:val="00B814CF"/>
    <w:pPr>
      <w:spacing w:before="480" w:line="240" w:lineRule="auto"/>
    </w:pPr>
    <w:rPr>
      <w:rFonts w:ascii="Arial Narrow" w:hAnsi="Arial Narrow" w:cs="Arial"/>
      <w:b/>
      <w:bCs/>
      <w:sz w:val="52"/>
      <w:szCs w:val="54"/>
      <w:lang w:val="en-GB"/>
    </w:rPr>
  </w:style>
  <w:style w:type="character" w:customStyle="1" w:styleId="TitleChar">
    <w:name w:val="Title Char"/>
    <w:basedOn w:val="DefaultParagraphFont"/>
    <w:link w:val="Title"/>
    <w:uiPriority w:val="10"/>
    <w:rsid w:val="00B814CF"/>
    <w:rPr>
      <w:rFonts w:ascii="Arial Narrow" w:hAnsi="Arial Narrow" w:cs="Arial"/>
      <w:b/>
      <w:bCs/>
      <w:sz w:val="52"/>
      <w:szCs w:val="54"/>
      <w:lang w:val="en-GB"/>
      <w14:ligatures w14:val="standardContextual"/>
    </w:rPr>
  </w:style>
  <w:style w:type="character" w:customStyle="1" w:styleId="Heading3Char">
    <w:name w:val="Heading 3 Char"/>
    <w:basedOn w:val="DefaultParagraphFont"/>
    <w:link w:val="Heading3"/>
    <w:uiPriority w:val="9"/>
    <w:rsid w:val="00734159"/>
    <w:rPr>
      <w:rFonts w:ascii="Arial" w:hAnsi="Arial" w:cs="MyriadPro-Regular"/>
      <w:bCs/>
      <w:color w:val="033636" w:themeColor="text2"/>
      <w:sz w:val="32"/>
      <w:szCs w:val="26"/>
      <w14:ligatures w14:val="standardContextual"/>
    </w:rPr>
  </w:style>
  <w:style w:type="character" w:customStyle="1" w:styleId="Heading4Char">
    <w:name w:val="Heading 4 Char"/>
    <w:basedOn w:val="DefaultParagraphFont"/>
    <w:link w:val="Heading4"/>
    <w:uiPriority w:val="9"/>
    <w:rsid w:val="00734159"/>
    <w:rPr>
      <w:rFonts w:ascii="Arial" w:eastAsiaTheme="majorEastAsia" w:hAnsi="Arial" w:cstheme="majorBidi"/>
      <w:bCs/>
      <w:iCs/>
      <w:sz w:val="28"/>
      <w:lang w:val="en-GB"/>
      <w14:ligatures w14:val="standardContextual"/>
    </w:rPr>
  </w:style>
  <w:style w:type="character" w:customStyle="1" w:styleId="Heading5Char">
    <w:name w:val="Heading 5 Char"/>
    <w:basedOn w:val="DefaultParagraphFont"/>
    <w:link w:val="Heading5"/>
    <w:uiPriority w:val="9"/>
    <w:rsid w:val="00734159"/>
    <w:rPr>
      <w:rFonts w:ascii="Arial" w:eastAsiaTheme="majorEastAsia" w:hAnsi="Arial" w:cstheme="majorBidi"/>
      <w:b/>
      <w:bCs/>
      <w:color w:val="033636" w:themeColor="text2"/>
      <w:sz w:val="24"/>
      <w:lang w:val="en-GB"/>
      <w14:ligatures w14:val="standardContextual"/>
    </w:rPr>
  </w:style>
  <w:style w:type="character" w:customStyle="1" w:styleId="Heading6Char">
    <w:name w:val="Heading 6 Char"/>
    <w:basedOn w:val="DefaultParagraphFont"/>
    <w:link w:val="Heading6"/>
    <w:uiPriority w:val="9"/>
    <w:rsid w:val="00734159"/>
    <w:rPr>
      <w:rFonts w:ascii="Arial" w:eastAsiaTheme="majorEastAsia" w:hAnsi="Arial" w:cstheme="majorBidi"/>
      <w:bCs/>
      <w:i/>
      <w:iCs/>
      <w:color w:val="033636" w:themeColor="text2"/>
      <w:sz w:val="24"/>
      <w:lang w:val="en-GB"/>
      <w14:ligatures w14:val="standardContextual"/>
    </w:rPr>
  </w:style>
  <w:style w:type="paragraph" w:styleId="Subtitle">
    <w:name w:val="Subtitle"/>
    <w:basedOn w:val="Normal"/>
    <w:next w:val="Normal"/>
    <w:link w:val="SubtitleChar"/>
    <w:uiPriority w:val="11"/>
    <w:qFormat/>
    <w:rsid w:val="00734159"/>
    <w:pPr>
      <w:keepNext/>
    </w:pPr>
    <w:rPr>
      <w:rFonts w:ascii="Arial Narrow" w:hAnsi="Arial Narrow"/>
      <w:sz w:val="26"/>
    </w:rPr>
  </w:style>
  <w:style w:type="character" w:customStyle="1" w:styleId="SubtitleChar">
    <w:name w:val="Subtitle Char"/>
    <w:basedOn w:val="DefaultParagraphFont"/>
    <w:link w:val="Subtitle"/>
    <w:uiPriority w:val="11"/>
    <w:rsid w:val="00734159"/>
    <w:rPr>
      <w:rFonts w:ascii="Arial Narrow" w:hAnsi="Arial Narrow"/>
      <w:sz w:val="26"/>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character" w:styleId="UnresolvedMention">
    <w:name w:val="Unresolved Mention"/>
    <w:basedOn w:val="DefaultParagraphFont"/>
    <w:uiPriority w:val="99"/>
    <w:semiHidden/>
    <w:unhideWhenUsed/>
    <w:rsid w:val="006307C1"/>
    <w:rPr>
      <w:color w:val="605E5C"/>
      <w:shd w:val="clear" w:color="auto" w:fill="E1DFDD"/>
    </w:rPr>
  </w:style>
  <w:style w:type="paragraph" w:styleId="Footer">
    <w:name w:val="footer"/>
    <w:basedOn w:val="Normal"/>
    <w:link w:val="FooterChar"/>
    <w:uiPriority w:val="99"/>
    <w:unhideWhenUsed/>
    <w:rsid w:val="0073415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34159"/>
    <w:rPr>
      <w:rFonts w:ascii="Calibri" w:hAnsi="Calibri"/>
      <w14:ligatures w14:val="standardContextual"/>
    </w:rPr>
  </w:style>
  <w:style w:type="character" w:styleId="PlaceholderText">
    <w:name w:val="Placeholder Text"/>
    <w:basedOn w:val="DefaultParagraphFont"/>
    <w:uiPriority w:val="99"/>
    <w:semiHidden/>
    <w:rsid w:val="00433DFA"/>
    <w:rPr>
      <w:color w:val="808080"/>
    </w:rPr>
  </w:style>
  <w:style w:type="paragraph" w:styleId="Header">
    <w:name w:val="header"/>
    <w:basedOn w:val="Normal"/>
    <w:link w:val="HeaderChar"/>
    <w:uiPriority w:val="99"/>
    <w:unhideWhenUsed/>
    <w:rsid w:val="00734159"/>
    <w:pPr>
      <w:tabs>
        <w:tab w:val="center" w:pos="4513"/>
        <w:tab w:val="right" w:pos="9026"/>
      </w:tabs>
      <w:spacing w:before="0" w:line="240" w:lineRule="auto"/>
    </w:pPr>
  </w:style>
  <w:style w:type="paragraph" w:styleId="FootnoteText">
    <w:name w:val="footnote text"/>
    <w:basedOn w:val="Normal"/>
    <w:link w:val="FootnoteTextChar"/>
    <w:uiPriority w:val="99"/>
    <w:semiHidden/>
    <w:unhideWhenUsed/>
    <w:rsid w:val="00224EFF"/>
    <w:pPr>
      <w:spacing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paragraph" w:customStyle="1" w:styleId="Title2">
    <w:name w:val="Title2"/>
    <w:basedOn w:val="Title"/>
    <w:qFormat/>
    <w:rsid w:val="00C469F1"/>
    <w:pPr>
      <w:spacing w:before="240"/>
    </w:pPr>
    <w:rPr>
      <w:color w:val="033636" w:themeColor="text2"/>
      <w:sz w:val="48"/>
    </w:rPr>
  </w:style>
  <w:style w:type="character" w:customStyle="1" w:styleId="Bold">
    <w:name w:val="Bold"/>
    <w:uiPriority w:val="99"/>
    <w:rsid w:val="00526875"/>
    <w:rPr>
      <w:b/>
      <w:bCs/>
    </w:rPr>
  </w:style>
  <w:style w:type="paragraph" w:customStyle="1" w:styleId="CDIFigure-Table-Title">
    <w:name w:val="CDI_Figure-Table - Title"/>
    <w:basedOn w:val="Normal"/>
    <w:uiPriority w:val="99"/>
    <w:rsid w:val="00734159"/>
    <w:pPr>
      <w:keepNext/>
      <w:suppressAutoHyphens/>
      <w:autoSpaceDE w:val="0"/>
      <w:autoSpaceDN w:val="0"/>
      <w:adjustRightInd w:val="0"/>
      <w:spacing w:after="120"/>
      <w:textAlignment w:val="center"/>
    </w:pPr>
    <w:rPr>
      <w:rFonts w:cs="Minion3-Bold"/>
      <w:b/>
      <w:bCs/>
      <w:szCs w:val="23"/>
      <w:lang w:val="en-GB"/>
    </w:rPr>
  </w:style>
  <w:style w:type="paragraph" w:customStyle="1" w:styleId="CDIFigure-Table-Footnote">
    <w:name w:val="CDI_Figure-Table - Footnote"/>
    <w:basedOn w:val="Normal"/>
    <w:link w:val="CDIFigure-Table-FootnoteChar"/>
    <w:uiPriority w:val="99"/>
    <w:rsid w:val="00A27469"/>
    <w:pPr>
      <w:autoSpaceDE w:val="0"/>
      <w:autoSpaceDN w:val="0"/>
      <w:adjustRightInd w:val="0"/>
      <w:spacing w:before="20"/>
      <w:ind w:left="284" w:hanging="284"/>
      <w:textAlignment w:val="center"/>
    </w:pPr>
    <w:rPr>
      <w:rFonts w:cs="Minion3Caption-Regular"/>
      <w:sz w:val="16"/>
      <w:szCs w:val="16"/>
      <w:lang w:val="en-GB"/>
    </w:rPr>
  </w:style>
  <w:style w:type="paragraph" w:customStyle="1" w:styleId="CDICopyrightText">
    <w:name w:val="CDI_Copyright_Text"/>
    <w:basedOn w:val="CDIBoxTextGreen"/>
    <w:qFormat/>
    <w:rsid w:val="00734159"/>
    <w:pPr>
      <w:spacing w:before="0"/>
    </w:pPr>
    <w:rPr>
      <w:sz w:val="20"/>
      <w:szCs w:val="20"/>
    </w:rPr>
  </w:style>
  <w:style w:type="paragraph" w:customStyle="1" w:styleId="CDICopyrightBullets">
    <w:name w:val="CDI_Copyright_Bullets"/>
    <w:basedOn w:val="CDIBoxBulletGreen"/>
    <w:qFormat/>
    <w:rsid w:val="006307C1"/>
    <w:pPr>
      <w:numPr>
        <w:numId w:val="30"/>
      </w:numPr>
      <w:spacing w:before="60" w:after="60"/>
      <w:ind w:left="284" w:hanging="284"/>
    </w:pPr>
    <w:rPr>
      <w:sz w:val="20"/>
      <w:szCs w:val="20"/>
    </w:rPr>
  </w:style>
  <w:style w:type="character" w:customStyle="1" w:styleId="Italic">
    <w:name w:val="Italic"/>
    <w:uiPriority w:val="99"/>
    <w:rsid w:val="00697039"/>
    <w:rPr>
      <w:i/>
      <w:iCs/>
    </w:rPr>
  </w:style>
  <w:style w:type="character" w:customStyle="1" w:styleId="CDIFigure-Table-FootnoteChar">
    <w:name w:val="CDI_Figure-Table - Footnote Char"/>
    <w:basedOn w:val="DefaultParagraphFont"/>
    <w:link w:val="CDIFigure-Table-Footnote"/>
    <w:uiPriority w:val="99"/>
    <w:rsid w:val="00A27469"/>
    <w:rPr>
      <w:rFonts w:ascii="Calibri" w:hAnsi="Calibri" w:cs="Minion3Caption-Regular"/>
      <w:sz w:val="16"/>
      <w:szCs w:val="16"/>
      <w:lang w:val="en-GB"/>
      <w14:ligatures w14:val="standardContextual"/>
    </w:rPr>
  </w:style>
  <w:style w:type="paragraph" w:customStyle="1" w:styleId="CDIBulletsL1">
    <w:name w:val="CDI_Bullets L1"/>
    <w:basedOn w:val="Normal"/>
    <w:uiPriority w:val="99"/>
    <w:rsid w:val="00734159"/>
    <w:pPr>
      <w:numPr>
        <w:numId w:val="29"/>
      </w:numPr>
      <w:suppressAutoHyphens/>
      <w:autoSpaceDE w:val="0"/>
      <w:autoSpaceDN w:val="0"/>
      <w:adjustRightInd w:val="0"/>
      <w:textAlignment w:val="center"/>
    </w:pPr>
    <w:rPr>
      <w:rFonts w:cs="Minion3-Regular"/>
      <w:szCs w:val="23"/>
      <w:lang w:val="en-GB"/>
    </w:rPr>
  </w:style>
  <w:style w:type="paragraph" w:customStyle="1" w:styleId="CDINumberedList1L1">
    <w:name w:val="CDI_Numbered List (1.) L1"/>
    <w:basedOn w:val="Normal"/>
    <w:uiPriority w:val="99"/>
    <w:rsid w:val="00065A6B"/>
    <w:pPr>
      <w:keepLines/>
      <w:numPr>
        <w:numId w:val="17"/>
      </w:numPr>
      <w:autoSpaceDE w:val="0"/>
      <w:autoSpaceDN w:val="0"/>
      <w:adjustRightInd w:val="0"/>
      <w:ind w:left="397" w:hanging="397"/>
      <w:textAlignment w:val="center"/>
    </w:pPr>
    <w:rPr>
      <w:rFonts w:cs="Minion3-Regular"/>
      <w:szCs w:val="23"/>
      <w:lang w:val="en-GB"/>
    </w:rPr>
  </w:style>
  <w:style w:type="paragraph" w:customStyle="1" w:styleId="CDIBoxBulletGreen">
    <w:name w:val="CDI_Box Bulle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ind w:left="357" w:hanging="357"/>
      <w:contextualSpacing/>
    </w:pPr>
    <w:rPr>
      <w:rFonts w:eastAsia="Arial"/>
      <w:kern w:val="2"/>
      <w:szCs w:val="24"/>
      <w:lang w:eastAsia="en-US"/>
    </w:rPr>
  </w:style>
  <w:style w:type="paragraph" w:customStyle="1" w:styleId="CDIBoxHeadingGreen">
    <w:name w:val="CDI_Box Heading Green"/>
    <w:basedOn w:val="Normal"/>
    <w:qFormat/>
    <w:rsid w:val="00734159"/>
    <w:pPr>
      <w:keepNext/>
      <w:keepLines/>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outlineLvl w:val="2"/>
    </w:pPr>
    <w:rPr>
      <w:rFonts w:ascii="Arial" w:eastAsia="Times New Roman" w:hAnsi="Arial" w:cs="Times New Roman"/>
      <w:color w:val="033636" w:themeColor="text2"/>
      <w:kern w:val="2"/>
      <w:sz w:val="32"/>
      <w:szCs w:val="24"/>
      <w:lang w:eastAsia="en-US"/>
    </w:rPr>
  </w:style>
  <w:style w:type="paragraph" w:customStyle="1" w:styleId="CDIBoxTextGreen">
    <w:name w:val="CDI_Box Text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pPr>
  </w:style>
  <w:style w:type="paragraph" w:customStyle="1" w:styleId="CDIDOIInformation">
    <w:name w:val="CDI_DOI Information"/>
    <w:basedOn w:val="Normal"/>
    <w:qFormat/>
    <w:rsid w:val="00734159"/>
    <w:rPr>
      <w:rFonts w:ascii="Arial Narrow" w:hAnsi="Arial Narrow"/>
    </w:rPr>
  </w:style>
  <w:style w:type="paragraph" w:customStyle="1" w:styleId="CDIFigure-Table-ImagePlaceholder">
    <w:name w:val="CDI_Figure-Table - Image Placeholder"/>
    <w:basedOn w:val="Normal"/>
    <w:qFormat/>
    <w:rsid w:val="00734159"/>
    <w:pPr>
      <w:spacing w:after="240"/>
      <w:jc w:val="center"/>
    </w:pPr>
  </w:style>
  <w:style w:type="paragraph" w:customStyle="1" w:styleId="CDIFigure-Table-FirstFootnote">
    <w:name w:val="CDI_Figure-Table - First Footnote"/>
    <w:basedOn w:val="CDIFigure-Table-Footnote"/>
    <w:qFormat/>
    <w:rsid w:val="00A27469"/>
    <w:pPr>
      <w:spacing w:before="120"/>
    </w:pPr>
  </w:style>
  <w:style w:type="paragraph" w:customStyle="1" w:styleId="CDICopyrightTitle">
    <w:name w:val="CDI_Copyright_Title"/>
    <w:basedOn w:val="CDIBoxHeadingGreen"/>
    <w:qFormat/>
    <w:rsid w:val="00734159"/>
    <w:pPr>
      <w:spacing w:before="0" w:after="120"/>
      <w:outlineLvl w:val="0"/>
    </w:pPr>
    <w:rPr>
      <w:sz w:val="28"/>
    </w:rPr>
  </w:style>
  <w:style w:type="character" w:customStyle="1" w:styleId="CDICopyrightTextBullet">
    <w:name w:val="CDI_Copyright_Text_Bullet"/>
    <w:basedOn w:val="DefaultParagraphFont"/>
    <w:uiPriority w:val="1"/>
    <w:qFormat/>
    <w:rsid w:val="00734159"/>
    <w:rPr>
      <w:rFonts w:cs="Arial"/>
      <w:color w:val="033636" w:themeColor="text2"/>
    </w:rPr>
  </w:style>
  <w:style w:type="paragraph" w:customStyle="1" w:styleId="CDICopyrightHeading">
    <w:name w:val="CDI_Copyright_Heading"/>
    <w:basedOn w:val="CDICopyrightText"/>
    <w:qFormat/>
    <w:rsid w:val="00734159"/>
    <w:pPr>
      <w:spacing w:after="0"/>
    </w:pPr>
    <w:rPr>
      <w:b/>
      <w:bCs/>
    </w:rPr>
  </w:style>
  <w:style w:type="character" w:styleId="Hyperlink">
    <w:name w:val="Hyperlink"/>
    <w:basedOn w:val="DefaultParagraphFont"/>
    <w:uiPriority w:val="99"/>
    <w:unhideWhenUsed/>
    <w:rsid w:val="006D4979"/>
    <w:rPr>
      <w:color w:val="184174" w:themeColor="hyperlink"/>
      <w:u w:val="single"/>
    </w:rPr>
  </w:style>
  <w:style w:type="character" w:customStyle="1" w:styleId="HeaderChar">
    <w:name w:val="Header Char"/>
    <w:basedOn w:val="DefaultParagraphFont"/>
    <w:link w:val="Header"/>
    <w:uiPriority w:val="99"/>
    <w:rsid w:val="00734159"/>
    <w:rPr>
      <w:rFonts w:ascii="Calibri" w:hAnsi="Calibri"/>
      <w14:ligatures w14:val="standardContextual"/>
    </w:rPr>
  </w:style>
  <w:style w:type="paragraph" w:customStyle="1" w:styleId="Normal-morespace">
    <w:name w:val="Normal - more space"/>
    <w:basedOn w:val="Normal"/>
    <w:qFormat/>
    <w:rsid w:val="0037146D"/>
    <w:pPr>
      <w:spacing w:after="240"/>
    </w:pPr>
  </w:style>
  <w:style w:type="paragraph" w:customStyle="1" w:styleId="CDIFigure-Table-H1Left">
    <w:name w:val="CDI_Figure-Table - H1 Left"/>
    <w:basedOn w:val="CDIFigure-Table-Title"/>
    <w:qFormat/>
    <w:rsid w:val="00734159"/>
    <w:pPr>
      <w:spacing w:beforeAutospacing="1" w:afterAutospacing="1" w:line="240" w:lineRule="auto"/>
    </w:pPr>
    <w:rPr>
      <w:color w:val="FFFFFF" w:themeColor="background1"/>
      <w:sz w:val="18"/>
    </w:rPr>
  </w:style>
  <w:style w:type="paragraph" w:customStyle="1" w:styleId="CDIFigure-Table-BodyTextLeft">
    <w:name w:val="CDI_Figure-Table - Body Text Left"/>
    <w:basedOn w:val="Normal"/>
    <w:qFormat/>
    <w:rsid w:val="00A27469"/>
    <w:pPr>
      <w:spacing w:before="40" w:after="40" w:line="240" w:lineRule="auto"/>
    </w:pPr>
    <w:rPr>
      <w:sz w:val="18"/>
    </w:rPr>
  </w:style>
  <w:style w:type="paragraph" w:customStyle="1" w:styleId="CDIFigure-Table-TotalLeft">
    <w:name w:val="CDI_Figure-Table - Total Left"/>
    <w:basedOn w:val="Normal"/>
    <w:qFormat/>
    <w:rsid w:val="00734159"/>
    <w:pPr>
      <w:spacing w:before="100" w:beforeAutospacing="1" w:after="100" w:afterAutospacing="1" w:line="240" w:lineRule="auto"/>
    </w:pPr>
    <w:rPr>
      <w:b/>
      <w:sz w:val="18"/>
      <w:lang w:val="en-GB"/>
    </w:rPr>
  </w:style>
  <w:style w:type="paragraph" w:customStyle="1" w:styleId="CDIFigure-Table-TotalCentre">
    <w:name w:val="CDI_Figure-Table - Total Centre"/>
    <w:basedOn w:val="CDIFigure-Table-TotalLeft"/>
    <w:qFormat/>
    <w:rsid w:val="00734159"/>
    <w:pPr>
      <w:jc w:val="center"/>
    </w:pPr>
  </w:style>
  <w:style w:type="paragraph" w:customStyle="1" w:styleId="CDIFigure-Table-BodyTextCentre">
    <w:name w:val="CDI_Figure-Table - Body Text Centre"/>
    <w:basedOn w:val="CDIFigure-Table-BodyTextLeft"/>
    <w:qFormat/>
    <w:rsid w:val="00734159"/>
    <w:pPr>
      <w:jc w:val="center"/>
    </w:pPr>
    <w:rPr>
      <w:lang w:val="en-GB"/>
    </w:rPr>
  </w:style>
  <w:style w:type="paragraph" w:customStyle="1" w:styleId="CDIFigure-Table-H1">
    <w:name w:val="CDI_Figure-Table - H1"/>
    <w:basedOn w:val="Normal"/>
    <w:qFormat/>
    <w:rsid w:val="00734159"/>
    <w:pPr>
      <w:spacing w:beforeAutospacing="1" w:afterAutospacing="1" w:line="240" w:lineRule="auto"/>
      <w:jc w:val="center"/>
    </w:pPr>
    <w:rPr>
      <w:b/>
      <w:color w:val="FFFFFF" w:themeColor="background1"/>
      <w:sz w:val="18"/>
      <w:lang w:val="en-GB"/>
    </w:rPr>
  </w:style>
  <w:style w:type="character" w:customStyle="1" w:styleId="BoldItalic">
    <w:name w:val="Bold Italic"/>
    <w:basedOn w:val="Bold"/>
    <w:uiPriority w:val="99"/>
    <w:rsid w:val="00F82066"/>
    <w:rPr>
      <w:b/>
      <w:bCs/>
      <w:i/>
      <w:iCs/>
    </w:rPr>
  </w:style>
  <w:style w:type="paragraph" w:customStyle="1" w:styleId="Normal-lessspace">
    <w:name w:val="Normal - less space"/>
    <w:basedOn w:val="Normal"/>
    <w:qFormat/>
    <w:rsid w:val="00F8130F"/>
    <w:pPr>
      <w:spacing w:before="120"/>
    </w:pPr>
    <w:rPr>
      <w:lang w:val="en-GB"/>
    </w:rPr>
  </w:style>
  <w:style w:type="paragraph" w:customStyle="1" w:styleId="Normal-nospace">
    <w:name w:val="Normal - no space"/>
    <w:basedOn w:val="Normal"/>
    <w:qFormat/>
    <w:rsid w:val="00962C2F"/>
    <w:pPr>
      <w:spacing w:before="0"/>
    </w:pPr>
    <w:rPr>
      <w:noProof/>
    </w:rPr>
  </w:style>
  <w:style w:type="paragraph" w:customStyle="1" w:styleId="CDIHeaderplacement">
    <w:name w:val="CDI_Header placement"/>
    <w:basedOn w:val="Normal"/>
    <w:qFormat/>
    <w:rsid w:val="00962C2F"/>
    <w:pPr>
      <w:spacing w:before="2640" w:line="240" w:lineRule="auto"/>
    </w:pPr>
  </w:style>
  <w:style w:type="paragraph" w:customStyle="1" w:styleId="CDIFirstFooter">
    <w:name w:val="CDI_First Footer"/>
    <w:basedOn w:val="CDIFooter"/>
    <w:qFormat/>
    <w:rsid w:val="00F664DD"/>
    <w:pPr>
      <w:pBdr>
        <w:top w:val="single" w:sz="4" w:space="4" w:color="00DCA1" w:themeColor="background2"/>
      </w:pBdr>
    </w:pPr>
  </w:style>
  <w:style w:type="paragraph" w:customStyle="1" w:styleId="CDINumberedList1L1-lessspace">
    <w:name w:val="CDI_Numbered List (1.) L1 - less space"/>
    <w:basedOn w:val="CDINumberedList1L1"/>
    <w:qFormat/>
    <w:rsid w:val="00343991"/>
    <w:pPr>
      <w:spacing w:before="120"/>
    </w:pPr>
  </w:style>
  <w:style w:type="paragraph" w:customStyle="1" w:styleId="CDIFigure-Table-Bullets">
    <w:name w:val="CDI_Figure-Table - Bullets"/>
    <w:basedOn w:val="CDIFigure-Table-BodyTextLeft"/>
    <w:qFormat/>
    <w:rsid w:val="00734159"/>
    <w:pPr>
      <w:numPr>
        <w:numId w:val="31"/>
      </w:numPr>
      <w:spacing w:before="0"/>
      <w:ind w:left="170" w:hanging="170"/>
    </w:pPr>
  </w:style>
  <w:style w:type="paragraph" w:customStyle="1" w:styleId="CDIFigure-Table-Titlemorespacebefore">
    <w:name w:val="CDI_Figure-Table - Title more space before"/>
    <w:basedOn w:val="CDIFigure-Table-Title"/>
    <w:qFormat/>
    <w:rsid w:val="00734159"/>
    <w:pPr>
      <w:spacing w:before="360"/>
    </w:pPr>
  </w:style>
  <w:style w:type="paragraph" w:customStyle="1" w:styleId="Heading1-nospacebefore">
    <w:name w:val="Heading 1 - no space before"/>
    <w:basedOn w:val="Heading1"/>
    <w:qFormat/>
    <w:rsid w:val="00C469F1"/>
    <w:pPr>
      <w:spacing w:before="0"/>
    </w:pPr>
  </w:style>
  <w:style w:type="paragraph" w:styleId="BodyText">
    <w:name w:val="Body Text"/>
    <w:basedOn w:val="Normal"/>
    <w:link w:val="BodyTextChar"/>
    <w:uiPriority w:val="99"/>
    <w:semiHidden/>
    <w:unhideWhenUsed/>
    <w:rsid w:val="00BA793A"/>
    <w:pPr>
      <w:spacing w:after="120"/>
    </w:pPr>
  </w:style>
  <w:style w:type="character" w:customStyle="1" w:styleId="BodyTextChar">
    <w:name w:val="Body Text Char"/>
    <w:basedOn w:val="DefaultParagraphFont"/>
    <w:link w:val="BodyText"/>
    <w:uiPriority w:val="99"/>
    <w:semiHidden/>
    <w:rsid w:val="00BA793A"/>
    <w:rPr>
      <w:rFonts w:ascii="Calibri" w:hAnsi="Calibr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93552665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mailto:cdi.editor@health.gov.au"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cdi.editor@health.gov.au" TargetMode="External"/><Relationship Id="rId2" Type="http://schemas.openxmlformats.org/officeDocument/2006/relationships/customXml" Target="../customXml/item2.xml"/><Relationship Id="rId16" Type="http://schemas.openxmlformats.org/officeDocument/2006/relationships/hyperlink" Target="http://www.health.gov.au/cd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cdi.editor@health.gov.au" TargetMode="Externa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template-dec-2024.dotx" TargetMode="External"/></Relationships>
</file>

<file path=word/theme/theme1.xml><?xml version="1.0" encoding="utf-8"?>
<a:theme xmlns:a="http://schemas.openxmlformats.org/drawingml/2006/main" name="Office Theme">
  <a:themeElements>
    <a:clrScheme name="ACDC minus Blue, Purple, Stone">
      <a:dk1>
        <a:srgbClr val="000000"/>
      </a:dk1>
      <a:lt1>
        <a:srgbClr val="FFFFFF"/>
      </a:lt1>
      <a:dk2>
        <a:srgbClr val="033636"/>
      </a:dk2>
      <a:lt2>
        <a:srgbClr val="00DCA1"/>
      </a:lt2>
      <a:accent1>
        <a:srgbClr val="083E9C"/>
      </a:accent1>
      <a:accent2>
        <a:srgbClr val="511D81"/>
      </a:accent2>
      <a:accent3>
        <a:srgbClr val="A10000"/>
      </a:accent3>
      <a:accent4>
        <a:srgbClr val="C55500"/>
      </a:accent4>
      <a:accent5>
        <a:srgbClr val="FF6E73"/>
      </a:accent5>
      <a:accent6>
        <a:srgbClr val="FFD031"/>
      </a:accent6>
      <a:hlink>
        <a:srgbClr val="184174"/>
      </a:hlink>
      <a:folHlink>
        <a:srgbClr val="6D6D7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CDI-template-dec-2024.dotx</Template>
  <TotalTime>0</TotalTime>
  <Pages>6</Pages>
  <Words>1642</Words>
  <Characters>10352</Characters>
  <Application>Microsoft Office Word</Application>
  <DocSecurity>0</DocSecurity>
  <Lines>86</Lines>
  <Paragraphs>23</Paragraphs>
  <ScaleCrop>false</ScaleCrop>
  <HeadingPairs>
    <vt:vector size="2" baseType="variant">
      <vt:variant>
        <vt:lpstr>Title</vt:lpstr>
      </vt:variant>
      <vt:variant>
        <vt:i4>1</vt:i4>
      </vt:variant>
    </vt:vector>
  </HeadingPairs>
  <TitlesOfParts>
    <vt:vector size="1" baseType="lpstr">
      <vt:lpstr>Communicable Diseases Intelligence - A comparison of post-COVID vaccine myocarditis classification using the Brighton Collaboration criteria versus (United States) Centers for Disease Control criteria: an update</vt:lpstr>
    </vt:vector>
  </TitlesOfParts>
  <Company>Interim Australian Centre for Disease Control</Company>
  <LinksUpToDate>false</LinksUpToDate>
  <CharactersWithSpaces>11971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A comparison of post-COVID vaccine myocarditis classification using the Brighton Collaboration criteria versus (United States) Centers for Disease Control criteria: an update</dc:title>
  <dc:subject>This study compared the classification of post-COVID vaccine myocarditis using the Brighton Collaboration Criteria (BCC) and the United States Centre for Disease Control (CDC) diagnostic criteria. They are largely consistent in classifying myocarditis post-COVID vaccination. The only discrepancy identified was that the CDC requires cardiac magnetic resonance imaging to classify cases as ‘confirmed’ while TTE findings are sufficient for BCC definitive cases.</dc:subject>
  <dc:creator>Kevin M Slater; Jim P Buttery; Nigel W Crawford; Daryl R Cheng</dc:creator>
  <cp:keywords>myocarditis; Brighton Collaboration; post-COVID; vaccine</cp:keywords>
  <dc:description>© Commonwealth of Australia CC BY-NC-ND</dc:description>
  <cp:revision>2</cp:revision>
  <cp:lastPrinted>2024-03-07T01:06:00Z</cp:lastPrinted>
  <dcterms:created xsi:type="dcterms:W3CDTF">2025-01-02T21:07:00Z</dcterms:created>
  <dcterms:modified xsi:type="dcterms:W3CDTF">2025-01-02T21:07:00Z</dcterms:modified>
  <cp:category>Letter to the Editor</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2024</vt:lpwstr>
  </property>
  <property fmtid="{D5CDD505-2E9C-101B-9397-08002B2CF9AE}" pid="3" name="Vol">
    <vt:i4>48</vt:i4>
  </property>
  <property fmtid="{D5CDD505-2E9C-101B-9397-08002B2CF9AE}" pid="4" name="ePubDate">
    <vt:lpwstr>28/03/2024</vt:lpwstr>
  </property>
  <property fmtid="{D5CDD505-2E9C-101B-9397-08002B2CF9AE}" pid="5" name="DOI">
    <vt:lpwstr>https://doi.org/10.33321/cdi.2024.48.18</vt:lpwstr>
  </property>
</Properties>
</file>